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jc w:val="both"/>
        <w:rPr>
          <w:rFonts w:ascii="Century Gothic" w:hAnsi="Century Gothic"/>
          <w:b/>
          <w:bCs/>
          <w:i/>
          <w:sz w:val="18"/>
          <w:szCs w:val="20"/>
        </w:rPr>
      </w:pPr>
      <w:r>
        <w:t xml:space="preserve"> </w:t>
      </w:r>
      <w:r>
        <w:rPr>
          <w:rFonts w:ascii="Century Gothic" w:hAnsi="Century Gothic"/>
          <w:b/>
          <w:i/>
          <w:sz w:val="18"/>
          <w:szCs w:val="20"/>
        </w:rPr>
        <w:t xml:space="preserve">“DECRETO DE CONVOCATORIA DE </w:t>
      </w:r>
      <w:r>
        <w:rPr>
          <w:rFonts w:ascii="Century Gothic" w:hAnsi="Century Gothic"/>
          <w:b/>
          <w:bCs/>
          <w:i/>
          <w:sz w:val="18"/>
          <w:szCs w:val="20"/>
        </w:rPr>
        <w:t xml:space="preserve">AYUDAS DE EMERGENCIA SOCIAL CON CARGO A LOS FONDOS APORTADOS POR EL EXCMO. CABILDO INSULAR DE LA PALMA EN RESOLUCIÓN 2021/6928. </w:t>
      </w:r>
    </w:p>
    <w:p>
      <w:pPr>
        <w:jc w:val="both"/>
        <w:rPr>
          <w:rFonts w:ascii="Century Gothic" w:hAnsi="Century Gothic"/>
          <w:i/>
          <w:sz w:val="18"/>
          <w:szCs w:val="20"/>
        </w:rPr>
      </w:pPr>
    </w:p>
    <w:p>
      <w:pPr>
        <w:jc w:val="both"/>
        <w:rPr>
          <w:rFonts w:ascii="Century Gothic" w:hAnsi="Century Gothic"/>
          <w:i/>
          <w:sz w:val="18"/>
          <w:szCs w:val="20"/>
        </w:rPr>
      </w:pPr>
      <w:r>
        <w:rPr>
          <w:rFonts w:ascii="Century Gothic" w:hAnsi="Century Gothic"/>
          <w:i/>
          <w:sz w:val="18"/>
          <w:szCs w:val="20"/>
        </w:rPr>
        <w:tab/>
      </w:r>
      <w:r>
        <w:rPr>
          <w:rFonts w:ascii="Century Gothic" w:hAnsi="Century Gothic"/>
          <w:b/>
          <w:i/>
          <w:sz w:val="18"/>
          <w:szCs w:val="20"/>
        </w:rPr>
        <w:t>VISTO</w:t>
      </w:r>
      <w:r>
        <w:rPr>
          <w:rFonts w:ascii="Century Gothic" w:hAnsi="Century Gothic"/>
          <w:i/>
          <w:sz w:val="18"/>
          <w:szCs w:val="20"/>
        </w:rPr>
        <w:t xml:space="preserve"> el expediente administrativo relativo a las APORTACIONES DINERARIAS A REALIZAR POR PARTE DEL EXCMO. CABILDO INSULAR DE LA PALMA A LOS AYUNTAMIENTOS DE LA ISLA PARA ATENDER LAS SITUACIONES DE EMERGENCIA SOCIAL EN QUE SE PUEDAN ENCONTRAR LOS SOLICITANTES DE AYUDA con fecha de 27 de agosto de 2021 con el fin específico de distribuir entre los Ayuntamientos un fondo por importe de 500.000 €.</w:t>
      </w:r>
    </w:p>
    <w:p>
      <w:pPr>
        <w:jc w:val="both"/>
        <w:rPr>
          <w:rFonts w:ascii="Century Gothic" w:hAnsi="Century Gothic"/>
          <w:i/>
          <w:sz w:val="18"/>
          <w:szCs w:val="20"/>
        </w:rPr>
      </w:pPr>
    </w:p>
    <w:p>
      <w:pPr>
        <w:jc w:val="both"/>
        <w:rPr>
          <w:rFonts w:ascii="Century Gothic" w:hAnsi="Century Gothic"/>
          <w:i/>
          <w:sz w:val="18"/>
          <w:szCs w:val="20"/>
        </w:rPr>
      </w:pPr>
      <w:r>
        <w:rPr>
          <w:rFonts w:ascii="Century Gothic" w:hAnsi="Century Gothic"/>
          <w:i/>
          <w:sz w:val="18"/>
          <w:szCs w:val="20"/>
        </w:rPr>
        <w:tab/>
      </w:r>
      <w:r>
        <w:rPr>
          <w:rFonts w:ascii="Century Gothic" w:hAnsi="Century Gothic"/>
          <w:b/>
          <w:i/>
          <w:sz w:val="18"/>
          <w:szCs w:val="20"/>
        </w:rPr>
        <w:t xml:space="preserve">VISTA </w:t>
      </w:r>
      <w:r>
        <w:rPr>
          <w:rFonts w:ascii="Century Gothic" w:hAnsi="Century Gothic"/>
          <w:i/>
          <w:sz w:val="18"/>
          <w:szCs w:val="20"/>
        </w:rPr>
        <w:t xml:space="preserve">la resolución número 2021/6830, de fecha 20 de agosto de 2021, se acuerda conceder  aportación dineraria destinada a la gestión de ayudas económicas en el ámbito de los ayuntamientos de la isla de La Palma con el fin de atender las situaciones de emergencia social en que se encuentran las personas solicitantes de dichas ayudas por los importes y a las entidades que se especifican en la misma. </w:t>
      </w:r>
    </w:p>
    <w:p>
      <w:pPr>
        <w:jc w:val="both"/>
        <w:rPr>
          <w:rFonts w:ascii="Century Gothic" w:hAnsi="Century Gothic"/>
          <w:i/>
          <w:sz w:val="18"/>
          <w:szCs w:val="20"/>
        </w:rPr>
      </w:pPr>
    </w:p>
    <w:p>
      <w:pPr>
        <w:jc w:val="both"/>
        <w:rPr>
          <w:rFonts w:ascii="Century Gothic" w:hAnsi="Century Gothic"/>
          <w:i/>
          <w:sz w:val="18"/>
          <w:szCs w:val="20"/>
        </w:rPr>
      </w:pPr>
      <w:r>
        <w:rPr>
          <w:rFonts w:ascii="Century Gothic" w:hAnsi="Century Gothic"/>
          <w:i/>
          <w:sz w:val="18"/>
          <w:szCs w:val="20"/>
        </w:rPr>
        <w:tab/>
      </w:r>
      <w:r>
        <w:rPr>
          <w:rFonts w:ascii="Century Gothic" w:hAnsi="Century Gothic"/>
          <w:b/>
          <w:i/>
          <w:sz w:val="18"/>
          <w:szCs w:val="20"/>
        </w:rPr>
        <w:t xml:space="preserve">RESULTANDO </w:t>
      </w:r>
      <w:r>
        <w:rPr>
          <w:rFonts w:ascii="Century Gothic" w:hAnsi="Century Gothic"/>
          <w:i/>
          <w:sz w:val="18"/>
          <w:szCs w:val="20"/>
        </w:rPr>
        <w:t>que este Ayuntamiento ha solicitado al Cabildo de La Palma la concesión de una aportación dineraria para atender situaciones de emergencia social en el ejercicio 2021 por importe de 44.223,43 €, coincidente con la cuantía determinada en la resolución.</w:t>
      </w:r>
    </w:p>
    <w:p>
      <w:pPr>
        <w:jc w:val="both"/>
        <w:rPr>
          <w:rFonts w:ascii="Century Gothic" w:hAnsi="Century Gothic"/>
          <w:i/>
          <w:sz w:val="18"/>
          <w:szCs w:val="20"/>
        </w:rPr>
      </w:pPr>
    </w:p>
    <w:p>
      <w:pPr>
        <w:jc w:val="both"/>
        <w:rPr>
          <w:rFonts w:ascii="Century Gothic" w:hAnsi="Century Gothic"/>
          <w:i/>
          <w:sz w:val="18"/>
          <w:szCs w:val="20"/>
        </w:rPr>
      </w:pPr>
      <w:r>
        <w:rPr>
          <w:rFonts w:ascii="Century Gothic" w:hAnsi="Century Gothic"/>
          <w:i/>
          <w:sz w:val="18"/>
          <w:szCs w:val="20"/>
        </w:rPr>
        <w:tab/>
      </w:r>
      <w:r>
        <w:rPr>
          <w:rFonts w:ascii="Century Gothic" w:hAnsi="Century Gothic"/>
          <w:b/>
          <w:i/>
          <w:sz w:val="18"/>
          <w:szCs w:val="20"/>
        </w:rPr>
        <w:t xml:space="preserve">RESULTANDO </w:t>
      </w:r>
      <w:r>
        <w:rPr>
          <w:rFonts w:ascii="Century Gothic" w:hAnsi="Century Gothic"/>
          <w:i/>
          <w:sz w:val="18"/>
          <w:szCs w:val="20"/>
        </w:rPr>
        <w:t>que con fecha 1 de septiembre de 2021 tuvo entrada en el Registro General de este Ayuntamiento la Notificación de la Resolución número 2021/6928 del Cabildo de La Palma , por la que se acuerdan las aportaciones dinerarias a favor de determinadas Corporaciones Locales para financiar acciones en materia de acción social</w:t>
      </w:r>
    </w:p>
    <w:p>
      <w:pPr>
        <w:jc w:val="both"/>
        <w:rPr>
          <w:rFonts w:ascii="Century Gothic" w:hAnsi="Century Gothic"/>
          <w:i/>
          <w:sz w:val="18"/>
          <w:szCs w:val="20"/>
        </w:rPr>
      </w:pPr>
    </w:p>
    <w:p>
      <w:pPr>
        <w:jc w:val="both"/>
        <w:rPr>
          <w:rFonts w:ascii="Century Gothic" w:hAnsi="Century Gothic"/>
          <w:i/>
          <w:sz w:val="18"/>
          <w:szCs w:val="20"/>
        </w:rPr>
      </w:pPr>
      <w:r>
        <w:rPr>
          <w:rFonts w:ascii="Century Gothic" w:hAnsi="Century Gothic"/>
          <w:i/>
          <w:sz w:val="18"/>
          <w:szCs w:val="20"/>
        </w:rPr>
        <w:tab/>
        <w:t>Esta Alcaldía, de conformidad con las facultades que le conceden las disposiciones legales vigentes</w:t>
      </w:r>
    </w:p>
    <w:p>
      <w:pPr>
        <w:jc w:val="both"/>
        <w:rPr>
          <w:rFonts w:ascii="Century Gothic" w:hAnsi="Century Gothic"/>
          <w:i/>
          <w:sz w:val="18"/>
          <w:szCs w:val="20"/>
        </w:rPr>
      </w:pPr>
    </w:p>
    <w:p>
      <w:pPr>
        <w:jc w:val="both"/>
        <w:rPr>
          <w:rFonts w:ascii="Century Gothic" w:hAnsi="Century Gothic"/>
          <w:b/>
          <w:i/>
          <w:sz w:val="18"/>
          <w:szCs w:val="20"/>
        </w:rPr>
      </w:pPr>
      <w:r>
        <w:rPr>
          <w:rFonts w:ascii="Century Gothic" w:hAnsi="Century Gothic"/>
          <w:i/>
          <w:sz w:val="18"/>
          <w:szCs w:val="20"/>
        </w:rPr>
        <w:tab/>
      </w:r>
      <w:r>
        <w:rPr>
          <w:rFonts w:ascii="Century Gothic" w:hAnsi="Century Gothic"/>
          <w:b/>
          <w:i/>
          <w:sz w:val="18"/>
          <w:szCs w:val="20"/>
        </w:rPr>
        <w:t>HA RESUELTO:</w:t>
      </w:r>
    </w:p>
    <w:p>
      <w:pPr>
        <w:jc w:val="both"/>
        <w:rPr>
          <w:rFonts w:ascii="Century Gothic" w:hAnsi="Century Gothic"/>
          <w:i/>
          <w:sz w:val="18"/>
          <w:szCs w:val="20"/>
        </w:rPr>
      </w:pPr>
    </w:p>
    <w:p>
      <w:pPr>
        <w:jc w:val="both"/>
        <w:rPr>
          <w:rFonts w:ascii="Century Gothic" w:hAnsi="Century Gothic"/>
          <w:i/>
          <w:sz w:val="18"/>
          <w:szCs w:val="20"/>
        </w:rPr>
      </w:pPr>
      <w:r>
        <w:rPr>
          <w:rFonts w:ascii="Century Gothic" w:hAnsi="Century Gothic"/>
          <w:i/>
          <w:sz w:val="18"/>
          <w:szCs w:val="20"/>
        </w:rPr>
        <w:tab/>
      </w:r>
      <w:r>
        <w:rPr>
          <w:rFonts w:ascii="Century Gothic" w:hAnsi="Century Gothic"/>
          <w:b/>
          <w:i/>
          <w:sz w:val="18"/>
          <w:szCs w:val="20"/>
        </w:rPr>
        <w:t>PRIMERO.-</w:t>
      </w:r>
      <w:r>
        <w:rPr>
          <w:rFonts w:ascii="Century Gothic" w:hAnsi="Century Gothic"/>
          <w:i/>
          <w:sz w:val="18"/>
          <w:szCs w:val="20"/>
        </w:rPr>
        <w:t xml:space="preserve"> Convocar las </w:t>
      </w:r>
      <w:r>
        <w:rPr>
          <w:rFonts w:ascii="Century Gothic" w:hAnsi="Century Gothic"/>
          <w:b/>
          <w:bCs/>
          <w:i/>
          <w:sz w:val="18"/>
          <w:szCs w:val="20"/>
        </w:rPr>
        <w:t>Ayudas de Emergencia Social</w:t>
      </w:r>
      <w:r>
        <w:rPr>
          <w:rFonts w:ascii="Century Gothic" w:hAnsi="Century Gothic"/>
          <w:i/>
          <w:sz w:val="18"/>
          <w:szCs w:val="20"/>
        </w:rPr>
        <w:t xml:space="preserve"> en el ejercicio 2021, con cargo a los fondos recogidos en la Resolución 2021/6928 del Excmo. Cabildo de La Palma por la que se acuerdan las aportaciones dinerarias a favor de determinadas Corporaciones Locales para financiar acciones de en materia de acción social, partida presupuestaria 2310.48001 [Proyecto de gastos 21.3.65], y de acuerdo con los siguientes criterios:</w:t>
      </w:r>
    </w:p>
    <w:p>
      <w:pPr>
        <w:jc w:val="both"/>
        <w:rPr>
          <w:rFonts w:ascii="Century Gothic" w:hAnsi="Century Gothic"/>
          <w:i/>
          <w:sz w:val="18"/>
          <w:szCs w:val="20"/>
        </w:rPr>
      </w:pPr>
    </w:p>
    <w:p>
      <w:pPr>
        <w:pStyle w:val="Prrafodelista"/>
        <w:numPr>
          <w:ilvl w:val="0"/>
          <w:numId w:val="5"/>
        </w:numPr>
        <w:contextualSpacing/>
        <w:jc w:val="both"/>
        <w:rPr>
          <w:rFonts w:ascii="Century Gothic" w:hAnsi="Century Gothic"/>
          <w:i/>
          <w:sz w:val="18"/>
          <w:szCs w:val="20"/>
        </w:rPr>
      </w:pPr>
      <w:r>
        <w:rPr>
          <w:rFonts w:ascii="Century Gothic" w:hAnsi="Century Gothic"/>
          <w:i/>
          <w:sz w:val="18"/>
          <w:szCs w:val="20"/>
        </w:rPr>
        <w:t>DOCUMENTACIÓN</w:t>
      </w:r>
    </w:p>
    <w:p>
      <w:pPr>
        <w:jc w:val="both"/>
        <w:rPr>
          <w:rFonts w:ascii="Century Gothic" w:hAnsi="Century Gothic"/>
          <w:i/>
          <w:sz w:val="18"/>
          <w:szCs w:val="20"/>
        </w:rPr>
      </w:pPr>
    </w:p>
    <w:p>
      <w:pPr>
        <w:jc w:val="both"/>
        <w:rPr>
          <w:rFonts w:ascii="Century Gothic" w:hAnsi="Century Gothic"/>
          <w:i/>
          <w:sz w:val="18"/>
          <w:szCs w:val="20"/>
        </w:rPr>
      </w:pPr>
      <w:r>
        <w:rPr>
          <w:rFonts w:ascii="Century Gothic" w:hAnsi="Century Gothic"/>
          <w:i/>
          <w:sz w:val="18"/>
          <w:szCs w:val="20"/>
        </w:rPr>
        <w:t>1.- DNI de todos los miembros de la unidad familiar</w:t>
      </w:r>
    </w:p>
    <w:p>
      <w:pPr>
        <w:jc w:val="both"/>
        <w:rPr>
          <w:rFonts w:ascii="Century Gothic" w:hAnsi="Century Gothic"/>
          <w:i/>
          <w:sz w:val="18"/>
          <w:szCs w:val="20"/>
        </w:rPr>
      </w:pPr>
      <w:r>
        <w:rPr>
          <w:rFonts w:ascii="Century Gothic" w:hAnsi="Century Gothic"/>
          <w:i/>
          <w:sz w:val="18"/>
          <w:szCs w:val="20"/>
        </w:rPr>
        <w:t>2.- Libro de familia si procede</w:t>
      </w:r>
    </w:p>
    <w:p>
      <w:pPr>
        <w:jc w:val="both"/>
        <w:rPr>
          <w:rFonts w:ascii="Century Gothic" w:hAnsi="Century Gothic"/>
          <w:i/>
          <w:sz w:val="18"/>
          <w:szCs w:val="20"/>
        </w:rPr>
      </w:pPr>
      <w:r>
        <w:rPr>
          <w:rFonts w:ascii="Century Gothic" w:hAnsi="Century Gothic"/>
          <w:i/>
          <w:sz w:val="18"/>
          <w:szCs w:val="20"/>
        </w:rPr>
        <w:t>3.- Certificado de empadronamiento y residencia en el municipio de El Paso.</w:t>
      </w:r>
    </w:p>
    <w:p>
      <w:pPr>
        <w:jc w:val="both"/>
        <w:rPr>
          <w:rFonts w:ascii="Century Gothic" w:hAnsi="Century Gothic"/>
          <w:i/>
          <w:sz w:val="18"/>
          <w:szCs w:val="20"/>
        </w:rPr>
      </w:pPr>
      <w:r>
        <w:rPr>
          <w:rFonts w:ascii="Century Gothic" w:hAnsi="Century Gothic"/>
          <w:i/>
          <w:sz w:val="18"/>
          <w:szCs w:val="20"/>
        </w:rPr>
        <w:t>5. Justificante de ingresos económicos de todos los/as miembros de la unidad familiar.</w:t>
      </w:r>
    </w:p>
    <w:p>
      <w:pPr>
        <w:jc w:val="both"/>
        <w:rPr>
          <w:rFonts w:ascii="Century Gothic" w:hAnsi="Century Gothic"/>
          <w:i/>
          <w:sz w:val="18"/>
          <w:szCs w:val="20"/>
          <w:lang w:val="es-ES"/>
        </w:rPr>
      </w:pPr>
      <w:r>
        <w:rPr>
          <w:rFonts w:ascii="Century Gothic" w:hAnsi="Century Gothic"/>
          <w:i/>
          <w:sz w:val="18"/>
          <w:szCs w:val="20"/>
        </w:rPr>
        <w:t>6.</w:t>
      </w:r>
      <w:r>
        <w:rPr>
          <w:rFonts w:ascii="Century Gothic" w:eastAsia="Calibri" w:hAnsi="Century Gothic"/>
          <w:i/>
          <w:sz w:val="18"/>
          <w:szCs w:val="20"/>
          <w:lang w:val="es-ES"/>
        </w:rPr>
        <w:t xml:space="preserve"> </w:t>
      </w:r>
      <w:r>
        <w:rPr>
          <w:rFonts w:ascii="Century Gothic" w:hAnsi="Century Gothic"/>
          <w:i/>
          <w:sz w:val="18"/>
          <w:szCs w:val="20"/>
          <w:lang w:val="es-ES"/>
        </w:rPr>
        <w:t xml:space="preserve">Los ingresos mensuales de la unidad familiar no podrán ser superiores al 100% del IPREM vigente. </w:t>
      </w:r>
    </w:p>
    <w:p>
      <w:pPr>
        <w:jc w:val="both"/>
        <w:rPr>
          <w:rFonts w:ascii="Century Gothic" w:hAnsi="Century Gothic"/>
          <w:i/>
          <w:sz w:val="18"/>
          <w:szCs w:val="20"/>
          <w:lang w:val="es-ES"/>
        </w:rPr>
      </w:pPr>
      <w:r>
        <w:rPr>
          <w:rFonts w:ascii="Century Gothic" w:hAnsi="Century Gothic"/>
          <w:i/>
          <w:sz w:val="18"/>
          <w:szCs w:val="20"/>
          <w:lang w:val="es-ES"/>
        </w:rPr>
        <w:t>De estos ingresos serán deducibles, hasta un máximo de 300 €, los gastos de alquiler o  hipoteca de la vivienda habitual.</w:t>
      </w:r>
    </w:p>
    <w:p>
      <w:pPr>
        <w:jc w:val="both"/>
        <w:rPr>
          <w:rFonts w:ascii="Century Gothic" w:hAnsi="Century Gothic"/>
          <w:i/>
          <w:sz w:val="18"/>
          <w:szCs w:val="20"/>
          <w:lang w:val="es-ES"/>
        </w:rPr>
      </w:pPr>
    </w:p>
    <w:p>
      <w:pPr>
        <w:pStyle w:val="Prrafodelista"/>
        <w:numPr>
          <w:ilvl w:val="0"/>
          <w:numId w:val="5"/>
        </w:numPr>
        <w:contextualSpacing/>
        <w:jc w:val="both"/>
        <w:rPr>
          <w:rFonts w:ascii="Century Gothic" w:hAnsi="Century Gothic"/>
          <w:i/>
          <w:sz w:val="18"/>
          <w:szCs w:val="20"/>
        </w:rPr>
      </w:pPr>
      <w:r>
        <w:rPr>
          <w:rFonts w:ascii="Century Gothic" w:hAnsi="Century Gothic"/>
          <w:i/>
          <w:sz w:val="18"/>
          <w:szCs w:val="20"/>
        </w:rPr>
        <w:t>BENEFICIARIOS/AS</w:t>
      </w:r>
    </w:p>
    <w:p>
      <w:pPr>
        <w:pStyle w:val="Prrafodelista"/>
        <w:jc w:val="both"/>
        <w:rPr>
          <w:rFonts w:ascii="Century Gothic" w:hAnsi="Century Gothic"/>
          <w:i/>
          <w:color w:val="00B050"/>
          <w:sz w:val="18"/>
          <w:szCs w:val="20"/>
        </w:rPr>
      </w:pPr>
    </w:p>
    <w:p>
      <w:pPr>
        <w:jc w:val="both"/>
        <w:rPr>
          <w:rFonts w:ascii="Century Gothic" w:hAnsi="Century Gothic"/>
          <w:i/>
          <w:sz w:val="18"/>
          <w:szCs w:val="20"/>
          <w:lang w:val="es-ES"/>
        </w:rPr>
      </w:pPr>
      <w:r>
        <w:rPr>
          <w:rFonts w:ascii="Century Gothic" w:hAnsi="Century Gothic"/>
          <w:i/>
          <w:sz w:val="18"/>
          <w:szCs w:val="20"/>
          <w:lang w:val="es-ES"/>
        </w:rPr>
        <w:t xml:space="preserve">1.- Podrán ser  beneficiarios/as de estas ayudas todas aquellas personas empadronadas  y residentes en el municipio de El Paso. Pudiendo acceder a este línea de subvención aquellos/as usuarios/as que reúnan los requisitos y que tengan justificadas las ayudas concedías con anterioridad sin que se les tenga </w:t>
      </w:r>
      <w:r>
        <w:rPr>
          <w:rFonts w:ascii="Century Gothic" w:hAnsi="Century Gothic"/>
          <w:i/>
          <w:sz w:val="18"/>
          <w:szCs w:val="20"/>
          <w:lang w:val="es-ES"/>
        </w:rPr>
        <w:lastRenderedPageBreak/>
        <w:t xml:space="preserve">en cuenta el requisito de no haber recibido ayuda económica del área social de este Ayuntamiento en los últimos cuatro meses. </w:t>
      </w:r>
    </w:p>
    <w:p>
      <w:pPr>
        <w:jc w:val="both"/>
        <w:rPr>
          <w:rFonts w:ascii="Century Gothic" w:hAnsi="Century Gothic"/>
          <w:i/>
          <w:sz w:val="18"/>
          <w:szCs w:val="20"/>
          <w:lang w:val="es-ES"/>
        </w:rPr>
      </w:pPr>
    </w:p>
    <w:p>
      <w:pPr>
        <w:jc w:val="both"/>
        <w:rPr>
          <w:rFonts w:ascii="Century Gothic" w:hAnsi="Century Gothic"/>
          <w:i/>
          <w:sz w:val="18"/>
          <w:szCs w:val="20"/>
        </w:rPr>
      </w:pPr>
      <w:r>
        <w:rPr>
          <w:rFonts w:ascii="Century Gothic" w:hAnsi="Century Gothic"/>
          <w:i/>
          <w:sz w:val="18"/>
          <w:szCs w:val="20"/>
        </w:rPr>
        <w:t>2.- Podrán acceder a la ayuda cuantas unidades familiares existan dentro de una misma unidad convivencial. Ninguna persona podrá pertenecer a dos o más unidades familiares dentro de la unidad convivencial. Se entiende por unidad familiar: matrimonio con hijos/as menores y los/as hijos/as solteros/as menores de 25 años y mayores incapacitados”</w:t>
      </w:r>
    </w:p>
    <w:p>
      <w:pPr>
        <w:jc w:val="both"/>
        <w:rPr>
          <w:rFonts w:ascii="Century Gothic" w:hAnsi="Century Gothic"/>
          <w:i/>
          <w:sz w:val="18"/>
          <w:szCs w:val="20"/>
        </w:rPr>
      </w:pPr>
      <w:r>
        <w:rPr>
          <w:rFonts w:ascii="Century Gothic" w:hAnsi="Century Gothic"/>
          <w:i/>
          <w:sz w:val="18"/>
          <w:szCs w:val="20"/>
        </w:rPr>
        <w:t>Sólo puede solicitar la ayuda uno de los/as miembros de la unidad familiar.</w:t>
      </w:r>
    </w:p>
    <w:p>
      <w:pPr>
        <w:jc w:val="both"/>
        <w:rPr>
          <w:rFonts w:ascii="Century Gothic" w:hAnsi="Century Gothic"/>
          <w:i/>
          <w:sz w:val="18"/>
          <w:szCs w:val="20"/>
        </w:rPr>
      </w:pPr>
    </w:p>
    <w:p>
      <w:pPr>
        <w:pStyle w:val="Prrafodelista"/>
        <w:numPr>
          <w:ilvl w:val="0"/>
          <w:numId w:val="5"/>
        </w:numPr>
        <w:contextualSpacing/>
        <w:jc w:val="both"/>
        <w:rPr>
          <w:rFonts w:ascii="Century Gothic" w:hAnsi="Century Gothic"/>
          <w:i/>
          <w:sz w:val="18"/>
          <w:szCs w:val="20"/>
        </w:rPr>
      </w:pPr>
      <w:r>
        <w:rPr>
          <w:rFonts w:ascii="Century Gothic" w:hAnsi="Century Gothic"/>
          <w:i/>
          <w:sz w:val="18"/>
          <w:szCs w:val="20"/>
        </w:rPr>
        <w:t>CONCEPTOS</w:t>
      </w:r>
    </w:p>
    <w:p>
      <w:pPr>
        <w:ind w:left="360"/>
        <w:jc w:val="both"/>
        <w:rPr>
          <w:rFonts w:ascii="Century Gothic" w:hAnsi="Century Gothic"/>
          <w:i/>
          <w:sz w:val="18"/>
          <w:szCs w:val="20"/>
        </w:rPr>
      </w:pPr>
    </w:p>
    <w:p>
      <w:pPr>
        <w:jc w:val="both"/>
        <w:rPr>
          <w:rFonts w:ascii="Century Gothic" w:hAnsi="Century Gothic"/>
          <w:i/>
          <w:sz w:val="18"/>
          <w:szCs w:val="20"/>
        </w:rPr>
      </w:pPr>
      <w:r>
        <w:rPr>
          <w:rFonts w:ascii="Century Gothic" w:hAnsi="Century Gothic"/>
          <w:i/>
          <w:sz w:val="18"/>
          <w:szCs w:val="20"/>
        </w:rPr>
        <w:t>Las ayudas económicas a conceder cubrirán los gastos derivados de:</w:t>
      </w:r>
    </w:p>
    <w:p>
      <w:pPr>
        <w:ind w:left="360"/>
        <w:jc w:val="both"/>
        <w:rPr>
          <w:rFonts w:ascii="Century Gothic" w:hAnsi="Century Gothic"/>
          <w:i/>
          <w:sz w:val="18"/>
          <w:szCs w:val="20"/>
        </w:rPr>
      </w:pPr>
    </w:p>
    <w:p>
      <w:pPr>
        <w:pStyle w:val="Prrafodelista"/>
        <w:numPr>
          <w:ilvl w:val="0"/>
          <w:numId w:val="6"/>
        </w:numPr>
        <w:contextualSpacing/>
        <w:jc w:val="both"/>
        <w:rPr>
          <w:rFonts w:ascii="Century Gothic" w:hAnsi="Century Gothic"/>
          <w:i/>
          <w:sz w:val="18"/>
          <w:szCs w:val="20"/>
        </w:rPr>
      </w:pPr>
      <w:r>
        <w:rPr>
          <w:rFonts w:ascii="Century Gothic" w:hAnsi="Century Gothic"/>
          <w:i/>
          <w:sz w:val="18"/>
          <w:szCs w:val="20"/>
        </w:rPr>
        <w:t>Necesidades básicas entendiéndose por estas;  alimentación, higiene, luz, agua, farmacia, vestido y calzado.</w:t>
      </w:r>
    </w:p>
    <w:p>
      <w:pPr>
        <w:pStyle w:val="Prrafodelista"/>
        <w:numPr>
          <w:ilvl w:val="0"/>
          <w:numId w:val="6"/>
        </w:numPr>
        <w:contextualSpacing/>
        <w:jc w:val="both"/>
        <w:rPr>
          <w:rFonts w:ascii="Century Gothic" w:hAnsi="Century Gothic"/>
          <w:i/>
          <w:sz w:val="18"/>
          <w:szCs w:val="20"/>
        </w:rPr>
      </w:pPr>
      <w:r>
        <w:rPr>
          <w:rFonts w:ascii="Century Gothic" w:hAnsi="Century Gothic"/>
          <w:i/>
          <w:sz w:val="18"/>
          <w:szCs w:val="20"/>
        </w:rPr>
        <w:t>Ayudas para el alquiler de la vivienda habitual.</w:t>
      </w:r>
    </w:p>
    <w:p>
      <w:pPr>
        <w:pStyle w:val="Prrafodelista"/>
        <w:numPr>
          <w:ilvl w:val="0"/>
          <w:numId w:val="6"/>
        </w:numPr>
        <w:contextualSpacing/>
        <w:jc w:val="both"/>
        <w:rPr>
          <w:rFonts w:ascii="Century Gothic" w:hAnsi="Century Gothic"/>
          <w:i/>
          <w:sz w:val="18"/>
          <w:szCs w:val="20"/>
        </w:rPr>
      </w:pPr>
      <w:r>
        <w:rPr>
          <w:rFonts w:ascii="Century Gothic" w:hAnsi="Century Gothic"/>
          <w:i/>
          <w:sz w:val="18"/>
          <w:szCs w:val="20"/>
        </w:rPr>
        <w:t>Adquisición de gafas  graduadas.</w:t>
      </w:r>
    </w:p>
    <w:p>
      <w:pPr>
        <w:ind w:left="360"/>
        <w:jc w:val="both"/>
        <w:rPr>
          <w:rFonts w:ascii="Century Gothic" w:hAnsi="Century Gothic"/>
          <w:i/>
          <w:sz w:val="18"/>
          <w:szCs w:val="20"/>
        </w:rPr>
      </w:pPr>
    </w:p>
    <w:p>
      <w:pPr>
        <w:ind w:left="360"/>
        <w:jc w:val="both"/>
        <w:rPr>
          <w:rFonts w:ascii="Century Gothic" w:hAnsi="Century Gothic"/>
          <w:i/>
          <w:sz w:val="18"/>
          <w:szCs w:val="20"/>
        </w:rPr>
      </w:pPr>
      <w:r>
        <w:rPr>
          <w:rFonts w:ascii="Century Gothic" w:hAnsi="Century Gothic"/>
          <w:i/>
          <w:sz w:val="18"/>
          <w:szCs w:val="20"/>
        </w:rPr>
        <w:t xml:space="preserve">Las personas solicitantes podrán  optar en la misma solicitud a más de un concepto dependiendo de la necesidad y demanda que manifiesta en entrevista previa con el/a trabajador/a social. </w:t>
      </w:r>
    </w:p>
    <w:p>
      <w:pPr>
        <w:ind w:left="360"/>
        <w:jc w:val="both"/>
        <w:rPr>
          <w:rFonts w:ascii="Century Gothic" w:hAnsi="Century Gothic"/>
          <w:i/>
          <w:sz w:val="18"/>
          <w:szCs w:val="20"/>
        </w:rPr>
      </w:pPr>
    </w:p>
    <w:p>
      <w:pPr>
        <w:pStyle w:val="Prrafodelista"/>
        <w:numPr>
          <w:ilvl w:val="0"/>
          <w:numId w:val="5"/>
        </w:numPr>
        <w:contextualSpacing/>
        <w:jc w:val="both"/>
        <w:rPr>
          <w:rFonts w:ascii="Century Gothic" w:hAnsi="Century Gothic"/>
          <w:i/>
          <w:sz w:val="18"/>
          <w:szCs w:val="20"/>
        </w:rPr>
      </w:pPr>
      <w:r>
        <w:rPr>
          <w:rFonts w:ascii="Century Gothic" w:hAnsi="Century Gothic"/>
          <w:i/>
          <w:sz w:val="18"/>
          <w:szCs w:val="20"/>
        </w:rPr>
        <w:t>CUANTÍAS DE LAS AYUDAS</w:t>
      </w:r>
    </w:p>
    <w:p>
      <w:pPr>
        <w:jc w:val="both"/>
        <w:rPr>
          <w:rFonts w:ascii="Century Gothic" w:hAnsi="Century Gothic"/>
          <w:i/>
          <w:sz w:val="18"/>
          <w:szCs w:val="20"/>
          <w:lang w:val="es-ES"/>
        </w:rPr>
      </w:pPr>
    </w:p>
    <w:p>
      <w:pPr>
        <w:jc w:val="both"/>
        <w:rPr>
          <w:rFonts w:ascii="Century Gothic" w:hAnsi="Century Gothic"/>
          <w:i/>
          <w:sz w:val="18"/>
          <w:szCs w:val="20"/>
          <w:lang w:val="es-ES"/>
        </w:rPr>
      </w:pPr>
      <w:r>
        <w:rPr>
          <w:rFonts w:ascii="Century Gothic" w:hAnsi="Century Gothic"/>
          <w:i/>
          <w:sz w:val="18"/>
          <w:szCs w:val="20"/>
          <w:lang w:val="es-ES"/>
        </w:rPr>
        <w:tab/>
        <w:t>La cuantía de las ayudas se determinará en función de las necesidades y de la demanda existente, según el criterio profesional de los/as técnicos/as del Área Social de este Ayuntamiento.</w:t>
      </w:r>
    </w:p>
    <w:p>
      <w:pPr>
        <w:jc w:val="both"/>
        <w:rPr>
          <w:rFonts w:ascii="Century Gothic" w:hAnsi="Century Gothic"/>
          <w:i/>
          <w:sz w:val="18"/>
          <w:szCs w:val="20"/>
          <w:lang w:val="es-ES"/>
        </w:rPr>
      </w:pPr>
    </w:p>
    <w:p>
      <w:pPr>
        <w:pStyle w:val="Prrafodelista"/>
        <w:numPr>
          <w:ilvl w:val="0"/>
          <w:numId w:val="5"/>
        </w:numPr>
        <w:contextualSpacing/>
        <w:jc w:val="both"/>
        <w:rPr>
          <w:rFonts w:ascii="Century Gothic" w:hAnsi="Century Gothic"/>
          <w:i/>
          <w:sz w:val="18"/>
          <w:szCs w:val="20"/>
        </w:rPr>
      </w:pPr>
      <w:r>
        <w:rPr>
          <w:rFonts w:ascii="Century Gothic" w:hAnsi="Century Gothic"/>
          <w:i/>
          <w:sz w:val="18"/>
          <w:szCs w:val="20"/>
        </w:rPr>
        <w:t>PLAZOS</w:t>
      </w:r>
    </w:p>
    <w:p>
      <w:pPr>
        <w:ind w:left="360"/>
        <w:jc w:val="both"/>
        <w:rPr>
          <w:rFonts w:ascii="Century Gothic" w:hAnsi="Century Gothic"/>
          <w:i/>
          <w:sz w:val="18"/>
          <w:szCs w:val="20"/>
          <w:lang w:val="es-ES"/>
        </w:rPr>
      </w:pPr>
    </w:p>
    <w:p>
      <w:pPr>
        <w:jc w:val="both"/>
        <w:rPr>
          <w:rFonts w:ascii="Century Gothic" w:hAnsi="Century Gothic"/>
          <w:i/>
          <w:sz w:val="18"/>
          <w:szCs w:val="20"/>
          <w:lang w:val="es-ES"/>
        </w:rPr>
      </w:pPr>
      <w:r>
        <w:rPr>
          <w:rFonts w:ascii="Century Gothic" w:hAnsi="Century Gothic"/>
          <w:i/>
          <w:sz w:val="18"/>
          <w:szCs w:val="20"/>
          <w:lang w:val="es-ES"/>
        </w:rPr>
        <w:t xml:space="preserve">El plazo de ejecución de esta aportación será hasta el 31 de diciembre de 2021. </w:t>
      </w:r>
    </w:p>
    <w:p>
      <w:pPr>
        <w:jc w:val="both"/>
        <w:rPr>
          <w:rFonts w:ascii="Century Gothic" w:hAnsi="Century Gothic"/>
          <w:i/>
          <w:sz w:val="18"/>
          <w:szCs w:val="20"/>
          <w:lang w:val="es-ES"/>
        </w:rPr>
      </w:pPr>
      <w:r>
        <w:rPr>
          <w:rFonts w:ascii="Century Gothic" w:hAnsi="Century Gothic"/>
          <w:i/>
          <w:sz w:val="18"/>
          <w:szCs w:val="20"/>
          <w:lang w:val="es-ES"/>
        </w:rPr>
        <w:tab/>
      </w:r>
    </w:p>
    <w:p>
      <w:pPr>
        <w:ind w:firstLine="709"/>
        <w:jc w:val="both"/>
        <w:rPr>
          <w:rFonts w:ascii="Century Gothic" w:hAnsi="Century Gothic"/>
          <w:i/>
          <w:sz w:val="18"/>
          <w:szCs w:val="20"/>
          <w:lang w:val="es-ES"/>
        </w:rPr>
      </w:pPr>
      <w:r>
        <w:rPr>
          <w:rFonts w:ascii="Century Gothic" w:hAnsi="Century Gothic"/>
          <w:i/>
          <w:sz w:val="18"/>
          <w:szCs w:val="20"/>
          <w:lang w:val="es-ES"/>
        </w:rPr>
        <w:t xml:space="preserve">Para aquellos aspectos que no queden recogidos en la presente convocatoria, se adoptará  lo recogido en las Bases reguladoras de concesión general de ayudas económicas del área social de este Ayuntamiento publicadas en el Boletín Oficial de la Provincia de S/C de Tenerife nº 47, de 19 de abril de 2019 y en la sede electrónica de este Ayuntamiento </w:t>
      </w:r>
      <w:r>
        <w:rPr>
          <w:rFonts w:ascii="Century Gothic" w:eastAsia="Calibri" w:hAnsi="Century Gothic" w:cs="Arial"/>
          <w:i/>
          <w:sz w:val="18"/>
          <w:szCs w:val="20"/>
          <w:lang w:val="es-ES" w:eastAsia="en-US"/>
        </w:rPr>
        <w:t xml:space="preserve"> </w:t>
      </w:r>
      <w:hyperlink r:id="rId7" w:history="1">
        <w:r>
          <w:rPr>
            <w:rFonts w:ascii="Century Gothic" w:eastAsia="Calibri" w:hAnsi="Century Gothic" w:cs="Arial"/>
            <w:i/>
            <w:color w:val="0563C1"/>
            <w:sz w:val="18"/>
            <w:szCs w:val="20"/>
            <w:u w:val="single"/>
            <w:shd w:val="clear" w:color="auto" w:fill="FFFFFF"/>
            <w:lang w:val="es-ES" w:eastAsia="en-US"/>
          </w:rPr>
          <w:t>https://sede.elpaso.es/</w:t>
        </w:r>
      </w:hyperlink>
    </w:p>
    <w:p>
      <w:pPr>
        <w:pStyle w:val="NormalWeb"/>
        <w:spacing w:line="240" w:lineRule="auto"/>
        <w:ind w:left="0" w:firstLine="0"/>
        <w:rPr>
          <w:rFonts w:ascii="Century Gothic" w:hAnsi="Century Gothic"/>
          <w:b/>
          <w:i/>
          <w:sz w:val="18"/>
          <w:szCs w:val="20"/>
          <w:lang w:val="es-ES"/>
        </w:rPr>
      </w:pPr>
    </w:p>
    <w:p>
      <w:pPr>
        <w:tabs>
          <w:tab w:val="left" w:pos="3795"/>
        </w:tabs>
        <w:spacing w:after="200"/>
        <w:jc w:val="both"/>
        <w:rPr>
          <w:rFonts w:ascii="Century Gothic" w:eastAsia="Calibri" w:hAnsi="Century Gothic" w:cs="Arial"/>
          <w:i/>
          <w:color w:val="006621"/>
          <w:sz w:val="18"/>
          <w:szCs w:val="20"/>
          <w:shd w:val="clear" w:color="auto" w:fill="FFFFFF"/>
          <w:lang w:val="es-ES" w:eastAsia="en-US"/>
        </w:rPr>
      </w:pPr>
      <w:r>
        <w:rPr>
          <w:rFonts w:ascii="Century Gothic" w:eastAsia="Calibri" w:hAnsi="Century Gothic" w:cs="Arial"/>
          <w:i/>
          <w:sz w:val="18"/>
          <w:szCs w:val="20"/>
          <w:lang w:val="es-ES" w:eastAsia="en-US"/>
        </w:rPr>
        <w:t xml:space="preserve">     </w:t>
      </w:r>
      <w:r>
        <w:rPr>
          <w:rFonts w:ascii="Century Gothic" w:eastAsia="Calibri" w:hAnsi="Century Gothic" w:cs="Arial"/>
          <w:b/>
          <w:i/>
          <w:sz w:val="18"/>
          <w:szCs w:val="20"/>
          <w:lang w:val="es-ES" w:eastAsia="en-US"/>
        </w:rPr>
        <w:t xml:space="preserve">SEGUNDO: </w:t>
      </w:r>
      <w:r>
        <w:rPr>
          <w:rFonts w:ascii="Century Gothic" w:eastAsia="Calibri" w:hAnsi="Century Gothic" w:cs="Arial"/>
          <w:i/>
          <w:sz w:val="18"/>
          <w:szCs w:val="20"/>
          <w:lang w:val="es-ES" w:eastAsia="en-US"/>
        </w:rPr>
        <w:t xml:space="preserve">En cumplimiento de lo establecido en el artículo 20.8 de la LGS y en la Resolución de 10 de diciembre de 2015, de la Intervención General de la Administración del Estado, por la que se regula el proceso de registro y publicación de convocatorias de subvenciones y ayudas en el Sistema Nacional de Publicidad de Subvenciones, dar traslado de la Convocatoria a la Base de Datos Nacional de Subvenciones (BDNS) a los efectos de su publicación en dicha Base, así como de extracto de la misma para su publicación en el Boletín Oficial de la Provincia, a fin de que los interesados puedan presentar las correspondientes solicitudes así como en la sede electrónica de este Ayuntamiento  </w:t>
      </w:r>
      <w:hyperlink r:id="rId8" w:history="1">
        <w:r>
          <w:rPr>
            <w:rFonts w:ascii="Century Gothic" w:eastAsia="Calibri" w:hAnsi="Century Gothic" w:cs="Arial"/>
            <w:i/>
            <w:color w:val="0563C1"/>
            <w:sz w:val="18"/>
            <w:szCs w:val="20"/>
            <w:u w:val="single"/>
            <w:shd w:val="clear" w:color="auto" w:fill="FFFFFF"/>
            <w:lang w:val="es-ES" w:eastAsia="en-US"/>
          </w:rPr>
          <w:t>https://sede.elpaso.es/</w:t>
        </w:r>
      </w:hyperlink>
    </w:p>
    <w:p>
      <w:pPr>
        <w:tabs>
          <w:tab w:val="left" w:pos="3795"/>
        </w:tabs>
        <w:spacing w:after="200"/>
        <w:jc w:val="both"/>
        <w:rPr>
          <w:rFonts w:ascii="Century Gothic" w:eastAsia="Calibri" w:hAnsi="Century Gothic" w:cs="Arial"/>
          <w:i/>
          <w:sz w:val="18"/>
          <w:szCs w:val="20"/>
          <w:lang w:val="es-ES" w:eastAsia="en-US"/>
        </w:rPr>
      </w:pPr>
      <w:r>
        <w:rPr>
          <w:rFonts w:ascii="Century Gothic" w:eastAsia="Calibri" w:hAnsi="Century Gothic" w:cs="Arial"/>
          <w:i/>
          <w:sz w:val="18"/>
          <w:szCs w:val="20"/>
          <w:lang w:val="es-ES" w:eastAsia="en-US"/>
        </w:rPr>
        <w:t xml:space="preserve">     </w:t>
      </w:r>
      <w:r>
        <w:rPr>
          <w:rFonts w:ascii="Century Gothic" w:eastAsia="Calibri" w:hAnsi="Century Gothic" w:cs="Arial"/>
          <w:b/>
          <w:i/>
          <w:sz w:val="18"/>
          <w:szCs w:val="20"/>
          <w:lang w:val="es-ES" w:eastAsia="en-US"/>
        </w:rPr>
        <w:t xml:space="preserve">TERCERO: </w:t>
      </w:r>
      <w:r>
        <w:rPr>
          <w:rFonts w:ascii="Century Gothic" w:eastAsia="Calibri" w:hAnsi="Century Gothic" w:cs="Arial"/>
          <w:i/>
          <w:sz w:val="18"/>
          <w:szCs w:val="20"/>
          <w:lang w:val="es-ES" w:eastAsia="en-US"/>
        </w:rPr>
        <w:t>Dar traslado de esta resolución a la Intervención Municipal al efecto de su conocimiento y cumplimiento de lo resuelto en el apartado tercero del presente Decreto”.</w:t>
      </w:r>
    </w:p>
    <w:p>
      <w:pPr>
        <w:jc w:val="both"/>
        <w:rPr>
          <w:rFonts w:ascii="Century Gothic" w:hAnsi="Century Gothic" w:cs="Arial"/>
          <w:sz w:val="18"/>
          <w:szCs w:val="18"/>
        </w:rPr>
      </w:pPr>
    </w:p>
    <w:p>
      <w:pPr>
        <w:pStyle w:val="Encabezado"/>
        <w:jc w:val="both"/>
        <w:rPr>
          <w:rFonts w:ascii="Century Gothic" w:hAnsi="Century Gothic" w:cs="Arial"/>
          <w:sz w:val="20"/>
          <w:szCs w:val="20"/>
        </w:rPr>
      </w:pPr>
      <w:r>
        <w:rPr>
          <w:rFonts w:ascii="Century Gothic" w:hAnsi="Century Gothic" w:cs="Arial"/>
          <w:sz w:val="20"/>
          <w:szCs w:val="20"/>
        </w:rPr>
        <w:tab/>
      </w:r>
      <w:r>
        <w:rPr>
          <w:rFonts w:ascii="Century Gothic" w:hAnsi="Century Gothic" w:cs="Arial"/>
          <w:b/>
          <w:bCs/>
          <w:sz w:val="20"/>
          <w:szCs w:val="20"/>
        </w:rPr>
        <w:t>SEGUNDA.-</w:t>
      </w:r>
      <w:r>
        <w:rPr>
          <w:rFonts w:ascii="Century Gothic" w:hAnsi="Century Gothic" w:cs="Arial"/>
          <w:sz w:val="20"/>
          <w:szCs w:val="20"/>
        </w:rPr>
        <w:t xml:space="preserve"> Notificar a la Intervención Municipal a los efectos que proceda. </w:t>
      </w:r>
    </w:p>
    <w:p>
      <w:pPr>
        <w:jc w:val="both"/>
        <w:rPr>
          <w:rFonts w:ascii="Century Gothic" w:hAnsi="Century Gothic" w:cs="Arial"/>
          <w:sz w:val="20"/>
          <w:szCs w:val="20"/>
        </w:rPr>
      </w:pPr>
    </w:p>
    <w:p/>
    <w:sectPr>
      <w:headerReference w:type="default" r:id="rId9"/>
      <w:footerReference w:type="even" r:id="rId10"/>
      <w:footerReference w:type="default" r:id="rId11"/>
      <w:pgSz w:w="11906" w:h="16838" w:code="9"/>
      <w:pgMar w:top="3969" w:right="1418" w:bottom="1418" w:left="1418" w:header="317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Piedepgina"/>
      <w:framePr w:wrap="around" w:vAnchor="text" w:hAnchor="margin" w:xAlign="center" w:y="1"/>
      <w:rPr>
        <w:rStyle w:val="Nmerodepgina"/>
        <w:sz w:val="20"/>
        <w:szCs w:val="20"/>
      </w:rPr>
    </w:pPr>
    <w:r>
      <w:rPr>
        <w:rStyle w:val="Nmerodepgina"/>
        <w:sz w:val="20"/>
        <w:szCs w:val="20"/>
      </w:rPr>
      <w:fldChar w:fldCharType="begin"/>
    </w:r>
    <w:r>
      <w:rPr>
        <w:rStyle w:val="Nmerodepgina"/>
        <w:sz w:val="20"/>
        <w:szCs w:val="20"/>
      </w:rPr>
      <w:instrText xml:space="preserve">PAGE  </w:instrText>
    </w:r>
    <w:r>
      <w:rPr>
        <w:rStyle w:val="Nmerodepgina"/>
        <w:sz w:val="20"/>
        <w:szCs w:val="20"/>
      </w:rPr>
      <w:fldChar w:fldCharType="separate"/>
    </w:r>
    <w:r>
      <w:rPr>
        <w:rStyle w:val="Nmerodepgina"/>
        <w:noProof/>
        <w:sz w:val="20"/>
        <w:szCs w:val="20"/>
      </w:rPr>
      <w:t>1</w:t>
    </w:r>
    <w:r>
      <w:rPr>
        <w:rStyle w:val="Nmerodepgina"/>
        <w:sz w:val="20"/>
        <w:szCs w:val="20"/>
      </w:rPr>
      <w:fldChar w:fldCharType="end"/>
    </w:r>
  </w:p>
  <w:p>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Encabezado"/>
    </w:pPr>
    <w:r>
      <w:rPr>
        <w:noProof/>
      </w:rPr>
      <w:drawing>
        <wp:anchor distT="0" distB="0" distL="114300" distR="114300" simplePos="0" relativeHeight="251657728" behindDoc="0" locked="0" layoutInCell="1" allowOverlap="1">
          <wp:simplePos x="0" y="0"/>
          <wp:positionH relativeFrom="column">
            <wp:posOffset>-756285</wp:posOffset>
          </wp:positionH>
          <wp:positionV relativeFrom="paragraph">
            <wp:posOffset>-1663700</wp:posOffset>
          </wp:positionV>
          <wp:extent cx="2638425" cy="1724025"/>
          <wp:effectExtent l="0" t="0" r="0" b="0"/>
          <wp:wrapSquare wrapText="bothSides"/>
          <wp:docPr id="1" name="Imagen 2" descr="C:\Documents and Settings\Administrador\Mis documentos\Mis imágenes\plantilla gris el paso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Documents and Settings\Administrador\Mis documentos\Mis imágenes\plantilla gris el paso copy.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8425" cy="17240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15296"/>
    <w:multiLevelType w:val="hybridMultilevel"/>
    <w:tmpl w:val="33ACB24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C4E0D07"/>
    <w:multiLevelType w:val="hybridMultilevel"/>
    <w:tmpl w:val="B73E3CEA"/>
    <w:lvl w:ilvl="0" w:tplc="AB5420D4">
      <w:numFmt w:val="bullet"/>
      <w:lvlText w:val="-"/>
      <w:lvlJc w:val="left"/>
      <w:pPr>
        <w:tabs>
          <w:tab w:val="num" w:pos="720"/>
        </w:tabs>
        <w:ind w:left="720" w:hanging="360"/>
      </w:pPr>
      <w:rPr>
        <w:rFonts w:ascii="Courier New" w:eastAsia="Times New Roman"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08D0493"/>
    <w:multiLevelType w:val="hybridMultilevel"/>
    <w:tmpl w:val="C54C8984"/>
    <w:lvl w:ilvl="0" w:tplc="B428D2A0">
      <w:start w:val="4"/>
      <w:numFmt w:val="bullet"/>
      <w:lvlText w:val="-"/>
      <w:lvlJc w:val="left"/>
      <w:pPr>
        <w:ind w:left="1068" w:hanging="360"/>
      </w:pPr>
      <w:rPr>
        <w:rFonts w:ascii="Courier New" w:eastAsia="Times New Roman" w:hAnsi="Courier New" w:cs="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59462D38"/>
    <w:multiLevelType w:val="hybridMultilevel"/>
    <w:tmpl w:val="747E83E0"/>
    <w:lvl w:ilvl="0" w:tplc="709C914C">
      <w:start w:val="1"/>
      <w:numFmt w:val="lowerLetter"/>
      <w:lvlText w:val="%1)"/>
      <w:lvlJc w:val="left"/>
      <w:pPr>
        <w:tabs>
          <w:tab w:val="num" w:pos="1260"/>
        </w:tabs>
        <w:ind w:left="1260" w:hanging="555"/>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4" w15:restartNumberingAfterBreak="0">
    <w:nsid w:val="66E11AAE"/>
    <w:multiLevelType w:val="hybridMultilevel"/>
    <w:tmpl w:val="AE9ACB36"/>
    <w:lvl w:ilvl="0" w:tplc="5360EEB2">
      <w:start w:val="1"/>
      <w:numFmt w:val="bullet"/>
      <w:lvlText w:val="-"/>
      <w:lvlJc w:val="left"/>
      <w:pPr>
        <w:tabs>
          <w:tab w:val="num" w:pos="1065"/>
        </w:tabs>
        <w:ind w:left="1065" w:hanging="360"/>
      </w:pPr>
      <w:rPr>
        <w:rFonts w:ascii="Courier New" w:eastAsia="Times New Roman" w:hAnsi="Courier New" w:cs="Courier New"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6EA17514"/>
    <w:multiLevelType w:val="hybridMultilevel"/>
    <w:tmpl w:val="4D12341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9"/>
  <w:hyphenationZone w:val="4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9CFF4E7C-505F-48D5-AE5B-6A7881220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Times New Roman" w:hAnsi="Courier New"/>
      <w:sz w:val="22"/>
      <w:szCs w:val="22"/>
      <w:lang w:val="es-ES_tradnl"/>
    </w:rPr>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qFormat/>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ar"/>
    <w:uiPriority w:val="9"/>
    <w:semiHidden/>
    <w:unhideWhenUsed/>
    <w:qFormat/>
    <w:pPr>
      <w:spacing w:before="240" w:after="60"/>
      <w:outlineLvl w:val="4"/>
    </w:pPr>
    <w:rPr>
      <w:rFonts w:ascii="Calibri" w:hAnsi="Calibri"/>
      <w:b/>
      <w:bCs/>
      <w:i/>
      <w:iCs/>
      <w:sz w:val="26"/>
      <w:szCs w:val="26"/>
    </w:rPr>
  </w:style>
  <w:style w:type="paragraph" w:styleId="Ttulo6">
    <w:name w:val="heading 6"/>
    <w:basedOn w:val="Normal"/>
    <w:next w:val="Normal"/>
    <w:qFormat/>
    <w:pPr>
      <w:keepNext/>
      <w:widowControl w:val="0"/>
      <w:spacing w:line="360" w:lineRule="auto"/>
      <w:jc w:val="center"/>
      <w:outlineLvl w:val="5"/>
    </w:pPr>
    <w:rPr>
      <w:rFonts w:ascii="Verdana" w:hAnsi="Verdana"/>
      <w:b/>
      <w:bCs/>
      <w:sz w:val="20"/>
      <w:szCs w:val="24"/>
    </w:rPr>
  </w:style>
  <w:style w:type="paragraph" w:styleId="Ttulo7">
    <w:name w:val="heading 7"/>
    <w:basedOn w:val="Normal"/>
    <w:next w:val="Normal"/>
    <w:qFormat/>
    <w:pPr>
      <w:keepNext/>
      <w:widowControl w:val="0"/>
      <w:spacing w:line="360" w:lineRule="auto"/>
      <w:jc w:val="center"/>
      <w:outlineLvl w:val="6"/>
    </w:pPr>
    <w:rPr>
      <w:rFonts w:ascii="Verdana" w:hAnsi="Verdana"/>
      <w:b/>
      <w:b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plantilla"/>
    <w:basedOn w:val="Normal"/>
    <w:link w:val="EncabezadoCar"/>
    <w:uiPriority w:val="99"/>
    <w:unhideWhenUsed/>
    <w:pPr>
      <w:tabs>
        <w:tab w:val="center" w:pos="4252"/>
        <w:tab w:val="right" w:pos="8504"/>
      </w:tabs>
    </w:pPr>
  </w:style>
  <w:style w:type="character" w:customStyle="1" w:styleId="EncabezadoCar">
    <w:name w:val="Encabezado Car"/>
    <w:aliases w:val="Encabezado plantilla Car"/>
    <w:basedOn w:val="Fuentedeprrafopredeter"/>
    <w:link w:val="Encabezado"/>
    <w:uiPriority w:val="99"/>
    <w:locked/>
  </w:style>
  <w:style w:type="paragraph" w:styleId="Piedepgina">
    <w:name w:val="footer"/>
    <w:basedOn w:val="Normal"/>
    <w:link w:val="PiedepginaCar"/>
    <w:uiPriority w:val="99"/>
    <w:semiHidden/>
    <w:unhideWhenUsed/>
    <w:pPr>
      <w:tabs>
        <w:tab w:val="center" w:pos="4252"/>
        <w:tab w:val="right" w:pos="8504"/>
      </w:tabs>
    </w:pPr>
  </w:style>
  <w:style w:type="character" w:customStyle="1" w:styleId="PiedepginaCar">
    <w:name w:val="Pie de página Car"/>
    <w:basedOn w:val="Fuentedeprrafopredeter"/>
    <w:link w:val="Piedepgina"/>
    <w:uiPriority w:val="99"/>
    <w:semiHidden/>
    <w:locked/>
  </w:style>
  <w:style w:type="paragraph" w:styleId="Textodeglobo">
    <w:name w:val="Balloon Text"/>
    <w:basedOn w:val="Normal"/>
    <w:link w:val="TextodegloboCar"/>
    <w:uiPriority w:val="99"/>
    <w:semiHidden/>
    <w:unhideWhenUsed/>
    <w:rPr>
      <w:rFonts w:ascii="Tahoma" w:hAnsi="Tahoma" w:cs="Tahoma"/>
      <w:sz w:val="16"/>
      <w:szCs w:val="16"/>
    </w:rPr>
  </w:style>
  <w:style w:type="character" w:customStyle="1" w:styleId="TextodegloboCar">
    <w:name w:val="Texto de globo Car"/>
    <w:link w:val="Textodeglobo"/>
    <w:uiPriority w:val="99"/>
    <w:semiHidden/>
    <w:locked/>
    <w:rPr>
      <w:rFonts w:ascii="Tahoma" w:hAnsi="Tahoma" w:cs="Tahoma" w:hint="default"/>
      <w:sz w:val="16"/>
      <w:szCs w:val="16"/>
    </w:rPr>
  </w:style>
  <w:style w:type="paragraph" w:styleId="NormalWeb">
    <w:name w:val="Normal (Web)"/>
    <w:basedOn w:val="Normal"/>
    <w:uiPriority w:val="99"/>
    <w:pPr>
      <w:spacing w:line="360" w:lineRule="auto"/>
      <w:ind w:left="528" w:right="71" w:firstLine="600"/>
      <w:jc w:val="both"/>
    </w:pPr>
    <w:rPr>
      <w:rFonts w:ascii="Verdana" w:hAnsi="Verdana" w:cs="Arial"/>
      <w:sz w:val="20"/>
      <w:szCs w:val="24"/>
    </w:rPr>
  </w:style>
  <w:style w:type="character" w:styleId="nfasis">
    <w:name w:val="Emphasis"/>
    <w:qFormat/>
    <w:rPr>
      <w:i/>
      <w:iCs/>
    </w:rPr>
  </w:style>
  <w:style w:type="character" w:styleId="Textoennegrita">
    <w:name w:val="Strong"/>
    <w:qFormat/>
    <w:rPr>
      <w:b/>
      <w:bCs/>
    </w:rPr>
  </w:style>
  <w:style w:type="character" w:styleId="Nmerodepgina">
    <w:name w:val="page number"/>
    <w:basedOn w:val="Fuentedeprrafopredeter"/>
  </w:style>
  <w:style w:type="paragraph" w:styleId="Textoindependiente">
    <w:name w:val="Body Text"/>
    <w:basedOn w:val="Normal"/>
    <w:pPr>
      <w:tabs>
        <w:tab w:val="left" w:pos="851"/>
        <w:tab w:val="left" w:pos="1700"/>
      </w:tabs>
      <w:suppressAutoHyphens/>
      <w:jc w:val="both"/>
    </w:pPr>
    <w:rPr>
      <w:spacing w:val="-3"/>
    </w:rPr>
  </w:style>
  <w:style w:type="paragraph" w:styleId="Sangradetextonormal">
    <w:name w:val="Body Text Indent"/>
    <w:basedOn w:val="Normal"/>
    <w:pPr>
      <w:spacing w:after="120"/>
      <w:ind w:left="283"/>
    </w:pPr>
  </w:style>
  <w:style w:type="paragraph" w:styleId="Ttulo">
    <w:name w:val="Title"/>
    <w:basedOn w:val="Normal"/>
    <w:qFormat/>
    <w:pPr>
      <w:jc w:val="center"/>
    </w:pPr>
    <w:rPr>
      <w:b/>
      <w:spacing w:val="-1"/>
      <w:szCs w:val="20"/>
      <w:u w:val="single"/>
    </w:rPr>
  </w:style>
  <w:style w:type="paragraph" w:styleId="Sangra3detindependiente">
    <w:name w:val="Body Text Indent 3"/>
    <w:basedOn w:val="Normal"/>
    <w:pPr>
      <w:spacing w:after="120"/>
      <w:ind w:left="283"/>
    </w:pPr>
    <w:rPr>
      <w:sz w:val="16"/>
      <w:szCs w:val="16"/>
    </w:rPr>
  </w:style>
  <w:style w:type="paragraph" w:styleId="Textosinformato">
    <w:name w:val="Plain Text"/>
    <w:basedOn w:val="Normal"/>
    <w:semiHidden/>
    <w:rPr>
      <w:sz w:val="20"/>
      <w:szCs w:val="20"/>
      <w:lang w:val="es-ES"/>
    </w:rPr>
  </w:style>
  <w:style w:type="character" w:customStyle="1" w:styleId="Ttulo3Car">
    <w:name w:val="Título 3 Car"/>
    <w:link w:val="Ttulo3"/>
    <w:rPr>
      <w:rFonts w:ascii="Arial" w:eastAsia="Times New Roman" w:hAnsi="Arial" w:cs="Arial"/>
      <w:b/>
      <w:bCs/>
      <w:sz w:val="26"/>
      <w:szCs w:val="26"/>
      <w:lang w:val="es-ES_tradnl"/>
    </w:rPr>
  </w:style>
  <w:style w:type="character" w:customStyle="1" w:styleId="Ttulo5Car">
    <w:name w:val="Título 5 Car"/>
    <w:link w:val="Ttulo5"/>
    <w:uiPriority w:val="9"/>
    <w:semiHidden/>
    <w:rPr>
      <w:rFonts w:ascii="Calibri" w:eastAsia="Times New Roman" w:hAnsi="Calibri" w:cs="Times New Roman"/>
      <w:b/>
      <w:bCs/>
      <w:i/>
      <w:iCs/>
      <w:sz w:val="26"/>
      <w:szCs w:val="26"/>
      <w:lang w:val="es-ES_tradnl"/>
    </w:rPr>
  </w:style>
  <w:style w:type="paragraph" w:styleId="Prrafodelista">
    <w:name w:val="List Paragraph"/>
    <w:basedOn w:val="Normal"/>
    <w:uiPriority w:val="34"/>
    <w:qFormat/>
    <w:pPr>
      <w:ind w:left="720"/>
    </w:pPr>
    <w:rPr>
      <w:rFonts w:ascii="Calibri" w:eastAsia="Calibri" w:hAnsi="Calibri" w:cs="Calibri"/>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411164">
      <w:bodyDiv w:val="1"/>
      <w:marLeft w:val="0"/>
      <w:marRight w:val="0"/>
      <w:marTop w:val="0"/>
      <w:marBottom w:val="0"/>
      <w:divBdr>
        <w:top w:val="none" w:sz="0" w:space="0" w:color="auto"/>
        <w:left w:val="none" w:sz="0" w:space="0" w:color="auto"/>
        <w:bottom w:val="none" w:sz="0" w:space="0" w:color="auto"/>
        <w:right w:val="none" w:sz="0" w:space="0" w:color="auto"/>
      </w:divBdr>
      <w:divsChild>
        <w:div w:id="272248477">
          <w:marLeft w:val="0"/>
          <w:marRight w:val="0"/>
          <w:marTop w:val="0"/>
          <w:marBottom w:val="0"/>
          <w:divBdr>
            <w:top w:val="none" w:sz="0" w:space="0" w:color="auto"/>
            <w:left w:val="none" w:sz="0" w:space="0" w:color="auto"/>
            <w:bottom w:val="none" w:sz="0" w:space="0" w:color="auto"/>
            <w:right w:val="none" w:sz="0" w:space="0" w:color="auto"/>
          </w:divBdr>
        </w:div>
        <w:div w:id="416024985">
          <w:marLeft w:val="0"/>
          <w:marRight w:val="0"/>
          <w:marTop w:val="0"/>
          <w:marBottom w:val="0"/>
          <w:divBdr>
            <w:top w:val="none" w:sz="0" w:space="0" w:color="auto"/>
            <w:left w:val="none" w:sz="0" w:space="0" w:color="auto"/>
            <w:bottom w:val="none" w:sz="0" w:space="0" w:color="auto"/>
            <w:right w:val="none" w:sz="0" w:space="0" w:color="auto"/>
          </w:divBdr>
        </w:div>
        <w:div w:id="497962633">
          <w:marLeft w:val="0"/>
          <w:marRight w:val="0"/>
          <w:marTop w:val="0"/>
          <w:marBottom w:val="0"/>
          <w:divBdr>
            <w:top w:val="none" w:sz="0" w:space="0" w:color="auto"/>
            <w:left w:val="none" w:sz="0" w:space="0" w:color="auto"/>
            <w:bottom w:val="none" w:sz="0" w:space="0" w:color="auto"/>
            <w:right w:val="none" w:sz="0" w:space="0" w:color="auto"/>
          </w:divBdr>
        </w:div>
        <w:div w:id="594486018">
          <w:marLeft w:val="0"/>
          <w:marRight w:val="0"/>
          <w:marTop w:val="0"/>
          <w:marBottom w:val="0"/>
          <w:divBdr>
            <w:top w:val="none" w:sz="0" w:space="0" w:color="auto"/>
            <w:left w:val="none" w:sz="0" w:space="0" w:color="auto"/>
            <w:bottom w:val="none" w:sz="0" w:space="0" w:color="auto"/>
            <w:right w:val="none" w:sz="0" w:space="0" w:color="auto"/>
          </w:divBdr>
        </w:div>
        <w:div w:id="606693694">
          <w:marLeft w:val="0"/>
          <w:marRight w:val="0"/>
          <w:marTop w:val="0"/>
          <w:marBottom w:val="0"/>
          <w:divBdr>
            <w:top w:val="none" w:sz="0" w:space="0" w:color="auto"/>
            <w:left w:val="none" w:sz="0" w:space="0" w:color="auto"/>
            <w:bottom w:val="none" w:sz="0" w:space="0" w:color="auto"/>
            <w:right w:val="none" w:sz="0" w:space="0" w:color="auto"/>
          </w:divBdr>
          <w:divsChild>
            <w:div w:id="1733575325">
              <w:blockQuote w:val="1"/>
              <w:marLeft w:val="0"/>
              <w:marRight w:val="0"/>
              <w:marTop w:val="240"/>
              <w:marBottom w:val="240"/>
              <w:divBdr>
                <w:top w:val="single" w:sz="6" w:space="12" w:color="DDDDDD"/>
                <w:left w:val="single" w:sz="6" w:space="24" w:color="DDDDDD"/>
                <w:bottom w:val="single" w:sz="6" w:space="18" w:color="DDDDDD"/>
                <w:right w:val="single" w:sz="6" w:space="24" w:color="DDDDDD"/>
              </w:divBdr>
            </w:div>
          </w:divsChild>
        </w:div>
        <w:div w:id="721561308">
          <w:marLeft w:val="0"/>
          <w:marRight w:val="0"/>
          <w:marTop w:val="0"/>
          <w:marBottom w:val="0"/>
          <w:divBdr>
            <w:top w:val="none" w:sz="0" w:space="0" w:color="auto"/>
            <w:left w:val="none" w:sz="0" w:space="0" w:color="auto"/>
            <w:bottom w:val="none" w:sz="0" w:space="0" w:color="auto"/>
            <w:right w:val="none" w:sz="0" w:space="0" w:color="auto"/>
          </w:divBdr>
        </w:div>
        <w:div w:id="1037193155">
          <w:marLeft w:val="0"/>
          <w:marRight w:val="0"/>
          <w:marTop w:val="0"/>
          <w:marBottom w:val="0"/>
          <w:divBdr>
            <w:top w:val="none" w:sz="0" w:space="0" w:color="auto"/>
            <w:left w:val="none" w:sz="0" w:space="0" w:color="auto"/>
            <w:bottom w:val="none" w:sz="0" w:space="0" w:color="auto"/>
            <w:right w:val="none" w:sz="0" w:space="0" w:color="auto"/>
          </w:divBdr>
        </w:div>
        <w:div w:id="1192259127">
          <w:marLeft w:val="0"/>
          <w:marRight w:val="0"/>
          <w:marTop w:val="0"/>
          <w:marBottom w:val="0"/>
          <w:divBdr>
            <w:top w:val="none" w:sz="0" w:space="0" w:color="auto"/>
            <w:left w:val="none" w:sz="0" w:space="0" w:color="auto"/>
            <w:bottom w:val="none" w:sz="0" w:space="0" w:color="auto"/>
            <w:right w:val="none" w:sz="0" w:space="0" w:color="auto"/>
          </w:divBdr>
          <w:divsChild>
            <w:div w:id="2050837511">
              <w:blockQuote w:val="1"/>
              <w:marLeft w:val="0"/>
              <w:marRight w:val="0"/>
              <w:marTop w:val="240"/>
              <w:marBottom w:val="240"/>
              <w:divBdr>
                <w:top w:val="single" w:sz="6" w:space="12" w:color="DDDDDD"/>
                <w:left w:val="single" w:sz="6" w:space="24" w:color="DDDDDD"/>
                <w:bottom w:val="single" w:sz="6" w:space="18" w:color="DDDDDD"/>
                <w:right w:val="single" w:sz="6" w:space="24" w:color="DDDDDD"/>
              </w:divBdr>
            </w:div>
          </w:divsChild>
        </w:div>
        <w:div w:id="1476946196">
          <w:marLeft w:val="0"/>
          <w:marRight w:val="0"/>
          <w:marTop w:val="0"/>
          <w:marBottom w:val="0"/>
          <w:divBdr>
            <w:top w:val="none" w:sz="0" w:space="0" w:color="auto"/>
            <w:left w:val="none" w:sz="0" w:space="0" w:color="auto"/>
            <w:bottom w:val="none" w:sz="0" w:space="0" w:color="auto"/>
            <w:right w:val="none" w:sz="0" w:space="0" w:color="auto"/>
          </w:divBdr>
        </w:div>
        <w:div w:id="1568302651">
          <w:marLeft w:val="0"/>
          <w:marRight w:val="0"/>
          <w:marTop w:val="0"/>
          <w:marBottom w:val="0"/>
          <w:divBdr>
            <w:top w:val="none" w:sz="0" w:space="0" w:color="auto"/>
            <w:left w:val="none" w:sz="0" w:space="0" w:color="auto"/>
            <w:bottom w:val="none" w:sz="0" w:space="0" w:color="auto"/>
            <w:right w:val="none" w:sz="0" w:space="0" w:color="auto"/>
          </w:divBdr>
        </w:div>
      </w:divsChild>
    </w:div>
    <w:div w:id="612636729">
      <w:bodyDiv w:val="1"/>
      <w:marLeft w:val="0"/>
      <w:marRight w:val="0"/>
      <w:marTop w:val="0"/>
      <w:marBottom w:val="0"/>
      <w:divBdr>
        <w:top w:val="none" w:sz="0" w:space="0" w:color="auto"/>
        <w:left w:val="none" w:sz="0" w:space="0" w:color="auto"/>
        <w:bottom w:val="none" w:sz="0" w:space="0" w:color="auto"/>
        <w:right w:val="none" w:sz="0" w:space="0" w:color="auto"/>
      </w:divBdr>
    </w:div>
    <w:div w:id="972557792">
      <w:bodyDiv w:val="1"/>
      <w:marLeft w:val="0"/>
      <w:marRight w:val="0"/>
      <w:marTop w:val="0"/>
      <w:marBottom w:val="0"/>
      <w:divBdr>
        <w:top w:val="none" w:sz="0" w:space="0" w:color="auto"/>
        <w:left w:val="none" w:sz="0" w:space="0" w:color="auto"/>
        <w:bottom w:val="none" w:sz="0" w:space="0" w:color="auto"/>
        <w:right w:val="none" w:sz="0" w:space="0" w:color="auto"/>
      </w:divBdr>
    </w:div>
    <w:div w:id="1131555415">
      <w:bodyDiv w:val="1"/>
      <w:marLeft w:val="0"/>
      <w:marRight w:val="0"/>
      <w:marTop w:val="0"/>
      <w:marBottom w:val="0"/>
      <w:divBdr>
        <w:top w:val="none" w:sz="0" w:space="0" w:color="auto"/>
        <w:left w:val="none" w:sz="0" w:space="0" w:color="auto"/>
        <w:bottom w:val="none" w:sz="0" w:space="0" w:color="auto"/>
        <w:right w:val="none" w:sz="0" w:space="0" w:color="auto"/>
      </w:divBdr>
    </w:div>
    <w:div w:id="1387072133">
      <w:bodyDiv w:val="1"/>
      <w:marLeft w:val="0"/>
      <w:marRight w:val="0"/>
      <w:marTop w:val="0"/>
      <w:marBottom w:val="0"/>
      <w:divBdr>
        <w:top w:val="none" w:sz="0" w:space="0" w:color="auto"/>
        <w:left w:val="none" w:sz="0" w:space="0" w:color="auto"/>
        <w:bottom w:val="none" w:sz="0" w:space="0" w:color="auto"/>
        <w:right w:val="none" w:sz="0" w:space="0" w:color="auto"/>
      </w:divBdr>
    </w:div>
    <w:div w:id="1565488090">
      <w:bodyDiv w:val="1"/>
      <w:marLeft w:val="0"/>
      <w:marRight w:val="0"/>
      <w:marTop w:val="0"/>
      <w:marBottom w:val="0"/>
      <w:divBdr>
        <w:top w:val="none" w:sz="0" w:space="0" w:color="auto"/>
        <w:left w:val="none" w:sz="0" w:space="0" w:color="auto"/>
        <w:bottom w:val="none" w:sz="0" w:space="0" w:color="auto"/>
        <w:right w:val="none" w:sz="0" w:space="0" w:color="auto"/>
      </w:divBdr>
    </w:div>
    <w:div w:id="1661419984">
      <w:bodyDiv w:val="1"/>
      <w:marLeft w:val="0"/>
      <w:marRight w:val="0"/>
      <w:marTop w:val="0"/>
      <w:marBottom w:val="0"/>
      <w:divBdr>
        <w:top w:val="none" w:sz="0" w:space="0" w:color="auto"/>
        <w:left w:val="none" w:sz="0" w:space="0" w:color="auto"/>
        <w:bottom w:val="none" w:sz="0" w:space="0" w:color="auto"/>
        <w:right w:val="none" w:sz="0" w:space="0" w:color="auto"/>
      </w:divBdr>
    </w:div>
    <w:div w:id="1848639564">
      <w:bodyDiv w:val="1"/>
      <w:marLeft w:val="0"/>
      <w:marRight w:val="0"/>
      <w:marTop w:val="0"/>
      <w:marBottom w:val="0"/>
      <w:divBdr>
        <w:top w:val="none" w:sz="0" w:space="0" w:color="auto"/>
        <w:left w:val="none" w:sz="0" w:space="0" w:color="auto"/>
        <w:bottom w:val="none" w:sz="0" w:space="0" w:color="auto"/>
        <w:right w:val="none" w:sz="0" w:space="0" w:color="auto"/>
      </w:divBdr>
    </w:div>
    <w:div w:id="1964075535">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de.elpaso.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de.elpaso.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usebio.AYTOELPASO\Escritorio\plantilla%20gris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gris1</Template>
  <TotalTime>0</TotalTime>
  <Pages>2</Pages>
  <Words>884</Words>
  <Characters>4777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INFORME DE INTERVENCIÓN</vt:lpstr>
    </vt:vector>
  </TitlesOfParts>
  <Company/>
  <LinksUpToDate>false</LinksUpToDate>
  <CharactersWithSpaces>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INTERVENCIÓN</dc:title>
  <dc:subject/>
  <dc:creator>eusebio</dc:creator>
  <cp:keywords/>
  <dc:description/>
  <cp:lastModifiedBy>Eusebio Barreto</cp:lastModifiedBy>
  <cp:revision>2</cp:revision>
  <cp:lastPrinted>2021-01-25T07:55:00Z</cp:lastPrinted>
  <dcterms:created xsi:type="dcterms:W3CDTF">2021-10-01T08:11:00Z</dcterms:created>
  <dcterms:modified xsi:type="dcterms:W3CDTF">2021-10-01T08:11:00Z</dcterms:modified>
</cp:coreProperties>
</file>