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2.xml" ContentType="application/vnd.openxmlformats-officedocument.wordprocessingml.header+xml"/>
  <Override PartName="/word/media/image1.jpeg" ContentType="image/jpeg"/>
  <Override PartName="/word/media/image2.jpeg" ContentType="image/jpeg"/>
  <Override PartName="/word/media/image3.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229"/>
        <w:ind w:left="0" w:right="953" w:hanging="0"/>
        <w:jc w:val="center"/>
        <w:rPr/>
      </w:pPr>
      <w:r>
        <w:rPr>
          <w:sz w:val="28"/>
        </w:rPr>
        <w:t xml:space="preserve"> </w:t>
      </w:r>
    </w:p>
    <w:p>
      <w:pPr>
        <w:pStyle w:val="Normal"/>
        <w:spacing w:lineRule="auto" w:line="259" w:before="0" w:after="0"/>
        <w:ind w:left="10" w:right="1023" w:hanging="10"/>
        <w:rPr/>
      </w:pPr>
      <w:r>
        <w:rPr>
          <w:rFonts w:ascii="Calibri" w:hAnsi="Calibri" w:asciiTheme="minorHAnsi" w:hAnsiTheme="minorHAnsi"/>
          <w:b/>
          <w:sz w:val="28"/>
          <w:szCs w:val="28"/>
          <w:u w:val="single" w:color="000000"/>
        </w:rPr>
        <w:t xml:space="preserve">BASES REGULADORES PER A LA CONCESSIÓ D'AJUDES AMB DESTINACIÓ A MINIMITZAR L'IMPACTE ECONÒMIC QUE EL COVID-19 ESTÀ SUPOSANT SOBRE PIMES, MICROPIMES, XICOTETS EMPRESARIS AUTÒNOMS I PROFESSIONALS DEL MUNICIPI D’ORBA 2021 </w:t>
      </w:r>
      <w:r>
        <w:rPr>
          <w:rFonts w:ascii="Calibri" w:hAnsi="Calibri" w:asciiTheme="minorHAnsi" w:hAnsiTheme="minorHAnsi"/>
          <w:b/>
          <w:sz w:val="28"/>
          <w:szCs w:val="28"/>
          <w:u w:val="single" w:color="000000"/>
        </w:rPr>
        <w:t>FINANÇADES PER LA EXCMA. DIPUTACIÓ PROVINCIAL D'ALACANT</w:t>
      </w:r>
    </w:p>
    <w:p>
      <w:pPr>
        <w:pStyle w:val="Normal"/>
        <w:spacing w:lineRule="auto" w:line="259" w:before="0" w:after="232"/>
        <w:ind w:left="0" w:right="0" w:hanging="0"/>
        <w:rPr>
          <w:rFonts w:ascii="Calibri" w:hAnsi="Calibri" w:asciiTheme="minorHAnsi" w:hAnsiTheme="minorHAnsi"/>
          <w:szCs w:val="24"/>
        </w:rPr>
      </w:pPr>
      <w:r>
        <w:rPr>
          <w:rFonts w:asciiTheme="minorHAnsi" w:hAnsiTheme="minorHAnsi" w:ascii="Calibri" w:hAnsi="Calibri"/>
          <w:szCs w:val="24"/>
        </w:rPr>
      </w:r>
    </w:p>
    <w:p>
      <w:pPr>
        <w:pStyle w:val="Encabezado1"/>
        <w:spacing w:lineRule="auto" w:line="240" w:before="0" w:after="240"/>
        <w:ind w:left="9" w:right="1090" w:hanging="10"/>
        <w:jc w:val="both"/>
        <w:rPr>
          <w:rFonts w:ascii="Calibri" w:hAnsi="Calibri" w:asciiTheme="minorHAnsi" w:hAnsiTheme="minorHAnsi"/>
          <w:b/>
          <w:b/>
          <w:bCs/>
          <w:szCs w:val="24"/>
          <w:u w:val="none"/>
        </w:rPr>
      </w:pPr>
      <w:r>
        <w:rPr>
          <w:rFonts w:ascii="Calibri" w:hAnsi="Calibri" w:asciiTheme="minorHAnsi" w:hAnsiTheme="minorHAnsi"/>
          <w:b/>
          <w:bCs/>
          <w:szCs w:val="24"/>
        </w:rPr>
        <w:t>PRIMERA. OBJECTE I FINALITAT</w:t>
      </w:r>
      <w:r>
        <w:rPr>
          <w:rFonts w:ascii="Calibri" w:hAnsi="Calibri" w:asciiTheme="minorHAnsi" w:hAnsiTheme="minorHAnsi"/>
          <w:b/>
          <w:bCs/>
          <w:szCs w:val="24"/>
          <w:u w:val="none"/>
        </w:rPr>
        <w:t xml:space="preserve"> </w:t>
      </w:r>
    </w:p>
    <w:p>
      <w:pPr>
        <w:pStyle w:val="Normal"/>
        <w:spacing w:lineRule="auto" w:line="240"/>
        <w:rPr/>
      </w:pPr>
      <w:r>
        <w:rPr/>
      </w:r>
    </w:p>
    <w:p>
      <w:pPr>
        <w:pStyle w:val="Normal"/>
        <w:spacing w:lineRule="auto" w:line="240" w:before="0" w:after="150"/>
        <w:ind w:left="19" w:right="1079" w:firstLine="689"/>
        <w:rPr>
          <w:rFonts w:ascii="Calibri" w:hAnsi="Calibri" w:asciiTheme="minorHAnsi" w:hAnsiTheme="minorHAnsi"/>
          <w:szCs w:val="24"/>
        </w:rPr>
      </w:pPr>
      <w:r>
        <w:rPr>
          <w:rFonts w:ascii="Calibri" w:hAnsi="Calibri" w:asciiTheme="minorHAnsi" w:hAnsiTheme="minorHAnsi"/>
          <w:szCs w:val="24"/>
        </w:rPr>
        <w:t xml:space="preserve">La pandèmia del SARS-CoV-2 (d'ara en avant Covid-19), ha derivat en una complicada situació d'emergència en matèria de salut pública a nivell mundial, i està afectant les economies locals de manera greu. </w:t>
      </w:r>
    </w:p>
    <w:p>
      <w:pPr>
        <w:pStyle w:val="Normal"/>
        <w:spacing w:lineRule="auto" w:line="240" w:before="0" w:after="150"/>
        <w:ind w:left="0" w:right="1090" w:hanging="0"/>
        <w:rPr/>
      </w:pPr>
      <w:r>
        <w:rPr>
          <w:rFonts w:ascii="Calibri" w:hAnsi="Calibri" w:asciiTheme="minorHAnsi" w:hAnsiTheme="minorHAnsi"/>
          <w:szCs w:val="24"/>
        </w:rPr>
        <w:t>Les presents bases tenen per objecte regular la concessió de subvencions en règim de concessió directa, atenent al que disposen els articles 22.2.c) i 28 de la Llei 38/2003, de 17 de novembre, General de Subvencions.</w:t>
      </w:r>
    </w:p>
    <w:p>
      <w:pPr>
        <w:pStyle w:val="Normal"/>
        <w:spacing w:lineRule="auto" w:line="240" w:before="0" w:after="150"/>
        <w:ind w:left="19" w:right="1079" w:hanging="0"/>
        <w:rPr/>
      </w:pPr>
      <w:r>
        <w:rPr>
          <w:rFonts w:ascii="Calibri" w:hAnsi="Calibri" w:asciiTheme="minorHAnsi" w:hAnsiTheme="minorHAnsi"/>
          <w:szCs w:val="24"/>
        </w:rPr>
        <w:t xml:space="preserve">Aquestes ajudes van destinades a minimitzar l'impacte econòmic que el COVID-19 està suposant sobre pimes, micropimes, autònoms i altres col·lectius subjectes a mutualitats, que hagen reduït la mitjana mensual de facturació dels mesos pels quals es vaja a sol·licitar l'ajuda (que han d'estar compresos entre </w:t>
      </w:r>
      <w:r>
        <w:rPr>
          <w:rFonts w:ascii="Calibri" w:hAnsi="Calibri" w:asciiTheme="minorHAnsi" w:hAnsiTheme="minorHAnsi"/>
          <w:szCs w:val="24"/>
        </w:rPr>
        <w:commentReference w:id="0"/>
      </w:r>
      <w:r>
        <w:rPr>
          <w:rFonts w:ascii="Calibri" w:hAnsi="Calibri" w:asciiTheme="minorHAnsi" w:hAnsiTheme="minorHAnsi"/>
          <w:szCs w:val="24"/>
        </w:rPr>
        <w:t xml:space="preserve">l'1 de juliol de 2020 i el 30 de juny de 2021), en </w:t>
      </w:r>
      <w:r>
        <w:rPr>
          <w:rFonts w:ascii="Calibri" w:hAnsi="Calibri" w:asciiTheme="minorHAnsi" w:hAnsiTheme="minorHAnsi"/>
          <w:szCs w:val="24"/>
        </w:rPr>
        <w:commentReference w:id="1"/>
      </w:r>
      <w:r>
        <w:rPr>
          <w:rFonts w:ascii="Calibri" w:hAnsi="Calibri" w:asciiTheme="minorHAnsi" w:hAnsiTheme="minorHAnsi"/>
          <w:szCs w:val="24"/>
        </w:rPr>
        <w:t xml:space="preserve">almenys el 25% respecte de la mitjana mensual facturat en 2019. </w:t>
      </w:r>
    </w:p>
    <w:p>
      <w:pPr>
        <w:pStyle w:val="Normal"/>
        <w:spacing w:lineRule="auto" w:line="240" w:before="0" w:after="0"/>
        <w:ind w:left="7"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150"/>
        <w:ind w:left="77" w:right="1079" w:hanging="0"/>
        <w:rPr>
          <w:rFonts w:ascii="Calibri" w:hAnsi="Calibri" w:asciiTheme="minorHAnsi" w:hAnsiTheme="minorHAnsi"/>
          <w:szCs w:val="24"/>
        </w:rPr>
      </w:pPr>
      <w:r>
        <w:rPr>
          <w:rFonts w:asciiTheme="minorHAnsi" w:hAnsiTheme="minorHAnsi" w:ascii="Calibri" w:hAnsi="Calibri"/>
          <w:szCs w:val="24"/>
        </w:rPr>
      </w:r>
    </w:p>
    <w:p>
      <w:pPr>
        <w:pStyle w:val="Encabezado1"/>
        <w:spacing w:lineRule="auto" w:line="240"/>
        <w:ind w:left="0" w:right="1090" w:hanging="0"/>
        <w:jc w:val="both"/>
        <w:rPr>
          <w:rFonts w:ascii="Calibri" w:hAnsi="Calibri" w:asciiTheme="minorHAnsi" w:hAnsiTheme="minorHAnsi"/>
          <w:b/>
          <w:b/>
          <w:bCs/>
          <w:szCs w:val="24"/>
          <w:u w:val="none"/>
        </w:rPr>
      </w:pPr>
      <w:r>
        <w:rPr>
          <w:rFonts w:ascii="Calibri" w:hAnsi="Calibri" w:asciiTheme="minorHAnsi" w:hAnsiTheme="minorHAnsi"/>
          <w:b/>
          <w:bCs/>
          <w:szCs w:val="24"/>
        </w:rPr>
        <w:t>SEGONA. REQUISITS PER A SER PERSONA O EMPRESA BENEFICIÀRIA</w:t>
      </w:r>
      <w:r>
        <w:rPr>
          <w:rFonts w:ascii="Calibri" w:hAnsi="Calibri" w:asciiTheme="minorHAnsi" w:hAnsiTheme="minorHAnsi"/>
          <w:b/>
          <w:bCs/>
          <w:szCs w:val="24"/>
          <w:u w:val="none"/>
        </w:rPr>
        <w:t xml:space="preserve"> </w:t>
      </w:r>
    </w:p>
    <w:p>
      <w:pPr>
        <w:pStyle w:val="Normal"/>
        <w:spacing w:lineRule="auto" w:line="240"/>
        <w:rPr/>
      </w:pPr>
      <w:r>
        <w:rPr/>
      </w:r>
    </w:p>
    <w:p>
      <w:pPr>
        <w:pStyle w:val="Normal"/>
        <w:spacing w:lineRule="auto" w:line="240" w:before="0" w:after="150"/>
        <w:ind w:left="19" w:right="1079" w:hanging="0"/>
        <w:rPr/>
      </w:pPr>
      <w:r>
        <w:rPr>
          <w:rFonts w:ascii="Calibri" w:hAnsi="Calibri" w:asciiTheme="minorHAnsi" w:hAnsiTheme="minorHAnsi"/>
          <w:szCs w:val="24"/>
        </w:rPr>
        <w:t>Poden accedir a la condició de beneficiari d'aquestes ajudes pimes, micropimes, xicotets empresaris autònoms i professionals del municipi d’orba 2021 que reunisquen les següents condicions:</w:t>
      </w:r>
    </w:p>
    <w:p>
      <w:pPr>
        <w:pStyle w:val="ListParagraph"/>
        <w:numPr>
          <w:ilvl w:val="0"/>
          <w:numId w:val="3"/>
        </w:numPr>
        <w:spacing w:lineRule="auto" w:line="240" w:before="0" w:after="150"/>
        <w:ind w:left="720" w:right="1079" w:hanging="360"/>
        <w:rPr>
          <w:rFonts w:ascii="Calibri" w:hAnsi="Calibri" w:asciiTheme="minorHAnsi" w:hAnsiTheme="minorHAnsi"/>
          <w:szCs w:val="24"/>
        </w:rPr>
      </w:pPr>
      <w:r>
        <w:rPr>
          <w:rFonts w:ascii="Calibri" w:hAnsi="Calibri" w:asciiTheme="minorHAnsi" w:hAnsiTheme="minorHAnsi"/>
          <w:szCs w:val="24"/>
        </w:rPr>
        <w:t xml:space="preserve">Haver reduït la mitjana mensual de facturació dels mesos pels quals es va a sol·licitar l'ajuda, açò és, els compresos entre </w:t>
      </w:r>
      <w:r>
        <w:rPr>
          <w:rFonts w:ascii="Calibri" w:hAnsi="Calibri" w:asciiTheme="minorHAnsi" w:hAnsiTheme="minorHAnsi"/>
          <w:szCs w:val="24"/>
        </w:rPr>
        <w:commentReference w:id="2"/>
      </w:r>
      <w:r>
        <w:rPr>
          <w:rFonts w:ascii="Calibri" w:hAnsi="Calibri" w:asciiTheme="minorHAnsi" w:hAnsiTheme="minorHAnsi"/>
          <w:szCs w:val="24"/>
        </w:rPr>
        <w:t xml:space="preserve">l'1 de juliol de 2020 i el 30 de juny de 2021, en </w:t>
      </w:r>
      <w:r>
        <w:rPr>
          <w:rFonts w:ascii="Calibri" w:hAnsi="Calibri" w:asciiTheme="minorHAnsi" w:hAnsiTheme="minorHAnsi"/>
          <w:szCs w:val="24"/>
        </w:rPr>
        <w:commentReference w:id="3"/>
      </w:r>
      <w:r>
        <w:rPr>
          <w:rFonts w:ascii="Calibri" w:hAnsi="Calibri" w:asciiTheme="minorHAnsi" w:hAnsiTheme="minorHAnsi"/>
          <w:szCs w:val="24"/>
        </w:rPr>
        <w:t>almenys el 25% respecte de la mitjana mensual facturat en 2019.</w:t>
      </w:r>
    </w:p>
    <w:p>
      <w:pPr>
        <w:pStyle w:val="ListParagraph"/>
        <w:numPr>
          <w:ilvl w:val="0"/>
          <w:numId w:val="3"/>
        </w:numPr>
        <w:spacing w:lineRule="auto" w:line="240" w:before="0" w:after="150"/>
        <w:ind w:left="720" w:right="1079" w:hanging="360"/>
        <w:rPr/>
      </w:pPr>
      <w:r>
        <w:rPr>
          <w:rFonts w:ascii="Calibri" w:hAnsi="Calibri" w:asciiTheme="minorHAnsi" w:hAnsiTheme="minorHAnsi"/>
          <w:szCs w:val="24"/>
        </w:rPr>
        <w:t xml:space="preserve">El domicili fiscal es troba el terme municipal d’Orba.  </w:t>
      </w:r>
    </w:p>
    <w:p>
      <w:pPr>
        <w:pStyle w:val="ListParagraph"/>
        <w:spacing w:lineRule="auto" w:line="240" w:before="0" w:after="150"/>
        <w:ind w:left="720" w:right="1079" w:hanging="360"/>
        <w:rPr>
          <w:rFonts w:ascii="Calibri" w:hAnsi="Calibri" w:asciiTheme="minorHAnsi" w:hAnsiTheme="minorHAnsi"/>
          <w:szCs w:val="24"/>
        </w:rPr>
      </w:pPr>
      <w:r>
        <w:rPr/>
      </w:r>
    </w:p>
    <w:p>
      <w:pPr>
        <w:pStyle w:val="ListParagraph"/>
        <w:spacing w:lineRule="auto" w:line="240" w:before="0" w:after="150"/>
        <w:ind w:left="720" w:right="1079" w:hanging="360"/>
        <w:rPr>
          <w:rFonts w:ascii="Calibri" w:hAnsi="Calibri" w:asciiTheme="minorHAnsi" w:hAnsiTheme="minorHAnsi"/>
          <w:szCs w:val="24"/>
        </w:rPr>
      </w:pPr>
      <w:r>
        <w:rPr/>
      </w:r>
    </w:p>
    <w:p>
      <w:pPr>
        <w:pStyle w:val="ListParagraph"/>
        <w:numPr>
          <w:ilvl w:val="0"/>
          <w:numId w:val="3"/>
        </w:numPr>
        <w:spacing w:lineRule="auto" w:line="240" w:before="0" w:after="150"/>
        <w:ind w:left="720" w:right="1079" w:hanging="360"/>
        <w:rPr/>
      </w:pPr>
      <w:r>
        <w:rPr>
          <w:rFonts w:ascii="Calibri" w:hAnsi="Calibri" w:asciiTheme="minorHAnsi" w:hAnsiTheme="minorHAnsi"/>
          <w:szCs w:val="24"/>
        </w:rPr>
        <w:t xml:space="preserve">Que les factures presentades corresponen a les despeses corrents de l’activitat per a la qual sol·licita subvenció, acompanyades del justificant bancari de pagament corresponent amb identificació de la persona o empresa destinatària o així mateix, acompanyades per qualsevol altre mitjà de justificació de pagament admés en dret. </w:t>
      </w:r>
    </w:p>
    <w:p>
      <w:pPr>
        <w:pStyle w:val="ListParagraph"/>
        <w:numPr>
          <w:ilvl w:val="0"/>
          <w:numId w:val="3"/>
        </w:numPr>
        <w:spacing w:lineRule="auto" w:line="240" w:before="0" w:after="261"/>
        <w:ind w:left="720" w:right="1079" w:hanging="360"/>
        <w:rPr>
          <w:rFonts w:ascii="Calibri" w:hAnsi="Calibri" w:asciiTheme="minorHAnsi" w:hAnsiTheme="minorHAnsi"/>
          <w:szCs w:val="24"/>
        </w:rPr>
      </w:pPr>
      <w:r>
        <w:rPr>
          <w:rFonts w:ascii="Calibri" w:hAnsi="Calibri" w:asciiTheme="minorHAnsi" w:hAnsiTheme="minorHAnsi"/>
          <w:szCs w:val="24"/>
        </w:rPr>
        <w:t>No estar incursos en les prohibicions per a obtindre la condició de beneficiari establides en els apartats 2 i 3 de l’article 13 de la Llei 38/2003 i no haver sigut sancionat mitjançant resolució ferma amb la pèrdua de la possibilitat d'obtindre subvencions, segons la Llei General de Subvencions o la Llei General Tributària.</w:t>
      </w:r>
      <w:r>
        <w:rPr>
          <w:rFonts w:ascii="Calibri" w:hAnsi="Calibri" w:asciiTheme="minorHAnsi" w:hAnsiTheme="minorHAnsi"/>
          <w:color w:val="FF0000"/>
          <w:szCs w:val="24"/>
        </w:rPr>
        <w:t xml:space="preserve"> </w:t>
      </w:r>
    </w:p>
    <w:p>
      <w:pPr>
        <w:pStyle w:val="ListParagraph"/>
        <w:numPr>
          <w:ilvl w:val="0"/>
          <w:numId w:val="3"/>
        </w:numPr>
        <w:spacing w:before="0" w:after="261"/>
        <w:ind w:left="720" w:right="1079" w:hanging="360"/>
        <w:rPr/>
      </w:pPr>
      <w:r>
        <w:rPr>
          <w:rFonts w:ascii="Calibri" w:hAnsi="Calibri" w:asciiTheme="minorHAnsi" w:hAnsiTheme="minorHAnsi"/>
          <w:szCs w:val="24"/>
        </w:rPr>
        <w:t>Estar al corrent en el compliment de les seues obligacions tributaries amb la Hisenda estatal (AEAT) i amb la Tresoreria General de la Seguretat Social (TGSS). Este requisit ha de complir-se des de la data de presentació de la sol·licitud fins a la data del pagament de la subvenció, si escau.</w:t>
      </w:r>
    </w:p>
    <w:p>
      <w:pPr>
        <w:pStyle w:val="ListParagraph"/>
        <w:numPr>
          <w:ilvl w:val="0"/>
          <w:numId w:val="3"/>
        </w:numPr>
        <w:spacing w:before="0" w:after="261"/>
        <w:ind w:left="720" w:right="1079" w:hanging="360"/>
        <w:rPr>
          <w:rFonts w:ascii="Calibri" w:hAnsi="Calibri"/>
        </w:rPr>
      </w:pPr>
      <w:r>
        <w:rPr>
          <w:rFonts w:ascii="Calibri" w:hAnsi="Calibri"/>
        </w:rPr>
        <w:t xml:space="preserve">Seran subvencionables els conceptes de despesa corrent enumerats amb anterioritat, abonats en el període comprés entre l'1 de juliol de 2020 i el 30 de juny de 2021.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169"/>
        <w:ind w:left="19" w:right="1079" w:hanging="0"/>
        <w:rPr/>
      </w:pPr>
      <w:r>
        <w:rPr>
          <w:rFonts w:ascii="Calibri" w:hAnsi="Calibri" w:asciiTheme="minorHAnsi" w:hAnsiTheme="minorHAnsi"/>
          <w:szCs w:val="24"/>
        </w:rPr>
        <w:t xml:space="preserve">A l’efecte d’acreditar el compliment dels requisits establerts en estes bases per a ser persona beneficiària de les ajudes, qui les sol·licite ha d’efectuar una declaració jurada en la qual s’indique que reuneix tots els requisits legals establerts en aquestes bases.   </w:t>
      </w:r>
    </w:p>
    <w:p>
      <w:pPr>
        <w:pStyle w:val="Normal"/>
        <w:spacing w:lineRule="auto" w:line="240" w:before="0" w:after="258"/>
        <w:ind w:left="19" w:right="1079" w:hanging="0"/>
        <w:rPr/>
      </w:pPr>
      <w:r>
        <w:rPr>
          <w:rFonts w:ascii="Calibri" w:hAnsi="Calibri" w:asciiTheme="minorHAnsi" w:hAnsiTheme="minorHAnsi"/>
          <w:szCs w:val="24"/>
        </w:rPr>
        <w:t xml:space="preserve">Queden excloses les administracions públiques, els seus organismes autònoms, les empreses públiques i altres ens públics, així com les associacions, fundacions i, en general, entitats sense ànim de lucre, i el personal autònom col·laborador.  </w:t>
      </w:r>
    </w:p>
    <w:p>
      <w:pPr>
        <w:pStyle w:val="Normal"/>
        <w:spacing w:lineRule="auto" w:line="240" w:before="0" w:after="263"/>
        <w:ind w:left="19" w:right="1079" w:hanging="0"/>
        <w:rPr/>
      </w:pPr>
      <w:r>
        <w:rPr>
          <w:rFonts w:ascii="Calibri" w:hAnsi="Calibri" w:asciiTheme="minorHAnsi" w:hAnsiTheme="minorHAnsi"/>
          <w:szCs w:val="24"/>
        </w:rPr>
        <w:t xml:space="preserve">També queden excloses, si qui sol·licita l’ajuda haguera suspés l’activitat per motiu diferent a l’obligació de suspensió exigida per les mesures extraordinàries de la situació actual de la pandèmia </w:t>
      </w:r>
      <w:r>
        <w:rPr>
          <w:rFonts w:ascii="Calibri" w:hAnsi="Calibri" w:asciiTheme="minorHAnsi" w:hAnsiTheme="minorHAnsi"/>
          <w:szCs w:val="24"/>
        </w:rPr>
        <w:commentReference w:id="4"/>
      </w:r>
      <w:r>
        <w:rPr>
          <w:rFonts w:ascii="Calibri" w:hAnsi="Calibri" w:asciiTheme="minorHAnsi" w:hAnsiTheme="minorHAnsi"/>
          <w:szCs w:val="24"/>
        </w:rPr>
        <w:t>covid-19.</w:t>
      </w:r>
      <w:r>
        <w:rPr>
          <w:rFonts w:ascii="Calibri" w:hAnsi="Calibri" w:asciiTheme="minorHAnsi" w:hAnsiTheme="minorHAnsi"/>
          <w:color w:val="FF0000"/>
          <w:szCs w:val="24"/>
        </w:rPr>
        <w:t xml:space="preserve"> </w:t>
      </w:r>
    </w:p>
    <w:p>
      <w:pPr>
        <w:pStyle w:val="Normal"/>
        <w:spacing w:lineRule="auto" w:line="240" w:before="0" w:after="263"/>
        <w:ind w:left="19" w:right="1079" w:hanging="0"/>
        <w:rPr>
          <w:rFonts w:ascii="Calibri" w:hAnsi="Calibri" w:asciiTheme="minorHAnsi" w:hAnsiTheme="minorHAnsi"/>
          <w:b/>
          <w:b/>
          <w:color w:val="FF0000"/>
          <w:szCs w:val="24"/>
        </w:rPr>
      </w:pPr>
      <w:r>
        <w:rPr/>
      </w:r>
    </w:p>
    <w:p>
      <w:pPr>
        <w:pStyle w:val="Encabezado1"/>
        <w:spacing w:lineRule="auto" w:line="240"/>
        <w:ind w:left="9" w:right="1090" w:hanging="10"/>
        <w:jc w:val="both"/>
        <w:rPr/>
      </w:pPr>
      <w:r>
        <w:rPr>
          <w:rFonts w:ascii="Calibri" w:hAnsi="Calibri" w:asciiTheme="minorHAnsi" w:hAnsiTheme="minorHAnsi"/>
          <w:b/>
          <w:szCs w:val="24"/>
        </w:rPr>
        <w:t>TERCERA. QUANTIA DE LES AJUDES</w:t>
      </w:r>
      <w:r>
        <w:rPr>
          <w:rFonts w:ascii="Calibri" w:hAnsi="Calibri" w:asciiTheme="minorHAnsi" w:hAnsiTheme="minorHAnsi"/>
          <w:b/>
          <w:szCs w:val="24"/>
          <w:u w:val="none"/>
        </w:rPr>
        <w:t xml:space="preserve"> </w:t>
      </w:r>
    </w:p>
    <w:p>
      <w:pPr>
        <w:pStyle w:val="Encabezado1"/>
        <w:spacing w:lineRule="auto" w:line="240"/>
        <w:ind w:left="9" w:right="1090" w:hanging="10"/>
        <w:jc w:val="both"/>
        <w:rPr>
          <w:rFonts w:ascii="Calibri" w:hAnsi="Calibri" w:asciiTheme="minorHAnsi" w:hAnsiTheme="minorHAnsi"/>
          <w:b/>
          <w:b/>
          <w:szCs w:val="24"/>
          <w:u w:val="none"/>
        </w:rPr>
      </w:pPr>
      <w:r>
        <w:rPr/>
      </w:r>
    </w:p>
    <w:p>
      <w:pPr>
        <w:pStyle w:val="Encabezado1"/>
        <w:spacing w:lineRule="auto" w:line="240"/>
        <w:ind w:left="9" w:right="1090" w:hanging="10"/>
        <w:jc w:val="both"/>
        <w:rPr>
          <w:u w:val="none" w:color="000000"/>
        </w:rPr>
      </w:pPr>
      <w:r>
        <w:rPr>
          <w:rFonts w:ascii="Calibri" w:hAnsi="Calibri" w:asciiTheme="minorHAnsi" w:hAnsiTheme="minorHAnsi"/>
          <w:szCs w:val="24"/>
          <w:u w:val="none" w:color="000000"/>
        </w:rPr>
        <w:t xml:space="preserve">Les ajudes a atorgar als beneficiaris seran les següents, prèvia la corresponent justificació:  </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rPr>
        <w:t xml:space="preserve">1. La quantia màxima subvencionable serà de 3.000,00 euros per sol·licitant. Les persones beneficiàries hauran de complir a més, amb les obligacions generals de la present convocatòria. </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rPr>
        <w:t xml:space="preserve">2. La concessió de les ajudes estarà condicionada a la disponibilitat pressupostària, i en tot cas, fins a esgotar-se el crèdit destinat a la convocatòria, que es repartirà entre les persones sol·licitants que complisquen amb els requisits, sense sobrepassar el límit de 3.000 € per beneficiari/a. </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rPr>
        <w:t xml:space="preserve">3. La quantia presentada com a justificants en la sol·licitud de l'ajuda, haurà </w:t>
      </w:r>
      <w:r>
        <w:rPr>
          <w:rFonts w:ascii="Calibri" w:hAnsi="Calibri" w:asciiTheme="minorHAnsi" w:hAnsiTheme="minorHAnsi"/>
          <w:color w:val="00000A"/>
          <w:szCs w:val="24"/>
        </w:rPr>
        <w:commentReference w:id="5"/>
      </w:r>
      <w:r>
        <w:rPr>
          <w:rFonts w:ascii="Calibri" w:hAnsi="Calibri" w:asciiTheme="minorHAnsi" w:hAnsiTheme="minorHAnsi"/>
          <w:color w:val="00000A"/>
          <w:szCs w:val="24"/>
        </w:rPr>
        <w:t>d'aconseguir el 100% de la quantia atorgada per a resultar beneficiària de la mateixa.</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rPr>
        <w:t xml:space="preserve">4. El pagament de les ajudes concedides estarà supeditat a l'ingrés de l'ajuda concedida a l'Ajuntament d'Orba, per part de l'Excma. Diputació Provincial d'Alacant. </w:t>
      </w:r>
    </w:p>
    <w:p>
      <w:pPr>
        <w:pStyle w:val="Normal"/>
        <w:spacing w:lineRule="auto" w:line="240" w:before="0" w:after="136"/>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rPr>
        <w:t>QUARTA. FORMA I TERMINI DE PRESENTACIÓ DE SOL·LICITUDS I</w:t>
      </w:r>
      <w:r>
        <w:rPr>
          <w:rFonts w:ascii="Calibri" w:hAnsi="Calibri" w:asciiTheme="minorHAnsi" w:hAnsiTheme="minorHAnsi"/>
          <w:b/>
          <w:szCs w:val="24"/>
          <w:u w:val="none"/>
        </w:rPr>
        <w:t xml:space="preserve"> </w:t>
      </w:r>
      <w:r>
        <w:rPr>
          <w:rFonts w:ascii="Calibri" w:hAnsi="Calibri" w:asciiTheme="minorHAnsi" w:hAnsiTheme="minorHAnsi"/>
          <w:b/>
          <w:szCs w:val="24"/>
        </w:rPr>
        <w:t>DOCUMENTACIÓ</w:t>
      </w:r>
      <w:r>
        <w:rPr>
          <w:rFonts w:ascii="Calibri" w:hAnsi="Calibri" w:asciiTheme="minorHAnsi" w:hAnsiTheme="minorHAnsi"/>
          <w:b/>
          <w:szCs w:val="24"/>
          <w:u w:val="none"/>
        </w:rPr>
        <w:t xml:space="preserve"> </w:t>
      </w:r>
    </w:p>
    <w:p>
      <w:pPr>
        <w:pStyle w:val="Normal"/>
        <w:spacing w:lineRule="auto" w:line="240"/>
        <w:rPr/>
      </w:pPr>
      <w:r>
        <w:rPr/>
      </w:r>
    </w:p>
    <w:p>
      <w:pPr>
        <w:pStyle w:val="Normal"/>
        <w:spacing w:lineRule="auto" w:line="240" w:before="0" w:after="148"/>
        <w:ind w:left="19" w:right="1079" w:firstLine="689"/>
        <w:rPr/>
      </w:pPr>
      <w:r>
        <w:rPr>
          <w:rFonts w:ascii="Calibri" w:hAnsi="Calibri" w:asciiTheme="minorHAnsi" w:hAnsiTheme="minorHAnsi"/>
          <w:szCs w:val="24"/>
        </w:rPr>
        <w:t xml:space="preserve">1.- Les sol·licituds podran presentar-se presencialment en el Registre d'Entrada de l'Ajuntament, per via telemàtica a través de la Seu electrònica de l'Ajuntament de d'Orba </w:t>
      </w:r>
      <w:r>
        <w:rPr>
          <w:rFonts w:ascii="Calibri" w:hAnsi="Calibri" w:asciiTheme="minorHAnsi" w:hAnsiTheme="minorHAnsi"/>
          <w:szCs w:val="24"/>
        </w:rPr>
        <w:commentReference w:id="6"/>
      </w:r>
      <w:hyperlink r:id="rId2">
        <w:r>
          <w:rPr>
            <w:rStyle w:val="EnlacedeInternet"/>
            <w:rFonts w:ascii="Calibri" w:hAnsi="Calibri" w:asciiTheme="minorHAnsi" w:hAnsiTheme="minorHAnsi"/>
            <w:szCs w:val="24"/>
          </w:rPr>
          <w:t>https://</w:t>
        </w:r>
        <w:r>
          <w:rPr>
            <w:rStyle w:val="EnlacedeInternet"/>
            <w:rFonts w:ascii="Calibri" w:hAnsi="Calibri" w:asciiTheme="minorHAnsi" w:hAnsiTheme="minorHAnsi"/>
            <w:szCs w:val="24"/>
          </w:rPr>
          <w:commentReference w:id="7"/>
        </w:r>
        <w:r>
          <w:rPr>
            <w:rStyle w:val="EnlacedeInternet"/>
            <w:rFonts w:ascii="Calibri" w:hAnsi="Calibri" w:asciiTheme="minorHAnsi" w:hAnsiTheme="minorHAnsi"/>
            <w:szCs w:val="24"/>
          </w:rPr>
          <w:t>orba.sedelectronica.es</w:t>
        </w:r>
      </w:hyperlink>
      <w:r>
        <w:rPr>
          <w:rFonts w:ascii="Calibri" w:hAnsi="Calibri" w:asciiTheme="minorHAnsi" w:hAnsiTheme="minorHAnsi"/>
          <w:szCs w:val="24"/>
        </w:rPr>
        <w:t xml:space="preserve">, d'acord amb el que preveu l'article 14 de la Llei 39/2015 </w:t>
      </w:r>
      <w:r>
        <w:rPr>
          <w:rFonts w:ascii="Calibri" w:hAnsi="Calibri" w:asciiTheme="minorHAnsi" w:hAnsiTheme="minorHAnsi"/>
          <w:szCs w:val="24"/>
        </w:rPr>
        <w:commentReference w:id="8"/>
      </w:r>
      <w:r>
        <w:rPr>
          <w:rFonts w:ascii="Calibri" w:hAnsi="Calibri" w:asciiTheme="minorHAnsi" w:hAnsiTheme="minorHAnsi"/>
          <w:szCs w:val="24"/>
        </w:rPr>
        <w:t xml:space="preserve">d'1 d'Octubre. Quant a les persones jurídiques, únicament podran presentar sol·licitud d'ajuda a través de la seu electrònica de l'Excm. Ajuntament d'Orba, per estar obligats a això segons el referit article. Es podran a disposició en la Seu Electrònica model normalitzat de sol·licitud que s'haurà d'usar de forma obligatòria per a la sol·licitud d'ajuda. En ella també apareixerà la informació i la documentació necessària per a participar en la convocatòria. </w:t>
      </w:r>
    </w:p>
    <w:p>
      <w:pPr>
        <w:pStyle w:val="Normal"/>
        <w:spacing w:lineRule="auto" w:line="240" w:before="0" w:after="148"/>
        <w:ind w:left="77" w:right="1079" w:hanging="0"/>
        <w:rPr/>
      </w:pPr>
      <w:r>
        <w:rPr>
          <w:rFonts w:ascii="Calibri" w:hAnsi="Calibri" w:asciiTheme="minorHAnsi" w:hAnsiTheme="minorHAnsi"/>
          <w:szCs w:val="24"/>
        </w:rPr>
        <w:t xml:space="preserve">Qualsevol altre procediment seguit per a formalitzar la seua sol·licitud serà exclòs. </w:t>
      </w:r>
    </w:p>
    <w:p>
      <w:pPr>
        <w:pStyle w:val="Normal"/>
        <w:spacing w:lineRule="auto" w:line="240" w:before="0" w:after="148"/>
        <w:ind w:left="19" w:right="1079" w:firstLine="689"/>
        <w:rPr/>
      </w:pPr>
      <w:r>
        <w:rPr>
          <w:rFonts w:ascii="Calibri" w:hAnsi="Calibri" w:asciiTheme="minorHAnsi" w:hAnsiTheme="minorHAnsi"/>
          <w:szCs w:val="24"/>
        </w:rPr>
        <w:t xml:space="preserve">2.- Per a la tramitació telemàtica s'haurà de disposar de firma electrònica reconeguda de Representant en el cas de persones jurídiques i de Ciutadà en el cas de persones físiques. </w:t>
      </w:r>
    </w:p>
    <w:p>
      <w:pPr>
        <w:pStyle w:val="Normal"/>
        <w:spacing w:lineRule="auto" w:line="240" w:before="0" w:after="148"/>
        <w:ind w:left="19" w:right="1079" w:hanging="0"/>
        <w:rPr/>
      </w:pPr>
      <w:r>
        <w:rPr>
          <w:rFonts w:ascii="Calibri" w:hAnsi="Calibri" w:asciiTheme="minorHAnsi" w:hAnsiTheme="minorHAnsi"/>
          <w:szCs w:val="24"/>
        </w:rPr>
        <w:t xml:space="preserve">En el cas de no disposar de firma electrònica, es podrà autoritzar una persona que sí que dispose d'ella, per mitjà “d'Autorització per a presentar sol·licituds en nom d'una altra persona”. </w:t>
      </w:r>
    </w:p>
    <w:p>
      <w:pPr>
        <w:pStyle w:val="Normal"/>
        <w:spacing w:lineRule="auto" w:line="240" w:before="0" w:after="148"/>
        <w:ind w:left="19" w:right="1079" w:firstLine="689"/>
        <w:rPr>
          <w:rFonts w:ascii="Calibri" w:hAnsi="Calibri" w:asciiTheme="minorHAnsi" w:hAnsiTheme="minorHAnsi"/>
          <w:szCs w:val="24"/>
        </w:rPr>
      </w:pPr>
      <w:r>
        <w:rPr>
          <w:rFonts w:ascii="Calibri" w:hAnsi="Calibri" w:asciiTheme="minorHAnsi" w:hAnsiTheme="minorHAnsi"/>
          <w:szCs w:val="24"/>
        </w:rPr>
        <w:t xml:space="preserve">3.- La sol·licitud se subscriurà per la persona que acredita la representació de l'entitat interessada per qualsevol mitjà vàlid en dret. </w:t>
      </w:r>
    </w:p>
    <w:p>
      <w:pPr>
        <w:pStyle w:val="Normal"/>
        <w:spacing w:lineRule="auto" w:line="240" w:before="0" w:after="148"/>
        <w:ind w:left="19" w:right="1079" w:hanging="0"/>
        <w:rPr/>
      </w:pPr>
      <w:r>
        <w:rPr>
          <w:rFonts w:ascii="Calibri" w:hAnsi="Calibri" w:asciiTheme="minorHAnsi" w:hAnsiTheme="minorHAnsi"/>
          <w:szCs w:val="24"/>
        </w:rPr>
        <w:t xml:space="preserve">Cada entitat només podrà presentar una única sol·licitud per convocatòria. En cas de presentar més d'una sol·licitud, l'òrgan instructor del procediment únicament considerarà la presentada en primer lloc. </w:t>
      </w:r>
    </w:p>
    <w:p>
      <w:pPr>
        <w:pStyle w:val="Normal"/>
        <w:spacing w:lineRule="auto" w:line="240" w:before="0" w:after="148"/>
        <w:ind w:left="77" w:right="1079" w:hanging="0"/>
        <w:rPr/>
      </w:pPr>
      <w:r>
        <w:rPr>
          <w:rFonts w:ascii="Calibri" w:hAnsi="Calibri" w:asciiTheme="minorHAnsi" w:hAnsiTheme="minorHAnsi"/>
          <w:szCs w:val="24"/>
        </w:rPr>
        <w:t>La participació en el present convocatòria per part dels beneficiaris finals requerirà la presentació en el</w:t>
      </w:r>
      <w:r>
        <w:rPr>
          <w:rFonts w:ascii="Calibri" w:hAnsi="Calibri" w:asciiTheme="minorHAnsi" w:hAnsiTheme="minorHAnsi"/>
          <w:b/>
          <w:bCs/>
          <w:szCs w:val="24"/>
          <w:u w:val="single"/>
        </w:rPr>
        <w:t xml:space="preserve"> termini de 10 dies hàbils</w:t>
      </w:r>
      <w:r>
        <w:rPr>
          <w:rFonts w:ascii="Calibri" w:hAnsi="Calibri" w:asciiTheme="minorHAnsi" w:hAnsiTheme="minorHAnsi"/>
          <w:szCs w:val="24"/>
        </w:rPr>
        <w:t xml:space="preserve"> comptats a partir de l'endemà a la publicació de les bases al tauler d’anuncis de la seu electrònica de l’Ajuntament d’Orba. </w:t>
      </w:r>
    </w:p>
    <w:p>
      <w:pPr>
        <w:pStyle w:val="Normal"/>
        <w:spacing w:lineRule="auto" w:line="240" w:before="0" w:after="0"/>
        <w:ind w:left="14" w:right="0" w:hanging="0"/>
        <w:jc w:val="left"/>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jc w:val="both"/>
        <w:rPr/>
      </w:pPr>
      <w:r>
        <w:rPr>
          <w:rFonts w:ascii="Calibri" w:hAnsi="Calibri" w:asciiTheme="minorHAnsi" w:hAnsiTheme="minorHAnsi"/>
          <w:szCs w:val="24"/>
        </w:rPr>
        <w:t xml:space="preserve">Qualsevol sol·licitud presentada seguint un procediment diferent al d'ací descrit </w:t>
      </w:r>
    </w:p>
    <w:p>
      <w:pPr>
        <w:pStyle w:val="Normal"/>
        <w:spacing w:lineRule="auto" w:line="240" w:before="0" w:after="0"/>
        <w:ind w:left="14" w:right="0" w:hanging="0"/>
        <w:jc w:val="both"/>
        <w:rPr/>
      </w:pPr>
      <w:r>
        <w:rPr>
          <w:rFonts w:ascii="Calibri" w:hAnsi="Calibri" w:asciiTheme="minorHAnsi" w:hAnsiTheme="minorHAnsi"/>
          <w:szCs w:val="24"/>
        </w:rPr>
        <w:t xml:space="preserve">serà inadmesa.  </w:t>
      </w:r>
    </w:p>
    <w:p>
      <w:pPr>
        <w:pStyle w:val="Normal"/>
        <w:spacing w:lineRule="auto" w:line="240" w:before="0" w:after="0"/>
        <w:ind w:left="14" w:right="0" w:hanging="0"/>
        <w:jc w:val="both"/>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ind w:left="19" w:right="1079" w:hanging="0"/>
        <w:jc w:val="both"/>
        <w:rPr/>
      </w:pPr>
      <w:r>
        <w:rPr>
          <w:rFonts w:ascii="Calibri" w:hAnsi="Calibri" w:asciiTheme="minorHAnsi" w:hAnsiTheme="minorHAnsi"/>
          <w:szCs w:val="24"/>
        </w:rPr>
        <w:t xml:space="preserve">La sol·licitud de la subvenció comporta l'acceptació de les presents bases en la seua integritat. </w:t>
      </w:r>
    </w:p>
    <w:p>
      <w:pPr>
        <w:pStyle w:val="Normal"/>
        <w:spacing w:lineRule="auto" w:line="240" w:before="0" w:after="0"/>
        <w:ind w:left="14" w:right="0" w:hanging="0"/>
        <w:jc w:val="both"/>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ind w:left="19" w:right="1079" w:hanging="0"/>
        <w:jc w:val="both"/>
        <w:rPr/>
      </w:pPr>
      <w:r>
        <w:rPr>
          <w:rFonts w:ascii="Calibri" w:hAnsi="Calibri" w:asciiTheme="minorHAnsi" w:hAnsiTheme="minorHAnsi"/>
          <w:szCs w:val="24"/>
        </w:rPr>
        <w:t xml:space="preserve">Sols s’admetrà una sol·licitud per persona treballadora autònoma o microempresa.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145"/>
        <w:ind w:left="19" w:right="1079" w:hanging="10"/>
        <w:rPr>
          <w:rFonts w:ascii="Calibri" w:hAnsi="Calibri" w:asciiTheme="minorHAnsi" w:hAnsiTheme="minorHAnsi"/>
          <w:szCs w:val="24"/>
        </w:rPr>
      </w:pPr>
      <w:r>
        <w:rPr>
          <w:rFonts w:ascii="Calibri" w:hAnsi="Calibri" w:asciiTheme="minorHAnsi" w:hAnsiTheme="minorHAnsi"/>
          <w:szCs w:val="24"/>
        </w:rPr>
        <w:t xml:space="preserve">Juntament amb la instància s'haurà de presentar:  </w:t>
      </w:r>
    </w:p>
    <w:p>
      <w:pPr>
        <w:pStyle w:val="ListParagraph"/>
        <w:spacing w:lineRule="auto" w:line="240" w:before="0" w:after="145"/>
        <w:ind w:left="77" w:right="1079" w:hanging="0"/>
        <w:rPr>
          <w:rFonts w:ascii="Calibri" w:hAnsi="Calibri" w:asciiTheme="minorHAnsi" w:hAnsiTheme="minorHAnsi"/>
          <w:szCs w:val="24"/>
        </w:rPr>
      </w:pPr>
      <w:r>
        <w:rPr>
          <w:rFonts w:asciiTheme="minorHAnsi" w:hAnsiTheme="minorHAnsi" w:ascii="Calibri" w:hAnsi="Calibri"/>
          <w:szCs w:val="24"/>
        </w:rPr>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Certificat acreditatiu de la situació d'alta en la Seguretat Social. Resolució/certificació de l'alta en el Règim Especial de Treballadors Autònoms o la Mútua professional corresponent.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Tindre el domicili fiscal en el terme municipal d’Orba.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Model de domiciliació bancaria, és una simple declaració responsable, que no requereix la intervenció de les entitats bancàries.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Declaració responsable relativa als requisits exigits.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DNI per les dues cares o NIE acompanyat del passaport i per les empreses el seu CIF.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Documentació justificativa de les despeses corrents incorregudes en el període comprés entre l'1 de juliol de 2020 i el 30 de juny de 2021. Les despeses que es presenten seran d’una quantia igual o superior a la quantitat de les ajudes a les que es té dret segons aquesta convocatòria.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ind w:left="77" w:right="1079" w:hanging="10"/>
        <w:rPr>
          <w:rFonts w:ascii="Calibri" w:hAnsi="Calibri" w:asciiTheme="minorHAnsi" w:hAnsiTheme="minorHAnsi"/>
          <w:szCs w:val="24"/>
        </w:rPr>
      </w:pPr>
      <w:r>
        <w:rPr>
          <w:rFonts w:ascii="Calibri" w:hAnsi="Calibri" w:asciiTheme="minorHAnsi" w:hAnsiTheme="minorHAnsi"/>
          <w:szCs w:val="24"/>
        </w:rPr>
        <w:t xml:space="preserve">Es considerarà despesa corrent:  </w:t>
      </w:r>
    </w:p>
    <w:p>
      <w:pPr>
        <w:pStyle w:val="Normal"/>
        <w:spacing w:lineRule="auto" w:line="240" w:before="0" w:after="7"/>
        <w:ind w:left="7" w:right="0" w:hanging="0"/>
        <w:rPr>
          <w:rFonts w:ascii="Calibri" w:hAnsi="Calibri" w:asciiTheme="minorHAnsi" w:hAnsiTheme="minorHAnsi"/>
          <w:szCs w:val="24"/>
        </w:rPr>
      </w:pPr>
      <w:r>
        <w:rPr>
          <w:rFonts w:asciiTheme="minorHAnsi" w:hAnsiTheme="minorHAnsi" w:ascii="Calibri" w:hAnsi="Calibri"/>
          <w:szCs w:val="24"/>
        </w:rPr>
      </w:r>
    </w:p>
    <w:p>
      <w:pPr>
        <w:pStyle w:val="ListParagraph"/>
        <w:numPr>
          <w:ilvl w:val="0"/>
          <w:numId w:val="4"/>
        </w:numPr>
        <w:spacing w:lineRule="auto" w:line="240" w:before="0" w:after="2"/>
        <w:ind w:left="720" w:right="557" w:hanging="360"/>
        <w:rPr>
          <w:rFonts w:ascii="Calibri" w:hAnsi="Calibri" w:asciiTheme="minorHAnsi" w:hAnsiTheme="minorHAnsi"/>
          <w:szCs w:val="24"/>
        </w:rPr>
      </w:pPr>
      <w:r>
        <w:rPr>
          <w:rFonts w:ascii="Calibri" w:hAnsi="Calibri" w:asciiTheme="minorHAnsi" w:hAnsiTheme="minorHAnsi"/>
          <w:szCs w:val="24"/>
        </w:rPr>
        <w:t xml:space="preserve">La quota d'autònoms.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El lloguer mensual del local de negoci, havent de figurar com a arrendatari la persona física/jurídica sol·licitant de les ajudes. </w:t>
      </w:r>
    </w:p>
    <w:p>
      <w:pPr>
        <w:pStyle w:val="ListParagraph"/>
        <w:numPr>
          <w:ilvl w:val="0"/>
          <w:numId w:val="4"/>
        </w:numPr>
        <w:spacing w:lineRule="auto" w:line="240" w:before="0" w:after="2"/>
        <w:ind w:left="720" w:right="557" w:hanging="360"/>
        <w:rPr>
          <w:rFonts w:ascii="Calibri" w:hAnsi="Calibri" w:asciiTheme="minorHAnsi" w:hAnsiTheme="minorHAnsi"/>
          <w:szCs w:val="24"/>
        </w:rPr>
      </w:pPr>
      <w:r>
        <w:rPr>
          <w:rFonts w:ascii="Calibri" w:hAnsi="Calibri" w:asciiTheme="minorHAnsi" w:hAnsiTheme="minorHAnsi"/>
          <w:szCs w:val="24"/>
        </w:rPr>
        <w:t xml:space="preserve">Les despeses de consultoria i assessoria.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Les despeses de contractes de subministrament d'energia i aigua del local de negoci.</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Les despeses de servici de telefonia i internet referits necessàriament a l'activitat.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Les despeses mensuals de contractes de servicis de seguretat del local de negoci.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Les despeses de contractes de manteniment d'equips afectes l'activitat.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Les despeses d'interessos de préstecs d'adquisició del local de negoci, havent de figurar com titular del préstec la persona física/ jurídica sol·licitant de l'ajuda.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Les primes d'assegurances del local de negoci i/o del vehicle comercial afecte l'activitat empresarial, havent de figurar com titular la persona física/ jurídica sol·licitant de l'ajuda.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El lloguer de vehicles comercials afectes 100% a l'activitat.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rPr>
        <w:t xml:space="preserve">Les despeses d'interessos de préstecs d'adquisició de vehicles comercials afectes 100% a l'activitat havent de figurar com titular del préstec la persona física/jurídica sol·licitant de l'ajuda. </w:t>
      </w:r>
    </w:p>
    <w:p>
      <w:pPr>
        <w:pStyle w:val="ListParagraph"/>
        <w:spacing w:lineRule="auto" w:line="240" w:before="0" w:after="0"/>
        <w:ind w:left="77" w:right="0" w:hanging="0"/>
        <w:rPr>
          <w:rFonts w:ascii="Calibri" w:hAnsi="Calibri" w:asciiTheme="minorHAnsi" w:hAnsiTheme="minorHAnsi"/>
          <w:szCs w:val="24"/>
        </w:rPr>
      </w:pPr>
      <w:r>
        <w:rPr>
          <w:rFonts w:asciiTheme="minorHAnsi" w:hAnsiTheme="minorHAnsi" w:ascii="Calibri" w:hAnsi="Calibri"/>
          <w:szCs w:val="24"/>
        </w:rPr>
      </w:r>
    </w:p>
    <w:p>
      <w:pPr>
        <w:pStyle w:val="ListParagraph"/>
        <w:spacing w:lineRule="auto" w:line="240" w:before="0" w:after="0"/>
        <w:ind w:left="77"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148"/>
        <w:ind w:left="19" w:right="1079" w:hanging="0"/>
        <w:rPr/>
      </w:pPr>
      <w:r>
        <w:rPr>
          <w:rFonts w:ascii="Calibri" w:hAnsi="Calibri" w:asciiTheme="minorHAnsi" w:hAnsiTheme="minorHAnsi"/>
          <w:szCs w:val="24"/>
        </w:rPr>
        <w:t xml:space="preserve">Les despeses s'acreditaran mitjançant factures i altres documents de valor probatori equivalent amb validesa en el tràfic mercantil. Les factures hauran d'ajustar-se als requisits establits en el Reial decret 1619/2012, de 30 de novembre, pel qual es regulen les obligacions de facturació.  </w:t>
      </w:r>
    </w:p>
    <w:p>
      <w:pPr>
        <w:pStyle w:val="Normal"/>
        <w:spacing w:lineRule="auto" w:line="240" w:before="0" w:after="150"/>
        <w:ind w:left="19" w:right="1079" w:hanging="0"/>
        <w:rPr/>
      </w:pPr>
      <w:r>
        <w:rPr>
          <w:rFonts w:ascii="Calibri" w:hAnsi="Calibri" w:asciiTheme="minorHAnsi" w:hAnsiTheme="minorHAnsi"/>
          <w:szCs w:val="24"/>
        </w:rPr>
        <w:t xml:space="preserve">En cap cas s'admetran com a justificants de despesa els albarans, les notes de lliurament, tiquets de caixa, justificants de TPV ni factures proforma.  </w:t>
      </w:r>
    </w:p>
    <w:p>
      <w:pPr>
        <w:pStyle w:val="Normal"/>
        <w:spacing w:lineRule="auto" w:line="240"/>
        <w:ind w:left="19" w:right="1079" w:hanging="0"/>
        <w:rPr/>
      </w:pPr>
      <w:r>
        <w:rPr>
          <w:rFonts w:ascii="Calibri" w:hAnsi="Calibri" w:asciiTheme="minorHAnsi" w:hAnsiTheme="minorHAnsi"/>
          <w:szCs w:val="24"/>
        </w:rPr>
        <w:t xml:space="preserve">No s'admetran com a justificants de pagament dels conceptes anteriors els pagaments en metàl·lic, excepte en casos excepcionals i per import inferior en qualsevol cas a l'estipulat per la Llei.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147"/>
        <w:ind w:left="19" w:right="1079" w:hanging="0"/>
        <w:rPr/>
      </w:pPr>
      <w:r>
        <w:rPr>
          <w:rFonts w:ascii="Calibri" w:hAnsi="Calibri" w:asciiTheme="minorHAnsi" w:hAnsiTheme="minorHAnsi"/>
          <w:szCs w:val="24"/>
        </w:rPr>
        <w:t xml:space="preserve">En el seu cas, l'IVA suportat no serà objecte de subvenció.  </w:t>
      </w:r>
    </w:p>
    <w:p>
      <w:pPr>
        <w:pStyle w:val="Normal"/>
        <w:spacing w:lineRule="auto" w:line="240" w:before="0" w:after="148"/>
        <w:ind w:left="19" w:right="1079" w:hanging="0"/>
        <w:rPr/>
      </w:pPr>
      <w:r>
        <w:rPr>
          <w:rFonts w:ascii="Calibri" w:hAnsi="Calibri" w:asciiTheme="minorHAnsi" w:hAnsiTheme="minorHAnsi"/>
          <w:szCs w:val="24"/>
        </w:rPr>
        <w:t xml:space="preserve">No seran admissibles les despeses corresponents a adquisicions de béns que tinguen la consideració d'inventariables i/o amortitzables (equips informàtics o audiovisuals, maquinària, vehicles, instal·lacions, etcètera).  </w:t>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Encabezado1"/>
        <w:spacing w:lineRule="auto" w:line="240" w:before="0" w:after="9"/>
        <w:ind w:left="9" w:right="1090" w:hanging="10"/>
        <w:jc w:val="both"/>
        <w:rPr>
          <w:rFonts w:ascii="Calibri" w:hAnsi="Calibri" w:asciiTheme="minorHAnsi" w:hAnsiTheme="minorHAnsi"/>
          <w:b/>
          <w:b/>
          <w:szCs w:val="24"/>
          <w:u w:val="none"/>
        </w:rPr>
      </w:pPr>
      <w:r>
        <w:rPr>
          <w:rFonts w:ascii="Calibri" w:hAnsi="Calibri" w:asciiTheme="minorHAnsi" w:hAnsiTheme="minorHAnsi"/>
          <w:b/>
          <w:szCs w:val="24"/>
        </w:rPr>
        <w:t>CINQUENA. PROCEDIMENT, TERMINI DE RESOLUCIÓ I RECURSOS</w:t>
      </w:r>
      <w:r>
        <w:rPr>
          <w:rFonts w:ascii="Calibri" w:hAnsi="Calibri" w:asciiTheme="minorHAnsi" w:hAnsiTheme="minorHAnsi"/>
          <w:b/>
          <w:szCs w:val="24"/>
          <w:u w:val="none"/>
        </w:rPr>
        <w:t xml:space="preserve"> </w:t>
      </w:r>
    </w:p>
    <w:p>
      <w:pPr>
        <w:pStyle w:val="Normal"/>
        <w:spacing w:lineRule="auto" w:line="240"/>
        <w:rPr/>
      </w:pPr>
      <w:r>
        <w:rPr/>
      </w:r>
    </w:p>
    <w:p>
      <w:pPr>
        <w:pStyle w:val="Normal"/>
        <w:spacing w:lineRule="auto" w:line="240"/>
        <w:ind w:left="19" w:right="1079" w:hanging="0"/>
        <w:rPr/>
      </w:pPr>
      <w:r>
        <w:rPr>
          <w:rFonts w:ascii="Calibri" w:hAnsi="Calibri" w:asciiTheme="minorHAnsi" w:hAnsiTheme="minorHAnsi"/>
          <w:szCs w:val="24"/>
        </w:rPr>
        <w:t xml:space="preserve">Una vegada finalitzat el termini de presentació, s'analitzaran les sol·licituds per la comissió de baremació i s’emetrà una Resolució d’Alcaldia on es farà constar les que compleixen els requisits necessaris per a la concessió de les ajudes i les sol·licituds excloses indicant el motiu d'exclusió.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146"/>
        <w:ind w:left="19" w:right="1079" w:hanging="0"/>
        <w:rPr/>
      </w:pPr>
      <w:r>
        <w:rPr>
          <w:rFonts w:ascii="Calibri" w:hAnsi="Calibri" w:asciiTheme="minorHAnsi" w:hAnsiTheme="minorHAnsi"/>
          <w:szCs w:val="24"/>
        </w:rPr>
        <w:t xml:space="preserve">Quan la sol·licitud no reunisca els requisits assenyalats en l'article 66 de la Llei 39/2015, d'1 d'octubre, del Procediment Administratiu Comú de les Administracions Públiques, o no s'acompanye la documentació que d'acord amb aquesta convocatòria resulte exigible, de conformitat amb l'article 23.5 de la Llei General de Subvencions, l'òrgan competent requerirà a l'interessat/da perquè en el termini màxim i improrrogable de 3 dies hàbils, comptats a partir de l'endemà a aquell en què tinga lloc la publicació en el Tauler d'edictes de la Seu Electrònica de l'Ajuntament i en la web municipal, esmene la falta o acompanye els documents preceptius, amb indicació que, si així no ho fera, se li tindrà per  desistit de la seua petició, prèvia resolució que haurà de ser dictada en els termes previstos en l'article 21 de la repetida Llei. </w:t>
      </w:r>
    </w:p>
    <w:p>
      <w:pPr>
        <w:pStyle w:val="Normal"/>
        <w:spacing w:lineRule="auto" w:line="240" w:before="0" w:after="148"/>
        <w:ind w:left="19" w:right="1079" w:hanging="0"/>
        <w:rPr/>
      </w:pPr>
      <w:r>
        <w:rPr>
          <w:rFonts w:ascii="Calibri" w:hAnsi="Calibri" w:asciiTheme="minorHAnsi" w:hAnsiTheme="minorHAnsi"/>
          <w:szCs w:val="24"/>
        </w:rPr>
        <w:t xml:space="preserve">Una vegada avaluades les sol·licituds que complisquen tots els requisits, es procedirà a la distribució del crèdit previst en la convocatòria, i tenint en compte la quantia màxima de les ajudes regulades, fins a esgotar la disponibilitat pressupostària.  </w:t>
      </w:r>
    </w:p>
    <w:p>
      <w:pPr>
        <w:pStyle w:val="Normal"/>
        <w:spacing w:lineRule="auto" w:line="240" w:before="0" w:after="148"/>
        <w:ind w:left="19" w:right="1079" w:hanging="0"/>
        <w:rPr/>
      </w:pPr>
      <w:r>
        <w:rPr>
          <w:rFonts w:ascii="Calibri" w:hAnsi="Calibri" w:asciiTheme="minorHAnsi" w:hAnsiTheme="minorHAnsi"/>
          <w:szCs w:val="24"/>
        </w:rPr>
        <w:t xml:space="preserve">No es considerarà presentada una sol·licitud fins que s'aporte tota la documentació requerida i aquesta es done per correcta. </w:t>
      </w:r>
    </w:p>
    <w:p>
      <w:pPr>
        <w:pStyle w:val="Normal"/>
        <w:spacing w:lineRule="auto" w:line="240" w:before="0" w:after="148"/>
        <w:ind w:left="19" w:right="1079" w:hanging="0"/>
        <w:rPr/>
      </w:pPr>
      <w:r>
        <w:rPr>
          <w:rFonts w:ascii="Calibri" w:hAnsi="Calibri" w:asciiTheme="minorHAnsi" w:hAnsiTheme="minorHAnsi"/>
          <w:szCs w:val="24"/>
        </w:rPr>
        <w:t xml:space="preserve">En el cas que es requerira informació a alguna persona o empresa sol·licitant, si passat el termini concedit no ha respost, s'entendrà que el sol·licitant ha desistit de la seua petició.  </w:t>
      </w:r>
    </w:p>
    <w:p>
      <w:pPr>
        <w:pStyle w:val="Normal"/>
        <w:spacing w:lineRule="auto" w:line="240" w:before="0" w:after="148"/>
        <w:ind w:left="19" w:right="1079" w:hanging="0"/>
        <w:rPr/>
      </w:pPr>
      <w:r>
        <w:rPr>
          <w:rFonts w:ascii="Calibri" w:hAnsi="Calibri" w:asciiTheme="minorHAnsi" w:hAnsiTheme="minorHAnsi"/>
          <w:szCs w:val="24"/>
        </w:rPr>
        <w:t xml:space="preserve">El termini màxim per a resoldre i procedir al pagament de les ajudes serà de 3 mesos, a comptar des del dia de la publicació de les presents bases. Transcorregut aquest termini sense que s'haja dictat i notificat resolució expressa, es produirà el silenci administratiu i la sol·licitud podrà entendre's desestimada. </w:t>
      </w:r>
    </w:p>
    <w:p>
      <w:pPr>
        <w:pStyle w:val="Normal"/>
        <w:spacing w:lineRule="auto" w:line="240" w:before="0" w:after="150"/>
        <w:ind w:left="19" w:right="1079" w:hanging="0"/>
        <w:rPr/>
      </w:pPr>
      <w:r>
        <w:rPr>
          <w:rFonts w:ascii="Calibri" w:hAnsi="Calibri" w:asciiTheme="minorHAnsi" w:hAnsiTheme="minorHAnsi"/>
          <w:szCs w:val="24"/>
        </w:rPr>
        <w:t xml:space="preserve">La resolució posarà fi a la via administrativa i contra ella podrà interposar-se recurs potestatiu de reposició davant el mateix òrgan en el termini d'un mes a partir de l'endemà al de la seua notificació/publicació, d'acord amb els articles 123 i 124 de la Llei 39/2015, d'1 d'octubre, del procediment administratiu comú de les administracions públiques; o recurs contenciós administratiu en el termini de dos mesos davant el corresponent Jutjat contenciós administratiu, de conformitat amb els articles 8 i 46 de la Llei 29/1998, de 13 de juliol, reguladora de la jurisdicció contenciosa administrativa.  </w:t>
      </w:r>
    </w:p>
    <w:p>
      <w:pPr>
        <w:pStyle w:val="Normal"/>
        <w:spacing w:lineRule="auto" w:line="240" w:before="0" w:after="150"/>
        <w:ind w:left="19" w:right="1079" w:firstLine="689"/>
        <w:rPr>
          <w:rFonts w:ascii="Calibri" w:hAnsi="Calibri" w:asciiTheme="minorHAnsi" w:hAnsiTheme="minorHAnsi"/>
          <w:szCs w:val="24"/>
        </w:rPr>
      </w:pPr>
      <w:r>
        <w:rPr>
          <w:rFonts w:asciiTheme="minorHAnsi" w:hAnsiTheme="minorHAnsi" w:ascii="Calibri" w:hAnsi="Calibri"/>
          <w:szCs w:val="24"/>
        </w:rPr>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rPr>
        <w:t>SISENA. FORMA DE PAGAMENT</w:t>
      </w:r>
      <w:r>
        <w:rPr>
          <w:rFonts w:ascii="Calibri" w:hAnsi="Calibri" w:asciiTheme="minorHAnsi" w:hAnsiTheme="minorHAnsi"/>
          <w:b/>
          <w:szCs w:val="24"/>
          <w:u w:val="none"/>
        </w:rPr>
        <w:t xml:space="preserve"> </w:t>
      </w:r>
    </w:p>
    <w:p>
      <w:pPr>
        <w:pStyle w:val="Normal"/>
        <w:spacing w:lineRule="auto" w:line="240"/>
        <w:rPr/>
      </w:pPr>
      <w:r>
        <w:rPr/>
      </w:r>
    </w:p>
    <w:p>
      <w:pPr>
        <w:pStyle w:val="Normal"/>
        <w:spacing w:lineRule="auto" w:line="240"/>
        <w:ind w:left="19" w:right="1079" w:hanging="0"/>
        <w:rPr/>
      </w:pPr>
      <w:r>
        <w:rPr>
          <w:rFonts w:ascii="Calibri" w:hAnsi="Calibri" w:asciiTheme="minorHAnsi" w:hAnsiTheme="minorHAnsi"/>
          <w:szCs w:val="24"/>
        </w:rPr>
        <w:t xml:space="preserve">El pagament de les ajudes s'efectuarà una vegada justificat el compliment dels requisits amb la documentació presentada juntament amb la sol·licitud mitjançant transferència bancària en el compte indicat pel sol·licitant. L'import de l'ajuda es lliurarà d'una sola vegada després que es dicte la resolució de concessió.  </w:t>
      </w:r>
    </w:p>
    <w:p>
      <w:pPr>
        <w:pStyle w:val="Normal"/>
        <w:spacing w:lineRule="auto" w:line="240"/>
        <w:ind w:left="19" w:right="1079" w:firstLine="689"/>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150"/>
        <w:ind w:left="19" w:right="1079" w:hanging="0"/>
        <w:rPr/>
      </w:pPr>
      <w:r>
        <w:rPr>
          <w:rFonts w:ascii="Calibri" w:hAnsi="Calibri" w:asciiTheme="minorHAnsi" w:hAnsiTheme="minorHAnsi"/>
          <w:szCs w:val="24"/>
        </w:rPr>
        <w:t xml:space="preserve">En cas d'incompliment de les obligacions, en el seu cas, detallades en aquesta convocatòria, s’iniciarà d'ofici expedient administratiu que, prèvia audiència a la persona interessada, proposarà a l'òrgan que va concedir la subvenció la iniciació de procediment de reintegrament dels fons no justificats, juntament amb la liquidació dels interessos de demora corresponents.  </w:t>
      </w:r>
    </w:p>
    <w:p>
      <w:pPr>
        <w:pStyle w:val="Normal"/>
        <w:spacing w:lineRule="auto" w:line="240" w:before="0" w:after="150"/>
        <w:ind w:left="19" w:right="1079" w:firstLine="689"/>
        <w:rPr>
          <w:rFonts w:ascii="Calibri" w:hAnsi="Calibri" w:asciiTheme="minorHAnsi" w:hAnsiTheme="minorHAnsi"/>
          <w:szCs w:val="24"/>
        </w:rPr>
      </w:pPr>
      <w:r>
        <w:rPr>
          <w:rFonts w:asciiTheme="minorHAnsi" w:hAnsiTheme="minorHAnsi" w:ascii="Calibri" w:hAnsi="Calibri"/>
          <w:szCs w:val="24"/>
        </w:rPr>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rPr>
        <w:t>SETENA. OBLIGACIONS DELS BENEFICIARIS</w:t>
      </w:r>
      <w:r>
        <w:rPr>
          <w:rFonts w:ascii="Calibri" w:hAnsi="Calibri" w:asciiTheme="minorHAnsi" w:hAnsiTheme="minorHAnsi"/>
          <w:b/>
          <w:szCs w:val="24"/>
          <w:u w:val="none"/>
        </w:rPr>
        <w:t xml:space="preserve"> </w:t>
      </w:r>
    </w:p>
    <w:p>
      <w:pPr>
        <w:pStyle w:val="Normal"/>
        <w:spacing w:lineRule="auto" w:line="240"/>
        <w:rPr/>
      </w:pPr>
      <w:r>
        <w:rPr/>
      </w:r>
    </w:p>
    <w:p>
      <w:pPr>
        <w:pStyle w:val="Normal"/>
        <w:spacing w:lineRule="auto" w:line="240"/>
        <w:ind w:left="19" w:right="41" w:hanging="10"/>
        <w:rPr>
          <w:rFonts w:ascii="Calibri" w:hAnsi="Calibri" w:asciiTheme="minorHAnsi" w:hAnsiTheme="minorHAnsi"/>
          <w:szCs w:val="24"/>
        </w:rPr>
      </w:pPr>
      <w:r>
        <w:rPr>
          <w:rFonts w:ascii="Calibri" w:hAnsi="Calibri" w:asciiTheme="minorHAnsi" w:hAnsiTheme="minorHAnsi"/>
          <w:szCs w:val="24"/>
        </w:rPr>
        <w:t xml:space="preserve">A més del qual es disposa en l'article 14 de la LGS, són obligacions de les persones </w:t>
      </w:r>
    </w:p>
    <w:p>
      <w:pPr>
        <w:pStyle w:val="Normal"/>
        <w:spacing w:lineRule="auto" w:line="240"/>
        <w:ind w:left="19" w:right="41" w:hanging="10"/>
        <w:rPr>
          <w:rFonts w:ascii="Calibri" w:hAnsi="Calibri" w:asciiTheme="minorHAnsi" w:hAnsiTheme="minorHAnsi"/>
          <w:szCs w:val="24"/>
        </w:rPr>
      </w:pPr>
      <w:r>
        <w:rPr>
          <w:rFonts w:ascii="Calibri" w:hAnsi="Calibri" w:asciiTheme="minorHAnsi" w:hAnsiTheme="minorHAnsi"/>
          <w:szCs w:val="24"/>
        </w:rPr>
        <w:t xml:space="preserve">beneficiàries:  </w:t>
      </w:r>
    </w:p>
    <w:p>
      <w:pPr>
        <w:pStyle w:val="Normal"/>
        <w:spacing w:lineRule="auto" w:line="240" w:before="0" w:after="0"/>
        <w:ind w:left="0"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rPr>
        <w:t xml:space="preserve">Facilitar quants dades i informació, en qüestions relacionades amb les subvencions concedides, li siga requerit per l'Ajuntament d’Orba.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rPr>
        <w:t xml:space="preserve">Complir les obligacions de transparència establides en la legislació bàsica, de conformitat amb el que es disposa en l'article 3 de la Llei 2/2015, de 2 d'abril, de la Generalitat, de transparència, bon govern i participació ciutadana de la Comunitat Valenciana, en cas d'haver percebut durant un any ajudes o subvencions públiques en una quantia superior a 10.000 euros.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rPr>
        <w:t xml:space="preserve">En concret, hauran de publicar en la seua pàgina web, si la van tindre, l'obtenció d'aquesta subvenció.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rPr>
        <w:t xml:space="preserve">Sotmetre's a les actuacions de control financer que efectue la Intervenció General Municipal d'acord amb la normativa reguladora que resulte d'aplicació, així com les que es puguen dur a terme per altres òrgans de control. Les dades aportades passaran a un fitxer de l'Ajuntament d'Orba per a poder tindre'ls informats d'aquelles actuacions i informacions referent al seu sector. </w:t>
      </w:r>
    </w:p>
    <w:p>
      <w:pPr>
        <w:pStyle w:val="Normal"/>
        <w:spacing w:lineRule="auto" w:line="240" w:before="0" w:after="2"/>
        <w:ind w:left="0"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2"/>
        <w:ind w:left="14" w:right="0" w:hanging="0"/>
        <w:rPr>
          <w:rFonts w:ascii="Calibri" w:hAnsi="Calibri" w:asciiTheme="minorHAnsi" w:hAnsiTheme="minorHAnsi"/>
          <w:szCs w:val="24"/>
        </w:rPr>
      </w:pPr>
      <w:r>
        <w:rPr>
          <w:rFonts w:asciiTheme="minorHAnsi" w:hAnsiTheme="minorHAnsi" w:ascii="Calibri" w:hAnsi="Calibri"/>
          <w:szCs w:val="24"/>
        </w:rPr>
      </w:r>
    </w:p>
    <w:p>
      <w:pPr>
        <w:pStyle w:val="Encabezado1"/>
        <w:spacing w:lineRule="auto" w:line="240" w:before="0" w:after="12"/>
        <w:ind w:left="9" w:right="1090" w:hanging="10"/>
        <w:jc w:val="both"/>
        <w:rPr>
          <w:rFonts w:ascii="Calibri" w:hAnsi="Calibri" w:asciiTheme="minorHAnsi" w:hAnsiTheme="minorHAnsi"/>
          <w:b/>
          <w:b/>
          <w:szCs w:val="24"/>
        </w:rPr>
      </w:pPr>
      <w:r>
        <w:rPr>
          <w:rFonts w:ascii="Calibri" w:hAnsi="Calibri" w:asciiTheme="minorHAnsi" w:hAnsiTheme="minorHAnsi"/>
          <w:b/>
          <w:szCs w:val="24"/>
        </w:rPr>
        <w:t>HUITENA. FINANÇAMENT DE LES AJUDES</w:t>
      </w:r>
      <w:r>
        <w:rPr>
          <w:rFonts w:ascii="Calibri" w:hAnsi="Calibri" w:asciiTheme="minorHAnsi" w:hAnsiTheme="minorHAnsi"/>
          <w:b/>
          <w:szCs w:val="24"/>
          <w:u w:val="none"/>
        </w:rPr>
        <w:t xml:space="preserve"> </w:t>
      </w:r>
    </w:p>
    <w:p>
      <w:pPr>
        <w:pStyle w:val="Normal"/>
        <w:spacing w:lineRule="auto" w:line="240" w:before="0" w:after="2"/>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ind w:left="19" w:right="1079" w:hanging="0"/>
        <w:rPr/>
      </w:pPr>
      <w:r>
        <w:rPr>
          <w:rFonts w:ascii="Calibri" w:hAnsi="Calibri" w:asciiTheme="minorHAnsi" w:hAnsiTheme="minorHAnsi"/>
          <w:szCs w:val="24"/>
        </w:rPr>
        <w:t xml:space="preserve">Les ajudes contemplades en les presents bases ascendeixen a 25.498,13 €, finançades per la Diputació Provincial d’Alacant, amb càrrec a l'aplicació pressupostària de l'estat de despeses 231/48100 “Ajudes minimització impacte covid-19” del vigent pressupost municipal del 2021. </w:t>
      </w:r>
    </w:p>
    <w:p>
      <w:pPr>
        <w:pStyle w:val="Normal"/>
        <w:spacing w:lineRule="auto" w:line="240" w:before="0" w:after="136"/>
        <w:ind w:left="0"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Encabezado1"/>
        <w:spacing w:lineRule="auto" w:line="240" w:before="0" w:after="242"/>
        <w:ind w:left="9" w:right="1090" w:hanging="10"/>
        <w:jc w:val="both"/>
        <w:rPr>
          <w:rFonts w:ascii="Calibri" w:hAnsi="Calibri" w:asciiTheme="minorHAnsi" w:hAnsiTheme="minorHAnsi"/>
          <w:b/>
          <w:b/>
          <w:szCs w:val="24"/>
        </w:rPr>
      </w:pPr>
      <w:r>
        <w:rPr>
          <w:rFonts w:ascii="Calibri" w:hAnsi="Calibri" w:asciiTheme="minorHAnsi" w:hAnsiTheme="minorHAnsi"/>
          <w:b/>
          <w:szCs w:val="24"/>
        </w:rPr>
        <w:t>NOVENA. REINTEGRAMENT DE LES AJUDES</w:t>
      </w:r>
      <w:r>
        <w:rPr>
          <w:rFonts w:ascii="Calibri" w:hAnsi="Calibri" w:asciiTheme="minorHAnsi" w:hAnsiTheme="minorHAnsi"/>
          <w:b/>
          <w:szCs w:val="24"/>
          <w:u w:val="none"/>
        </w:rPr>
        <w:t xml:space="preserve"> </w:t>
      </w:r>
    </w:p>
    <w:p>
      <w:pPr>
        <w:pStyle w:val="Normal"/>
        <w:spacing w:lineRule="auto" w:line="240" w:before="0" w:after="400"/>
        <w:ind w:left="19" w:right="1079" w:hanging="0"/>
        <w:rPr/>
      </w:pPr>
      <w:r>
        <w:rPr>
          <w:rFonts w:ascii="Calibri" w:hAnsi="Calibri" w:asciiTheme="minorHAnsi" w:hAnsiTheme="minorHAnsi"/>
          <w:szCs w:val="24"/>
        </w:rPr>
        <w:t xml:space="preserve">L’incompliment pel beneficiari/a de qualsevol dels requisits, condicions, obligacions i demés circumstàncies que donaren lloc a l’atorgament de l’ajuda, donarà lloc a la incoació, per l’òrgan competent per a la concessió de les ajudes,  del corresponent expedient que podrà finalitzar, en el seu cas, amb l'anul·lació de l’ajuda concedida i l’obligació de reintegrar les quantitats percebudes i els interessos de demora des del moment del pagament de la mateixa. </w:t>
      </w:r>
    </w:p>
    <w:p>
      <w:pPr>
        <w:pStyle w:val="Normal"/>
        <w:spacing w:lineRule="auto" w:line="240" w:before="0" w:after="402"/>
        <w:ind w:left="19" w:right="1079" w:hanging="0"/>
        <w:rPr/>
      </w:pPr>
      <w:r>
        <w:rPr>
          <w:rFonts w:ascii="Calibri" w:hAnsi="Calibri" w:asciiTheme="minorHAnsi" w:hAnsiTheme="minorHAnsi"/>
          <w:szCs w:val="24"/>
        </w:rPr>
        <w:t xml:space="preserve">El reintegrament de l'import percebut, si escau, es regirà pel que es disposa en el títol II de la LGS i pel títol III del RLGS.  </w:t>
      </w:r>
    </w:p>
    <w:p>
      <w:pPr>
        <w:pStyle w:val="Normal"/>
        <w:spacing w:lineRule="auto" w:line="240" w:before="0" w:after="402"/>
        <w:ind w:left="19" w:right="1079" w:hanging="0"/>
        <w:rPr/>
      </w:pPr>
      <w:r>
        <w:rPr>
          <w:rFonts w:ascii="Calibri" w:hAnsi="Calibri" w:asciiTheme="minorHAnsi" w:hAnsiTheme="minorHAnsi"/>
          <w:szCs w:val="24"/>
        </w:rPr>
        <w:t xml:space="preserve">Al costat de les causes d'invalidesa de la resolució de concessió, recollides en l'article 36 de la LGS, donaran lloc a l'obligació de reintegrar, totalment o parcialment, les quantitats percebudes, així com l'exigència de </w:t>
      </w:r>
      <w:r>
        <w:rPr>
          <w:rFonts w:ascii="Calibri" w:hAnsi="Calibri" w:asciiTheme="minorHAnsi" w:hAnsiTheme="minorHAnsi"/>
          <w:szCs w:val="24"/>
        </w:rPr>
        <w:t>l'interès</w:t>
      </w:r>
      <w:r>
        <w:rPr>
          <w:rFonts w:ascii="Calibri" w:hAnsi="Calibri" w:asciiTheme="minorHAnsi" w:hAnsiTheme="minorHAnsi"/>
          <w:szCs w:val="24"/>
        </w:rPr>
        <w:t xml:space="preserve"> de demora corresponent des de la data del pagament de la subvenció fins que s'acorde la procedència del reintegrament, els supòsits previstos amb caràcter general en l'article 37 de la Llei general de subvencions. En particular, procedirà el reintegrament total de l'ajuda en el supòsit de falsedat de les declaracions responsables presentades.  </w:t>
      </w:r>
    </w:p>
    <w:p>
      <w:pPr>
        <w:pStyle w:val="Normal"/>
        <w:spacing w:lineRule="auto" w:line="240" w:before="0" w:after="153"/>
        <w:ind w:left="19" w:right="1079" w:hanging="0"/>
        <w:rPr/>
      </w:pPr>
      <w:r>
        <w:rPr>
          <w:rFonts w:ascii="Calibri" w:hAnsi="Calibri" w:asciiTheme="minorHAnsi" w:hAnsiTheme="minorHAnsi"/>
          <w:szCs w:val="24"/>
        </w:rPr>
        <w:t xml:space="preserve">Sense perjudici d'iniciar el procediment de reintegrament, en cas d'incompliment de les obligacions establides amb motiu de la concessió de la subvenció, la persona o empresa beneficiària podran comunicar-ho a l’Ajuntament d’Orba i efectuar la devolució voluntària de la quantitat percebuda. Per a això, haurà de posar- se en contacte amb l’Ajuntament, per saber el tràmits a seguir. Així mateix, es calcularan els interessos de demora fins al moment en el qual es produïsca la devolució efectiva per part seua.  </w:t>
      </w:r>
    </w:p>
    <w:p>
      <w:pPr>
        <w:pStyle w:val="Normal"/>
        <w:spacing w:lineRule="auto" w:line="240" w:before="0" w:after="136"/>
        <w:ind w:left="0" w:right="0" w:hanging="0"/>
        <w:rPr/>
      </w:pPr>
      <w:r>
        <w:rPr>
          <w:rFonts w:ascii="Calibri" w:hAnsi="Calibri" w:asciiTheme="minorHAnsi" w:hAnsiTheme="minorHAnsi"/>
          <w:szCs w:val="24"/>
        </w:rPr>
        <w:t xml:space="preserve"> </w:t>
      </w:r>
    </w:p>
    <w:p>
      <w:pPr>
        <w:pStyle w:val="Normal"/>
        <w:spacing w:lineRule="auto" w:line="240" w:before="0" w:after="136"/>
        <w:ind w:left="0" w:right="0" w:hanging="0"/>
        <w:rPr>
          <w:rFonts w:ascii="Calibri" w:hAnsi="Calibri" w:asciiTheme="minorHAnsi" w:hAnsiTheme="minorHAnsi"/>
          <w:szCs w:val="24"/>
        </w:rPr>
      </w:pPr>
      <w:r>
        <w:rPr/>
      </w:r>
    </w:p>
    <w:p>
      <w:pPr>
        <w:pStyle w:val="Normal"/>
        <w:spacing w:lineRule="auto" w:line="240" w:before="0" w:after="136"/>
        <w:ind w:left="0" w:right="0" w:hanging="0"/>
        <w:rPr>
          <w:rFonts w:ascii="Calibri" w:hAnsi="Calibri" w:asciiTheme="minorHAnsi" w:hAnsiTheme="minorHAnsi"/>
          <w:szCs w:val="24"/>
        </w:rPr>
      </w:pPr>
      <w:r>
        <w:rPr/>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rPr>
        <w:t>DESENA. COMPATIBILITAT</w:t>
      </w:r>
      <w:r>
        <w:rPr>
          <w:rFonts w:ascii="Calibri" w:hAnsi="Calibri" w:asciiTheme="minorHAnsi" w:hAnsiTheme="minorHAnsi"/>
          <w:b/>
          <w:szCs w:val="24"/>
          <w:u w:val="none"/>
        </w:rPr>
        <w:t xml:space="preserve"> </w:t>
      </w:r>
    </w:p>
    <w:p>
      <w:pPr>
        <w:pStyle w:val="Normal"/>
        <w:spacing w:lineRule="auto" w:line="240"/>
        <w:ind w:left="19" w:right="1079" w:hanging="0"/>
        <w:rPr/>
      </w:pPr>
      <w:r>
        <w:rPr>
          <w:rFonts w:ascii="Calibri" w:hAnsi="Calibri" w:asciiTheme="minorHAnsi" w:hAnsiTheme="minorHAnsi"/>
          <w:szCs w:val="24"/>
        </w:rPr>
        <w:t>Estes ajudes son compatibles amb les d’altres administracions concedides per a la mateixa finalitat, no obstant les despeses que s’aporten no podran haver sigut presentades per a l’obtenció i justificació d’altres ajudes.</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ind w:left="19" w:right="1079" w:hanging="0"/>
        <w:rPr/>
      </w:pPr>
      <w:r>
        <w:rPr>
          <w:rFonts w:ascii="Calibri" w:hAnsi="Calibri" w:asciiTheme="minorHAnsi" w:hAnsiTheme="minorHAnsi"/>
          <w:szCs w:val="24"/>
        </w:rPr>
        <w:t xml:space="preserve">L'import de les subvencions regulades en aquesta convocatòria en cap cas podrà ser de tal quantia que aïlladament, o en concurrència amb subvencions o ajudes altres administracions públiques, o altres ens públics o privats, supere el cost de les pèrdues justificades.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Encabezado1"/>
        <w:spacing w:lineRule="auto" w:line="240" w:before="0" w:after="9"/>
        <w:ind w:left="9" w:right="1090" w:hanging="10"/>
        <w:jc w:val="both"/>
        <w:rPr>
          <w:rFonts w:ascii="Calibri" w:hAnsi="Calibri" w:asciiTheme="minorHAnsi" w:hAnsiTheme="minorHAnsi"/>
          <w:b/>
          <w:b/>
          <w:szCs w:val="24"/>
          <w:u w:val="none"/>
        </w:rPr>
      </w:pPr>
      <w:r>
        <w:rPr>
          <w:rFonts w:ascii="Calibri" w:hAnsi="Calibri" w:asciiTheme="minorHAnsi" w:hAnsiTheme="minorHAnsi"/>
          <w:b/>
          <w:szCs w:val="24"/>
        </w:rPr>
        <w:t>ONZENA. RÈGIM JURÍDIC APLICABLE</w:t>
      </w:r>
      <w:r>
        <w:rPr>
          <w:rFonts w:ascii="Calibri" w:hAnsi="Calibri" w:asciiTheme="minorHAnsi" w:hAnsiTheme="minorHAnsi"/>
          <w:b/>
          <w:szCs w:val="24"/>
          <w:u w:val="none"/>
        </w:rPr>
        <w:t xml:space="preserve"> </w:t>
      </w:r>
    </w:p>
    <w:p>
      <w:pPr>
        <w:pStyle w:val="Normal"/>
        <w:spacing w:lineRule="auto" w:line="240"/>
        <w:rPr/>
      </w:pPr>
      <w:r>
        <w:rPr/>
      </w:r>
    </w:p>
    <w:p>
      <w:pPr>
        <w:pStyle w:val="Normal"/>
        <w:spacing w:lineRule="auto" w:line="240"/>
        <w:ind w:left="19" w:right="1079" w:firstLine="689"/>
        <w:rPr>
          <w:rFonts w:ascii="Calibri" w:hAnsi="Calibri" w:asciiTheme="minorHAnsi" w:hAnsiTheme="minorHAnsi"/>
          <w:szCs w:val="24"/>
        </w:rPr>
      </w:pPr>
      <w:r>
        <w:rPr>
          <w:rFonts w:ascii="Calibri" w:hAnsi="Calibri" w:asciiTheme="minorHAnsi" w:hAnsiTheme="minorHAnsi"/>
          <w:szCs w:val="24"/>
        </w:rPr>
        <w:t xml:space="preserve">Las ajudes objecte de la present convocatòria es regiran per l’establert a la mateixa i les següents disposicions: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ListParagraph"/>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Llei 38/2003, de 17 de novembre, General de Subvencions (LGS). </w:t>
      </w:r>
    </w:p>
    <w:p>
      <w:pPr>
        <w:pStyle w:val="ListParagraph"/>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Decret del Sr. Diputat de Desenvolupament Econòmic i Sectors Productius, núm. 2021/2486, de data 30 de juny de 2021, dictat en virtut de les facultats que li van ser delegades per Resolució de l'Il·lm. Sr. President núm. 2.985, de data 26 de juliol de 2019 (BOP núm. 145, d'1 d'agost de 2019)</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Reglament General de Subvencions, aprovat pel Reial Decret 887/2006, de 21 de juliol(RGS).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Llei 39/2015, d’1 d’octubre, del Procediment Administratiu Comú de les Administracions Públiques (LPACAP).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Llei 19/2013, de 9 de desembre, de Transparència, Accés a la Informació Pública i Bon Govern. </w:t>
      </w:r>
    </w:p>
    <w:p>
      <w:pPr>
        <w:pStyle w:val="Normal"/>
        <w:numPr>
          <w:ilvl w:val="0"/>
          <w:numId w:val="5"/>
        </w:numPr>
        <w:spacing w:lineRule="auto" w:line="240" w:before="0" w:after="1"/>
        <w:ind w:left="720" w:right="1079" w:hanging="360"/>
        <w:rPr>
          <w:rFonts w:ascii="Calibri" w:hAnsi="Calibri" w:asciiTheme="minorHAnsi" w:hAnsiTheme="minorHAnsi"/>
          <w:szCs w:val="24"/>
        </w:rPr>
      </w:pPr>
      <w:r>
        <w:rPr>
          <w:rFonts w:ascii="Calibri" w:hAnsi="Calibri" w:asciiTheme="minorHAnsi" w:hAnsiTheme="minorHAnsi"/>
          <w:szCs w:val="24"/>
        </w:rPr>
        <w:t xml:space="preserve">Reial decret 130/2019, de 8 de març, pel qual es regula la Base de dades Nacional de Subvencions i la publicitat de les subvencions i la resta d'ajudes públiques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Resolució de 10 de desembre de 2015, de la Intervenció General de l'Administració de l'Estat, per la qual es regula el procés de registre i publicació de convocatòries de subvencions i ajudes en el Sistema Nacional de Publicitat de Subvencions.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Així com la resta de normativa aplicable que per la seua naturalesa poguera resultar d’aplicació a aquestes bases.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Bases d’execució del pressupost municipal vigent.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ind w:left="19" w:right="1079" w:firstLine="341"/>
        <w:rPr>
          <w:rFonts w:ascii="Calibri" w:hAnsi="Calibri" w:asciiTheme="minorHAnsi" w:hAnsiTheme="minorHAnsi"/>
          <w:szCs w:val="24"/>
        </w:rPr>
      </w:pPr>
      <w:r>
        <w:rPr>
          <w:rFonts w:ascii="Calibri" w:hAnsi="Calibri" w:asciiTheme="minorHAnsi" w:hAnsiTheme="minorHAnsi"/>
          <w:szCs w:val="24"/>
        </w:rPr>
        <w:t xml:space="preserve">La gestió d'aquestes subvencions se subjectarà als principis de publicitat, transparència, objectivitat, igualtat i no discriminació, així com l'eficàcia en el compliment d'objectius i eficiència en l'assignació i utilització dels recursos públics.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Encabezado1"/>
        <w:spacing w:lineRule="auto" w:line="240" w:before="0" w:after="9"/>
        <w:ind w:left="9" w:right="1090" w:hanging="10"/>
        <w:jc w:val="both"/>
        <w:rPr>
          <w:rFonts w:ascii="Calibri" w:hAnsi="Calibri" w:asciiTheme="minorHAnsi" w:hAnsiTheme="minorHAnsi"/>
          <w:b/>
          <w:b/>
          <w:szCs w:val="24"/>
        </w:rPr>
      </w:pPr>
      <w:r>
        <w:rPr>
          <w:rFonts w:ascii="Calibri" w:hAnsi="Calibri" w:asciiTheme="minorHAnsi" w:hAnsiTheme="minorHAnsi"/>
          <w:b/>
          <w:szCs w:val="24"/>
        </w:rPr>
        <w:t>DOTZENA. PROTECCIÓ DE DADES</w:t>
      </w:r>
      <w:r>
        <w:rPr>
          <w:rFonts w:ascii="Calibri" w:hAnsi="Calibri" w:asciiTheme="minorHAnsi" w:hAnsiTheme="minorHAnsi"/>
          <w:b/>
          <w:szCs w:val="24"/>
          <w:u w:val="none"/>
        </w:rPr>
        <w:t xml:space="preserve">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De conformitat amb el que es preveu en la Llei orgànica 3/2018, de 5 de desembre, de Protecció de Dades Personals i garantia dels drets digitals:</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Responsable del tractament de les seues dades: Ajuntament d'Orba. Carrer Bonaire, 12, 03790 Orba, únic destinatari de la informació aportada voluntàriament.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Finalitat del tractament de les dades: Gestionar la sol·licitud de subvenció prevista en el Decret llei 1/2021 de la Generalitat Valenciana a autònoms,  professionals i microempreses de l'àmbit comercial per a atenuar l'impacte </w:t>
      </w:r>
    </w:p>
    <w:p>
      <w:pPr>
        <w:pStyle w:val="ListParagraph"/>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econòmic del COVID‐19 en el municipi.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Temps de conservació de les dades: Durant el termini de vigència d’aquest expedient. No obstant això, les dades seran conservades amb finalitats d’arxiu d’interés públic o fins estadístics.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Legitimació per al tractament de les dades. Exercici dels poders públics o competències pròpies.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Cessió a terceres persones: Les dades facilitades no seran cedits a terceres persones alienes a l’Ajuntament d’Orba, llevat que hagen de ser comunicats a altres entitats públiques per imperatiu legal.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rPr>
        <w:t xml:space="preserve">Drets: Dret d’accés a les seues dades, sol·licitar la seua rectificació o, si escau, cancel·lació, oposició o sol·licitar la seua supressió. Podrà sol·licitar la limitació del tractament de les seues dades o, en el seu cas, oposar-se al tractament d’aquests. Per a exercir els expressats drets podrà fer-ho a través de la seu electrònica de l’Ajuntament d’Orba. </w:t>
      </w:r>
    </w:p>
    <w:p>
      <w:pPr>
        <w:pStyle w:val="Normal"/>
        <w:spacing w:lineRule="auto" w:line="240" w:before="0" w:after="0"/>
        <w:ind w:left="360"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Encabezado1"/>
        <w:spacing w:lineRule="auto" w:line="240" w:before="0" w:after="9"/>
        <w:ind w:left="9" w:right="1090" w:hanging="10"/>
        <w:jc w:val="both"/>
        <w:rPr>
          <w:rFonts w:ascii="Calibri" w:hAnsi="Calibri" w:asciiTheme="minorHAnsi" w:hAnsiTheme="minorHAnsi"/>
          <w:b/>
          <w:b/>
          <w:szCs w:val="24"/>
          <w:u w:val="none"/>
        </w:rPr>
      </w:pPr>
      <w:r>
        <w:rPr>
          <w:rFonts w:ascii="Calibri" w:hAnsi="Calibri" w:asciiTheme="minorHAnsi" w:hAnsiTheme="minorHAnsi"/>
          <w:b/>
          <w:szCs w:val="24"/>
        </w:rPr>
        <w:t>TRETZENA. PUBLICITAT</w:t>
      </w:r>
      <w:r>
        <w:rPr>
          <w:rFonts w:ascii="Calibri" w:hAnsi="Calibri" w:asciiTheme="minorHAnsi" w:hAnsiTheme="minorHAnsi"/>
          <w:b/>
          <w:szCs w:val="24"/>
          <w:u w:val="none"/>
        </w:rPr>
        <w:t xml:space="preserve"> </w:t>
      </w:r>
    </w:p>
    <w:p>
      <w:pPr>
        <w:pStyle w:val="Normal"/>
        <w:spacing w:lineRule="auto" w:line="240"/>
        <w:rPr/>
      </w:pPr>
      <w:r>
        <w:rPr/>
      </w:r>
    </w:p>
    <w:p>
      <w:pPr>
        <w:pStyle w:val="Normal"/>
        <w:spacing w:lineRule="auto" w:line="240"/>
        <w:ind w:left="19" w:right="1079" w:firstLine="689"/>
        <w:rPr/>
      </w:pPr>
      <w:r>
        <w:rPr>
          <w:rFonts w:ascii="Calibri" w:hAnsi="Calibri" w:asciiTheme="minorHAnsi" w:hAnsiTheme="minorHAnsi"/>
          <w:szCs w:val="24"/>
        </w:rPr>
        <w:t>La present convocatòria es publicará en la BDNS</w:t>
      </w:r>
      <w:r>
        <w:rPr>
          <w:rFonts w:ascii="Calibri" w:hAnsi="Calibri" w:asciiTheme="minorHAnsi" w:hAnsiTheme="minorHAnsi"/>
          <w:szCs w:val="24"/>
        </w:rPr>
        <w:t xml:space="preserve">, que posarà l'extracte de la convocatòria a la disposició del Butlletí Oficial de la Província per a la seua publicació, </w:t>
      </w:r>
      <w:r>
        <w:rPr>
          <w:rFonts w:ascii="Calibri" w:hAnsi="Calibri" w:asciiTheme="minorHAnsi" w:hAnsiTheme="minorHAnsi"/>
          <w:szCs w:val="24"/>
        </w:rPr>
        <w:t>en la</w:t>
      </w:r>
      <w:r>
        <w:rPr>
          <w:rFonts w:ascii="Calibri" w:hAnsi="Calibri" w:asciiTheme="minorHAnsi" w:hAnsiTheme="minorHAnsi"/>
          <w:szCs w:val="24"/>
        </w:rPr>
        <w:t xml:space="preserve"> seu electrònica municipal i </w:t>
      </w:r>
      <w:r>
        <w:rPr>
          <w:rFonts w:ascii="Calibri" w:hAnsi="Calibri" w:asciiTheme="minorHAnsi" w:hAnsiTheme="minorHAnsi"/>
          <w:szCs w:val="24"/>
        </w:rPr>
        <w:t xml:space="preserve">el </w:t>
      </w:r>
      <w:r>
        <w:rPr>
          <w:rFonts w:ascii="Calibri" w:hAnsi="Calibri" w:asciiTheme="minorHAnsi" w:hAnsiTheme="minorHAnsi"/>
          <w:szCs w:val="24"/>
        </w:rPr>
        <w:t xml:space="preserve">tauler d'anuncis municipal.  </w:t>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0"/>
        <w:ind w:left="14" w:right="0" w:hanging="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before="0" w:after="3"/>
        <w:ind w:left="10" w:right="1037" w:hanging="10"/>
        <w:rPr>
          <w:rFonts w:ascii="Calibri" w:hAnsi="Calibri" w:asciiTheme="minorHAnsi" w:hAnsiTheme="minorHAnsi"/>
          <w:b/>
          <w:b/>
          <w:szCs w:val="24"/>
        </w:rPr>
      </w:pPr>
      <w:r>
        <w:rPr>
          <w:rFonts w:ascii="Calibri" w:hAnsi="Calibri" w:asciiTheme="minorHAnsi" w:hAnsiTheme="minorHAnsi"/>
          <w:b/>
          <w:szCs w:val="24"/>
          <w:u w:val="single" w:color="000000"/>
        </w:rPr>
        <w:t>ANNEX I</w:t>
      </w:r>
    </w:p>
    <w:p>
      <w:pPr>
        <w:pStyle w:val="Normal"/>
        <w:spacing w:lineRule="auto" w:line="240" w:before="0" w:after="0"/>
        <w:ind w:left="0" w:right="854" w:hanging="0"/>
        <w:rPr>
          <w:rFonts w:ascii="Calibri" w:hAnsi="Calibri" w:asciiTheme="minorHAnsi" w:hAnsiTheme="minorHAnsi"/>
          <w:b/>
          <w:b/>
          <w:szCs w:val="24"/>
        </w:rPr>
      </w:pPr>
      <w:r>
        <w:rPr>
          <w:rFonts w:ascii="Calibri" w:hAnsi="Calibri" w:asciiTheme="minorHAnsi" w:hAnsiTheme="minorHAnsi"/>
          <w:b/>
          <w:szCs w:val="24"/>
        </w:rPr>
        <w:t xml:space="preserve">  </w:t>
      </w:r>
    </w:p>
    <w:p>
      <w:pPr>
        <w:pStyle w:val="Normal"/>
        <w:spacing w:lineRule="auto" w:line="240" w:before="0" w:after="3"/>
        <w:ind w:left="10" w:right="1036" w:hanging="10"/>
        <w:rPr>
          <w:rFonts w:ascii="Calibri" w:hAnsi="Calibri" w:asciiTheme="minorHAnsi" w:hAnsiTheme="minorHAnsi"/>
          <w:b/>
          <w:b/>
          <w:szCs w:val="24"/>
        </w:rPr>
      </w:pPr>
      <w:r>
        <w:rPr>
          <w:rFonts w:ascii="Calibri" w:hAnsi="Calibri" w:asciiTheme="minorHAnsi" w:hAnsiTheme="minorHAnsi"/>
          <w:b/>
          <w:szCs w:val="24"/>
          <w:u w:val="single" w:color="000000"/>
        </w:rPr>
        <w:t>SOL·LICITUD D'AJUDES AMB DESTINACIÓ A MINIMITZAR L'IMPACTE ECONÒMIC QUE EL COVID-19 ESTÀ SUPOSANT SOBRE PIMES, MICROPIMES, XICOTETS EMPRESARIS AUTÒNOMS I PROFESSIONALS DEL MUNICIPI D’ORBA 2021</w:t>
      </w:r>
    </w:p>
    <w:p>
      <w:pPr>
        <w:pStyle w:val="Normal"/>
        <w:spacing w:lineRule="auto" w:line="240" w:before="0" w:after="13"/>
        <w:ind w:left="0" w:right="0" w:hanging="0"/>
        <w:rPr>
          <w:rFonts w:ascii="Calibri" w:hAnsi="Calibri" w:asciiTheme="minorHAnsi" w:hAnsiTheme="minorHAnsi"/>
          <w:szCs w:val="24"/>
        </w:rPr>
      </w:pPr>
      <w:r>
        <w:rPr>
          <w:rFonts w:ascii="Calibri" w:hAnsi="Calibri" w:asciiTheme="minorHAnsi" w:hAnsiTheme="minorHAnsi"/>
          <w:szCs w:val="24"/>
        </w:rPr>
        <w:tab/>
        <w:t xml:space="preserve"> </w:t>
      </w:r>
    </w:p>
    <w:p>
      <w:pPr>
        <w:pStyle w:val="Normal"/>
        <w:spacing w:lineRule="auto" w:line="240" w:before="54" w:after="0"/>
        <w:ind w:left="0" w:right="0" w:hanging="0"/>
        <w:rPr/>
      </w:pPr>
      <w:r>
        <w:rPr/>
        <w:t xml:space="preserve"> </w:t>
      </w:r>
    </w:p>
    <w:p>
      <w:pPr>
        <w:pStyle w:val="Normal"/>
        <w:spacing w:lineRule="auto" w:line="240" w:before="0" w:after="0"/>
        <w:ind w:left="0" w:right="1090" w:hanging="10"/>
        <w:rPr>
          <w:rFonts w:ascii="Calibri" w:hAnsi="Calibri" w:asciiTheme="minorHAnsi" w:hAnsiTheme="minorHAnsi"/>
          <w:u w:val="single"/>
          <w:lang w:val="ca-ES-valencia" w:eastAsia="ca-ES-valencia"/>
        </w:rPr>
      </w:pPr>
      <w:r>
        <w:rPr/>
        <w:t xml:space="preserve"> </w:t>
      </w:r>
      <w:r>
        <w:rPr>
          <w:rFonts w:ascii="Calibri" w:hAnsi="Calibri" w:asciiTheme="minorHAnsi" w:hAnsiTheme="minorHAnsi"/>
          <w:u w:val="single"/>
          <w:lang w:val="ca-ES-valencia" w:eastAsia="ca-ES-valencia"/>
        </w:rPr>
        <w:t xml:space="preserve">DADES DE L’INTERESSAT/DA </w:t>
      </w:r>
    </w:p>
    <w:p>
      <w:pPr>
        <w:pStyle w:val="Normal"/>
        <w:spacing w:lineRule="auto" w:line="240" w:before="0" w:after="0"/>
        <w:ind w:left="0" w:right="0" w:hanging="10"/>
        <w:jc w:val="left"/>
        <w:rPr>
          <w:lang w:val="ca-ES-valencia" w:eastAsia="ca-ES-valencia"/>
        </w:rPr>
      </w:pPr>
      <w:r>
        <w:rPr>
          <w:lang w:val="ca-ES-valencia" w:eastAsia="ca-ES-valencia"/>
        </w:rPr>
      </w:r>
    </w:p>
    <w:p>
      <w:pPr>
        <w:pStyle w:val="Normal"/>
        <w:spacing w:lineRule="auto" w:line="240" w:before="0" w:after="161"/>
        <w:ind w:left="0" w:right="0" w:hanging="0"/>
        <w:jc w:val="left"/>
        <w:rPr>
          <w:rFonts w:ascii="Calibri" w:hAnsi="Calibri" w:eastAsia="Calibri" w:cs="Calibri"/>
          <w:bCs/>
          <w:iCs/>
          <w:spacing w:val="5"/>
          <w:szCs w:val="24"/>
          <w:lang w:val="ca-ES-valencia" w:eastAsia="ca-ES-valencia"/>
        </w:rPr>
      </w:pPr>
      <w:r>
        <w:rPr>
          <w:rFonts w:eastAsia="Calibri" w:cs="Calibri" w:ascii="Calibri" w:hAnsi="Calibri"/>
          <w:bCs/>
          <w:iCs/>
          <w:spacing w:val="5"/>
          <w:szCs w:val="24"/>
          <w:lang w:val="ca-ES-valencia" w:eastAsia="ca-ES-valencia"/>
        </w:rPr>
        <w:t>Nom i cognoms o Raó Social</w:t>
        <w:tab/>
        <w:tab/>
        <w:tab/>
        <w:t>DNI/NIE/CIF</w:t>
        <w:tab/>
        <w:tab/>
        <w:t>CNAE/IAE</w:t>
      </w:r>
    </w:p>
    <w:tbl>
      <w:tblPr>
        <w:tblStyle w:val="Tablaconcuadrcula"/>
        <w:tblW w:w="8484" w:type="dxa"/>
        <w:jc w:val="left"/>
        <w:tblInd w:w="10" w:type="dxa"/>
        <w:tblCellMar>
          <w:top w:w="0" w:type="dxa"/>
          <w:left w:w="108" w:type="dxa"/>
          <w:bottom w:w="0" w:type="dxa"/>
          <w:right w:w="108" w:type="dxa"/>
        </w:tblCellMar>
        <w:tblLook w:firstRow="1" w:noVBand="1" w:lastRow="0" w:firstColumn="1" w:lastColumn="0" w:noHBand="0" w:val="04a0"/>
      </w:tblPr>
      <w:tblGrid>
        <w:gridCol w:w="4703"/>
        <w:gridCol w:w="1890"/>
        <w:gridCol w:w="1891"/>
      </w:tblGrid>
      <w:tr>
        <w:trPr/>
        <w:tc>
          <w:tcPr>
            <w:tcW w:w="4703"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1890"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1891"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r>
    </w:tbl>
    <w:p>
      <w:pPr>
        <w:pStyle w:val="Normal"/>
        <w:spacing w:lineRule="auto" w:line="240" w:before="0" w:after="161"/>
        <w:ind w:left="0" w:right="0" w:hanging="0"/>
        <w:jc w:val="left"/>
        <w:rPr>
          <w:rFonts w:ascii="Calibri" w:hAnsi="Calibri" w:eastAsia="Calibri" w:cs="Calibri"/>
          <w:bCs/>
          <w:iCs/>
          <w:spacing w:val="5"/>
          <w:szCs w:val="24"/>
          <w:lang w:val="ca-ES-valencia" w:eastAsia="ca-ES-valencia"/>
        </w:rPr>
      </w:pPr>
      <w:r>
        <w:rPr>
          <w:rFonts w:eastAsia="Calibri" w:cs="Calibri" w:ascii="Calibri" w:hAnsi="Calibri"/>
          <w:bCs/>
          <w:iCs/>
          <w:spacing w:val="5"/>
          <w:szCs w:val="24"/>
          <w:lang w:val="ca-ES-valencia" w:eastAsia="ca-ES-valencia"/>
        </w:rPr>
        <w:t>Domicili</w:t>
        <w:tab/>
        <w:tab/>
        <w:tab/>
        <w:tab/>
        <w:tab/>
        <w:t xml:space="preserve">     Població</w:t>
        <w:tab/>
        <w:tab/>
        <w:t>Província</w:t>
      </w:r>
    </w:p>
    <w:tbl>
      <w:tblPr>
        <w:tblStyle w:val="Tablaconcuadrcula"/>
        <w:tblW w:w="8484" w:type="dxa"/>
        <w:jc w:val="left"/>
        <w:tblInd w:w="10" w:type="dxa"/>
        <w:tblCellMar>
          <w:top w:w="0" w:type="dxa"/>
          <w:left w:w="108" w:type="dxa"/>
          <w:bottom w:w="0" w:type="dxa"/>
          <w:right w:w="108" w:type="dxa"/>
        </w:tblCellMar>
        <w:tblLook w:firstRow="1" w:noVBand="1" w:lastRow="0" w:firstColumn="1" w:lastColumn="0" w:noHBand="0" w:val="04a0"/>
      </w:tblPr>
      <w:tblGrid>
        <w:gridCol w:w="4237"/>
        <w:gridCol w:w="1843"/>
        <w:gridCol w:w="2404"/>
      </w:tblGrid>
      <w:tr>
        <w:trPr/>
        <w:tc>
          <w:tcPr>
            <w:tcW w:w="4237"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1843"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2404"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r>
    </w:tbl>
    <w:p>
      <w:pPr>
        <w:pStyle w:val="Normal"/>
        <w:spacing w:lineRule="auto" w:line="240" w:before="0" w:after="161"/>
        <w:ind w:left="10" w:right="0" w:hanging="10"/>
        <w:jc w:val="left"/>
        <w:rPr>
          <w:rFonts w:ascii="Calibri" w:hAnsi="Calibri" w:eastAsia="Calibri" w:cs="Calibri"/>
          <w:bCs/>
          <w:iCs/>
          <w:spacing w:val="5"/>
          <w:szCs w:val="24"/>
          <w:lang w:val="ca-ES-valencia" w:eastAsia="ca-ES-valencia"/>
        </w:rPr>
      </w:pPr>
      <w:r>
        <w:rPr>
          <w:rFonts w:eastAsia="Calibri" w:cs="Calibri" w:ascii="Calibri" w:hAnsi="Calibri"/>
          <w:bCs/>
          <w:iCs/>
          <w:spacing w:val="5"/>
          <w:szCs w:val="24"/>
          <w:lang w:val="ca-ES-valencia" w:eastAsia="ca-ES-valencia"/>
        </w:rPr>
        <w:t xml:space="preserve">Adreça electrònica </w:t>
        <w:tab/>
        <w:tab/>
        <w:tab/>
        <w:tab/>
        <w:tab/>
        <w:tab/>
        <w:tab/>
        <w:t>Telèfon</w:t>
      </w:r>
    </w:p>
    <w:tbl>
      <w:tblPr>
        <w:tblStyle w:val="Tablaconcuadrcula"/>
        <w:tblW w:w="8484" w:type="dxa"/>
        <w:jc w:val="left"/>
        <w:tblInd w:w="10" w:type="dxa"/>
        <w:tblCellMar>
          <w:top w:w="0" w:type="dxa"/>
          <w:left w:w="108" w:type="dxa"/>
          <w:bottom w:w="0" w:type="dxa"/>
          <w:right w:w="108" w:type="dxa"/>
        </w:tblCellMar>
        <w:tblLook w:firstRow="1" w:noVBand="1" w:lastRow="0" w:firstColumn="1" w:lastColumn="0" w:noHBand="0" w:val="04a0"/>
      </w:tblPr>
      <w:tblGrid>
        <w:gridCol w:w="6080"/>
        <w:gridCol w:w="2403"/>
      </w:tblGrid>
      <w:tr>
        <w:trPr/>
        <w:tc>
          <w:tcPr>
            <w:tcW w:w="6080"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2403"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r>
    </w:tbl>
    <w:p>
      <w:pPr>
        <w:pStyle w:val="Normal"/>
        <w:spacing w:lineRule="auto" w:line="240" w:before="0" w:after="0"/>
        <w:ind w:left="0" w:right="0" w:hanging="10"/>
        <w:jc w:val="left"/>
        <w:rPr>
          <w:lang w:val="ca-ES-valencia" w:eastAsia="ca-ES-valencia"/>
        </w:rPr>
      </w:pPr>
      <w:r>
        <w:rPr>
          <w:lang w:val="ca-ES-valencia" w:eastAsia="ca-ES-valencia"/>
        </w:rPr>
      </w:r>
    </w:p>
    <w:p>
      <w:pPr>
        <w:pStyle w:val="Normal"/>
        <w:spacing w:lineRule="auto" w:line="240" w:before="0" w:after="0"/>
        <w:ind w:left="0" w:right="0" w:hanging="10"/>
        <w:jc w:val="left"/>
        <w:rPr>
          <w:rFonts w:ascii="Calibri" w:hAnsi="Calibri" w:asciiTheme="minorHAnsi" w:hAnsiTheme="minorHAnsi"/>
          <w:u w:val="single"/>
          <w:lang w:val="ca-ES-valencia" w:eastAsia="ca-ES-valencia"/>
        </w:rPr>
      </w:pPr>
      <w:r>
        <w:rPr>
          <w:rFonts w:ascii="Calibri" w:hAnsi="Calibri" w:asciiTheme="minorHAnsi" w:hAnsiTheme="minorHAnsi"/>
          <w:u w:val="single"/>
          <w:lang w:val="ca-ES-valencia" w:eastAsia="ca-ES-valencia"/>
        </w:rPr>
        <w:t xml:space="preserve">DADES DE LA PERSONA REPRESENTANT </w:t>
      </w:r>
    </w:p>
    <w:p>
      <w:pPr>
        <w:pStyle w:val="Normal"/>
        <w:spacing w:lineRule="auto" w:line="240" w:before="0" w:after="0"/>
        <w:ind w:left="0" w:right="0" w:hanging="10"/>
        <w:jc w:val="left"/>
        <w:rPr>
          <w:lang w:val="ca-ES-valencia" w:eastAsia="ca-ES-valencia"/>
        </w:rPr>
      </w:pPr>
      <w:r>
        <w:rPr>
          <w:lang w:val="ca-ES-valencia" w:eastAsia="ca-ES-valencia"/>
        </w:rPr>
      </w:r>
    </w:p>
    <w:p>
      <w:pPr>
        <w:pStyle w:val="Normal"/>
        <w:spacing w:lineRule="auto" w:line="240" w:before="0" w:after="161"/>
        <w:ind w:left="0" w:right="0" w:hanging="0"/>
        <w:jc w:val="left"/>
        <w:rPr>
          <w:rFonts w:ascii="Calibri" w:hAnsi="Calibri" w:eastAsia="Calibri" w:cs="Calibri"/>
          <w:bCs/>
          <w:iCs/>
          <w:spacing w:val="5"/>
          <w:szCs w:val="24"/>
          <w:lang w:val="ca-ES-valencia" w:eastAsia="ca-ES-valencia"/>
        </w:rPr>
      </w:pPr>
      <w:r>
        <w:rPr>
          <w:rFonts w:eastAsia="Calibri" w:cs="Calibri" w:ascii="Calibri" w:hAnsi="Calibri"/>
          <w:bCs/>
          <w:iCs/>
          <w:spacing w:val="5"/>
          <w:szCs w:val="24"/>
          <w:lang w:val="ca-ES-valencia" w:eastAsia="ca-ES-valencia"/>
        </w:rPr>
        <w:t>Nom i cognoms o Raó Social</w:t>
        <w:tab/>
        <w:tab/>
        <w:tab/>
        <w:tab/>
        <w:tab/>
        <w:t>DNI/NIE/CIF</w:t>
      </w:r>
    </w:p>
    <w:tbl>
      <w:tblPr>
        <w:tblStyle w:val="Tablaconcuadrcula"/>
        <w:tblW w:w="8484" w:type="dxa"/>
        <w:jc w:val="left"/>
        <w:tblInd w:w="10" w:type="dxa"/>
        <w:tblCellMar>
          <w:top w:w="0" w:type="dxa"/>
          <w:left w:w="108" w:type="dxa"/>
          <w:bottom w:w="0" w:type="dxa"/>
          <w:right w:w="108" w:type="dxa"/>
        </w:tblCellMar>
        <w:tblLook w:firstRow="1" w:noVBand="1" w:lastRow="0" w:firstColumn="1" w:lastColumn="0" w:noHBand="0" w:val="04a0"/>
      </w:tblPr>
      <w:tblGrid>
        <w:gridCol w:w="6080"/>
        <w:gridCol w:w="2403"/>
      </w:tblGrid>
      <w:tr>
        <w:trPr/>
        <w:tc>
          <w:tcPr>
            <w:tcW w:w="6080"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2403"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r>
    </w:tbl>
    <w:p>
      <w:pPr>
        <w:pStyle w:val="Normal"/>
        <w:spacing w:lineRule="auto" w:line="240" w:before="0" w:after="161"/>
        <w:ind w:left="0" w:right="0" w:hanging="0"/>
        <w:jc w:val="left"/>
        <w:rPr>
          <w:rFonts w:ascii="Calibri" w:hAnsi="Calibri" w:eastAsia="Calibri" w:cs="Calibri"/>
          <w:bCs/>
          <w:iCs/>
          <w:spacing w:val="5"/>
          <w:szCs w:val="24"/>
          <w:lang w:val="ca-ES-valencia" w:eastAsia="ca-ES-valencia"/>
        </w:rPr>
      </w:pPr>
      <w:r>
        <w:rPr>
          <w:rFonts w:eastAsia="Calibri" w:cs="Calibri" w:ascii="Calibri" w:hAnsi="Calibri"/>
          <w:bCs/>
          <w:iCs/>
          <w:spacing w:val="5"/>
          <w:szCs w:val="24"/>
          <w:lang w:val="ca-ES-valencia" w:eastAsia="ca-ES-valencia"/>
        </w:rPr>
        <w:t>Domicili</w:t>
        <w:tab/>
        <w:tab/>
        <w:tab/>
        <w:tab/>
        <w:tab/>
        <w:t xml:space="preserve">     Població</w:t>
        <w:tab/>
        <w:tab/>
        <w:t>Província</w:t>
      </w:r>
    </w:p>
    <w:tbl>
      <w:tblPr>
        <w:tblStyle w:val="Tablaconcuadrcula"/>
        <w:tblW w:w="8484" w:type="dxa"/>
        <w:jc w:val="left"/>
        <w:tblInd w:w="10" w:type="dxa"/>
        <w:tblCellMar>
          <w:top w:w="0" w:type="dxa"/>
          <w:left w:w="108" w:type="dxa"/>
          <w:bottom w:w="0" w:type="dxa"/>
          <w:right w:w="108" w:type="dxa"/>
        </w:tblCellMar>
        <w:tblLook w:firstRow="1" w:noVBand="1" w:lastRow="0" w:firstColumn="1" w:lastColumn="0" w:noHBand="0" w:val="04a0"/>
      </w:tblPr>
      <w:tblGrid>
        <w:gridCol w:w="4237"/>
        <w:gridCol w:w="1843"/>
        <w:gridCol w:w="2404"/>
      </w:tblGrid>
      <w:tr>
        <w:trPr/>
        <w:tc>
          <w:tcPr>
            <w:tcW w:w="4237"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1843"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2404"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r>
    </w:tbl>
    <w:p>
      <w:pPr>
        <w:pStyle w:val="Normal"/>
        <w:spacing w:lineRule="auto" w:line="240" w:before="0" w:after="153"/>
        <w:ind w:left="14" w:right="0" w:hanging="0"/>
        <w:rPr/>
      </w:pPr>
      <w:r>
        <w:rPr/>
      </w:r>
    </w:p>
    <w:p>
      <w:pPr>
        <w:pStyle w:val="Normal"/>
        <w:spacing w:lineRule="auto" w:line="240" w:before="0" w:after="161"/>
        <w:ind w:left="10" w:right="0" w:hanging="10"/>
        <w:jc w:val="left"/>
        <w:rPr>
          <w:rFonts w:ascii="Calibri" w:hAnsi="Calibri" w:eastAsia="Calibri" w:cs="Calibri"/>
          <w:bCs/>
          <w:iCs/>
          <w:spacing w:val="5"/>
          <w:szCs w:val="24"/>
          <w:lang w:val="ca-ES-valencia" w:eastAsia="ca-ES-valencia"/>
        </w:rPr>
      </w:pPr>
      <w:r>
        <w:rPr>
          <w:rFonts w:eastAsia="Calibri" w:cs="Calibri" w:ascii="Calibri" w:hAnsi="Calibri"/>
          <w:bCs/>
          <w:iCs/>
          <w:spacing w:val="5"/>
          <w:szCs w:val="24"/>
          <w:lang w:val="ca-ES-valencia" w:eastAsia="ca-ES-valencia"/>
        </w:rPr>
        <w:t xml:space="preserve">Adreça electrònica </w:t>
        <w:tab/>
        <w:tab/>
        <w:tab/>
        <w:tab/>
        <w:tab/>
        <w:tab/>
        <w:tab/>
        <w:t>Telèfon</w:t>
      </w:r>
    </w:p>
    <w:tbl>
      <w:tblPr>
        <w:tblStyle w:val="Tablaconcuadrcula1"/>
        <w:tblW w:w="8484" w:type="dxa"/>
        <w:jc w:val="left"/>
        <w:tblInd w:w="10" w:type="dxa"/>
        <w:tblCellMar>
          <w:top w:w="0" w:type="dxa"/>
          <w:left w:w="108" w:type="dxa"/>
          <w:bottom w:w="0" w:type="dxa"/>
          <w:right w:w="108" w:type="dxa"/>
        </w:tblCellMar>
        <w:tblLook w:firstRow="1" w:noVBand="1" w:lastRow="0" w:firstColumn="1" w:lastColumn="0" w:noHBand="0" w:val="04a0"/>
      </w:tblPr>
      <w:tblGrid>
        <w:gridCol w:w="6080"/>
        <w:gridCol w:w="2403"/>
      </w:tblGrid>
      <w:tr>
        <w:trPr/>
        <w:tc>
          <w:tcPr>
            <w:tcW w:w="6080"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c>
          <w:tcPr>
            <w:tcW w:w="2403" w:type="dxa"/>
            <w:tcBorders/>
            <w:shd w:fill="auto" w:val="clear"/>
            <w:tcMar>
              <w:left w:w="108"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rPr>
            </w:pPr>
            <w:r>
              <w:rPr>
                <w:rFonts w:eastAsia="Calibri" w:cs="Calibri" w:ascii="Calibri" w:hAnsi="Calibri"/>
                <w:bCs/>
                <w:iCs/>
                <w:spacing w:val="5"/>
                <w:szCs w:val="24"/>
                <w:lang w:val="es-ES" w:eastAsia="en-US"/>
              </w:rPr>
            </w:r>
          </w:p>
        </w:tc>
      </w:tr>
    </w:tbl>
    <w:p>
      <w:pPr>
        <w:pStyle w:val="Normal"/>
        <w:spacing w:lineRule="auto" w:line="240" w:before="0" w:after="0"/>
        <w:ind w:left="0" w:right="0" w:hanging="10"/>
        <w:jc w:val="left"/>
        <w:rPr>
          <w:lang w:val="ca-ES-valencia" w:eastAsia="ca-ES-valencia"/>
        </w:rPr>
      </w:pPr>
      <w:r>
        <w:rPr>
          <w:lang w:val="ca-ES-valencia" w:eastAsia="ca-ES-valencia"/>
        </w:rPr>
      </w:r>
    </w:p>
    <w:p>
      <w:pPr>
        <w:pStyle w:val="Normal"/>
        <w:spacing w:lineRule="auto" w:line="240" w:before="0" w:after="0"/>
        <w:ind w:left="0" w:right="0" w:hanging="10"/>
        <w:jc w:val="left"/>
        <w:rPr>
          <w:rFonts w:ascii="Calibri" w:hAnsi="Calibri" w:asciiTheme="minorHAnsi" w:hAnsiTheme="minorHAnsi"/>
          <w:u w:val="single"/>
          <w:lang w:val="ca-ES-valencia" w:eastAsia="ca-ES-valencia"/>
        </w:rPr>
      </w:pPr>
      <w:r>
        <w:rPr>
          <w:rFonts w:ascii="Calibri" w:hAnsi="Calibri" w:asciiTheme="minorHAnsi" w:hAnsiTheme="minorHAnsi"/>
          <w:u w:val="single"/>
          <w:lang w:val="ca-ES-valencia" w:eastAsia="ca-ES-valencia"/>
        </w:rPr>
        <w:t>CODI IBAN DEL COMPTE CORRENT</w:t>
      </w:r>
    </w:p>
    <w:p>
      <w:pPr>
        <w:pStyle w:val="Normal"/>
        <w:spacing w:lineRule="auto" w:line="240" w:before="0" w:after="0"/>
        <w:ind w:left="0" w:right="0" w:hanging="10"/>
        <w:jc w:val="left"/>
        <w:rPr>
          <w:lang w:val="ca-ES-valencia" w:eastAsia="ca-ES-valencia"/>
        </w:rPr>
      </w:pPr>
      <w:r>
        <w:rPr>
          <w:lang w:val="ca-ES-valencia" w:eastAsia="ca-ES-valencia"/>
        </w:rPr>
      </w:r>
    </w:p>
    <w:tbl>
      <w:tblPr>
        <w:tblStyle w:val="Tablaconcuadrcula1"/>
        <w:tblW w:w="8494" w:type="dxa"/>
        <w:jc w:val="left"/>
        <w:tblInd w:w="-5" w:type="dxa"/>
        <w:tblCellMar>
          <w:top w:w="0" w:type="dxa"/>
          <w:left w:w="108" w:type="dxa"/>
          <w:bottom w:w="0" w:type="dxa"/>
          <w:right w:w="108" w:type="dxa"/>
        </w:tblCellMar>
        <w:tblLook w:firstRow="1" w:noVBand="1" w:lastRow="0" w:firstColumn="1" w:lastColumn="0" w:noHBand="0" w:val="04a0"/>
      </w:tblPr>
      <w:tblGrid>
        <w:gridCol w:w="355"/>
        <w:gridCol w:w="355"/>
        <w:gridCol w:w="355"/>
        <w:gridCol w:w="353"/>
        <w:gridCol w:w="353"/>
        <w:gridCol w:w="354"/>
        <w:gridCol w:w="353"/>
        <w:gridCol w:w="353"/>
        <w:gridCol w:w="354"/>
        <w:gridCol w:w="353"/>
        <w:gridCol w:w="354"/>
        <w:gridCol w:w="354"/>
        <w:gridCol w:w="353"/>
        <w:gridCol w:w="354"/>
        <w:gridCol w:w="352"/>
        <w:gridCol w:w="353"/>
        <w:gridCol w:w="354"/>
        <w:gridCol w:w="353"/>
        <w:gridCol w:w="353"/>
        <w:gridCol w:w="354"/>
        <w:gridCol w:w="353"/>
        <w:gridCol w:w="353"/>
        <w:gridCol w:w="354"/>
        <w:gridCol w:w="360"/>
      </w:tblGrid>
      <w:tr>
        <w:trPr/>
        <w:tc>
          <w:tcPr>
            <w:tcW w:w="355"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5"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5"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2"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3"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54"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c>
          <w:tcPr>
            <w:tcW w:w="360" w:type="dxa"/>
            <w:tcBorders/>
            <w:shd w:fill="auto" w:val="clear"/>
            <w:tcMar>
              <w:left w:w="108" w:type="dxa"/>
            </w:tcMar>
          </w:tcPr>
          <w:p>
            <w:pPr>
              <w:pStyle w:val="Normal"/>
              <w:spacing w:lineRule="auto" w:line="240" w:before="0" w:after="0"/>
              <w:ind w:left="0" w:right="0" w:hanging="0"/>
              <w:jc w:val="left"/>
              <w:rPr>
                <w:rFonts w:eastAsia="Calibri"/>
                <w:lang w:val="es-ES" w:eastAsia="en-US"/>
              </w:rPr>
            </w:pPr>
            <w:r>
              <w:rPr>
                <w:rFonts w:eastAsia="Calibri"/>
                <w:lang w:val="es-ES" w:eastAsia="en-US"/>
              </w:rPr>
            </w:r>
          </w:p>
        </w:tc>
      </w:tr>
    </w:tbl>
    <w:p>
      <w:pPr>
        <w:pStyle w:val="Normal"/>
        <w:spacing w:lineRule="auto" w:line="240" w:before="0" w:after="0"/>
        <w:ind w:left="0" w:right="0" w:hanging="10"/>
        <w:jc w:val="left"/>
        <w:rPr>
          <w:lang w:val="ca-ES-valencia" w:eastAsia="ca-ES-valencia"/>
        </w:rPr>
      </w:pPr>
      <w:r>
        <w:rPr>
          <w:lang w:val="ca-ES-valencia" w:eastAsia="ca-ES-valencia"/>
        </w:rPr>
      </w:r>
    </w:p>
    <w:p>
      <w:pPr>
        <w:pStyle w:val="Normal"/>
        <w:spacing w:lineRule="auto" w:line="240" w:before="0" w:after="153"/>
        <w:ind w:left="14" w:right="0" w:hanging="0"/>
        <w:rPr/>
      </w:pPr>
      <w:r>
        <w:rPr/>
      </w:r>
    </w:p>
    <w:p>
      <w:pPr>
        <w:pStyle w:val="Normal"/>
        <w:spacing w:lineRule="auto" w:line="240" w:before="0" w:after="158"/>
        <w:ind w:left="9" w:right="0" w:hanging="10"/>
        <w:rPr/>
      </w:pPr>
      <w:r>
        <w:rPr/>
        <mc:AlternateContent>
          <mc:Choice Requires="wps">
            <w:drawing>
              <wp:anchor behindDoc="0" distT="0" distB="0" distL="0" distR="0" simplePos="0" locked="0" layoutInCell="1" allowOverlap="1" relativeHeight="16" wp14:anchorId="2648E907">
                <wp:simplePos x="0" y="0"/>
                <wp:positionH relativeFrom="column">
                  <wp:posOffset>12700</wp:posOffset>
                </wp:positionH>
                <wp:positionV relativeFrom="paragraph">
                  <wp:posOffset>0</wp:posOffset>
                </wp:positionV>
                <wp:extent cx="5393055" cy="174625"/>
                <wp:effectExtent l="0" t="0" r="0" b="0"/>
                <wp:wrapSquare wrapText="bothSides"/>
                <wp:docPr id="1" name="Marco1"/>
                <a:graphic xmlns:a="http://schemas.openxmlformats.org/drawingml/2006/main">
                  <a:graphicData uri="http://schemas.microsoft.com/office/word/2010/wordprocessingShape">
                    <wps:wsp>
                      <wps:cNvSpPr/>
                      <wps:spPr>
                        <a:xfrm>
                          <a:off x="0" y="0"/>
                          <a:ext cx="5392440" cy="173880"/>
                        </a:xfrm>
                        <a:prstGeom prst="rect">
                          <a:avLst/>
                        </a:prstGeom>
                        <a:noFill/>
                        <a:ln>
                          <a:noFill/>
                        </a:ln>
                      </wps:spPr>
                      <wps:style>
                        <a:lnRef idx="0"/>
                        <a:fillRef idx="0"/>
                        <a:effectRef idx="0"/>
                        <a:fontRef idx="minor"/>
                      </wps:style>
                      <wps:txbx>
                        <w:txbxContent>
                          <w:p>
                            <w:pPr>
                              <w:pStyle w:val="Contenidodelmarco"/>
                              <w:spacing w:before="0" w:after="4"/>
                              <w:rPr>
                                <w:color w:val="auto"/>
                              </w:rPr>
                            </w:pPr>
                            <w:r>
                              <w:rPr>
                                <w:color w:val="auto"/>
                              </w:rPr>
                            </w:r>
                          </w:p>
                        </w:txbxContent>
                      </wps:txbx>
                      <wps:bodyPr lIns="0" rIns="0" tIns="0" bIns="0">
                        <a:spAutoFit/>
                      </wps:bodyPr>
                    </wps:wsp>
                  </a:graphicData>
                </a:graphic>
              </wp:anchor>
            </w:drawing>
          </mc:Choice>
          <mc:Fallback>
            <w:pict>
              <v:rect id="shape_0" ID="Marco1" stroked="f" style="position:absolute;margin-left:1pt;margin-top:0pt;width:424.55pt;height:13.65pt" wp14:anchorId="2648E907">
                <w10:wrap type="none"/>
                <v:fill o:detectmouseclick="t" on="false"/>
                <v:stroke color="#3465a4" joinstyle="round" endcap="flat"/>
                <v:textbox>
                  <w:txbxContent>
                    <w:p>
                      <w:pPr>
                        <w:pStyle w:val="Contenidodelmarco"/>
                        <w:spacing w:before="0" w:after="4"/>
                        <w:rPr>
                          <w:color w:val="auto"/>
                        </w:rPr>
                      </w:pPr>
                      <w:r>
                        <w:rPr>
                          <w:color w:val="auto"/>
                        </w:rPr>
                      </w:r>
                    </w:p>
                  </w:txbxContent>
                </v:textbox>
              </v:rect>
            </w:pict>
          </mc:Fallback>
        </mc:AlternateContent>
      </w:r>
    </w:p>
    <w:p>
      <w:pPr>
        <w:pStyle w:val="Normal"/>
        <w:spacing w:lineRule="auto" w:line="240" w:before="0" w:after="158"/>
        <w:ind w:left="0" w:right="0" w:hanging="0"/>
        <w:rPr/>
      </w:pPr>
      <w:r>
        <w:rPr/>
      </w:r>
    </w:p>
    <w:p>
      <w:pPr>
        <w:pStyle w:val="Normal"/>
        <w:spacing w:lineRule="auto" w:line="240" w:before="0" w:after="158"/>
        <w:ind w:left="9" w:right="0" w:hanging="10"/>
        <w:rPr>
          <w:rFonts w:ascii="Calibri" w:hAnsi="Calibri" w:asciiTheme="minorHAnsi" w:hAnsiTheme="minorHAnsi"/>
          <w:b/>
          <w:b/>
          <w:szCs w:val="24"/>
        </w:rPr>
      </w:pPr>
      <w:r>
        <w:rPr>
          <w:rFonts w:ascii="Calibri" w:hAnsi="Calibri" w:asciiTheme="minorHAnsi" w:hAnsiTheme="minorHAnsi"/>
          <w:b/>
          <w:szCs w:val="24"/>
        </w:rPr>
        <w:t xml:space="preserve">EXPOSA </w:t>
      </w:r>
    </w:p>
    <w:p>
      <w:pPr>
        <w:pStyle w:val="Normal"/>
        <w:spacing w:lineRule="auto" w:line="240" w:before="0" w:after="158"/>
        <w:ind w:left="9" w:right="0" w:hanging="10"/>
        <w:rPr>
          <w:rFonts w:ascii="Calibri" w:hAnsi="Calibri" w:asciiTheme="minorHAnsi" w:hAnsiTheme="minorHAnsi"/>
          <w:szCs w:val="24"/>
        </w:rPr>
      </w:pPr>
      <w:r>
        <w:rPr>
          <w:rFonts w:asciiTheme="minorHAnsi" w:hAnsiTheme="minorHAnsi" w:ascii="Calibri" w:hAnsi="Calibri"/>
          <w:szCs w:val="24"/>
        </w:rPr>
      </w:r>
    </w:p>
    <w:p>
      <w:pPr>
        <w:pStyle w:val="Normal"/>
        <w:spacing w:lineRule="auto" w:line="240"/>
        <w:rPr>
          <w:rFonts w:ascii="Calibri" w:hAnsi="Calibri" w:asciiTheme="minorHAnsi" w:hAnsiTheme="minorHAnsi"/>
        </w:rPr>
      </w:pPr>
      <w:r>
        <w:rPr>
          <w:rFonts w:ascii="Calibri" w:hAnsi="Calibri" w:asciiTheme="minorHAnsi" w:hAnsiTheme="minorHAnsi"/>
        </w:rPr>
        <w:t>Que havent-se publicat les bases de l’Ajuntament d’Orba, que regulen l’atorgament d'ajudes amb destinació a minimitzar l'impacte econòmic que el covid-19 està suposant sobre pimes, micropimes, xicotets empresaris autònoms i professionals del municipi d’orba 2021 declara:</w:t>
      </w:r>
    </w:p>
    <w:p>
      <w:pPr>
        <w:pStyle w:val="Normal"/>
        <w:spacing w:lineRule="auto" w:line="240"/>
        <w:rPr>
          <w:rFonts w:ascii="Calibri" w:hAnsi="Calibri" w:asciiTheme="minorHAnsi" w:hAnsiTheme="minorHAnsi"/>
        </w:rPr>
      </w:pPr>
      <w:r>
        <w:rPr>
          <w:rFonts w:asciiTheme="minorHAnsi" w:hAnsiTheme="minorHAnsi" w:ascii="Calibri" w:hAnsi="Calibri"/>
        </w:rPr>
      </w:r>
    </w:p>
    <w:p>
      <w:pPr>
        <w:pStyle w:val="Normal"/>
        <w:spacing w:lineRule="auto" w:line="240" w:before="0" w:after="158"/>
        <w:ind w:left="9" w:right="0" w:hanging="0"/>
        <w:rPr>
          <w:rFonts w:ascii="Calibri" w:hAnsi="Calibri" w:asciiTheme="minorHAnsi" w:hAnsiTheme="minorHAnsi"/>
          <w:szCs w:val="24"/>
        </w:rPr>
      </w:pPr>
      <w:r>
        <w:rPr>
          <w:rFonts w:ascii="Calibri" w:hAnsi="Calibri" w:asciiTheme="minorHAnsi" w:hAnsiTheme="minorHAnsi"/>
          <w:szCs w:val="24"/>
        </w:rPr>
        <w:t xml:space="preserve">DECLARACIÓ RESPONSABLE </w:t>
      </w:r>
    </w:p>
    <w:p>
      <w:pPr>
        <w:pStyle w:val="ListParagraph"/>
        <w:numPr>
          <w:ilvl w:val="0"/>
          <w:numId w:val="8"/>
        </w:numPr>
        <w:spacing w:lineRule="auto" w:line="240" w:before="0" w:after="3"/>
        <w:ind w:left="790" w:right="1077" w:hanging="360"/>
        <w:rPr>
          <w:rFonts w:ascii="Calibri" w:hAnsi="Calibri" w:asciiTheme="minorHAnsi" w:hAnsiTheme="minorHAnsi"/>
          <w:szCs w:val="24"/>
        </w:rPr>
      </w:pPr>
      <w:r>
        <w:rPr>
          <w:rFonts w:ascii="Calibri" w:hAnsi="Calibri" w:asciiTheme="minorHAnsi" w:hAnsiTheme="minorHAnsi"/>
          <w:szCs w:val="24"/>
        </w:rPr>
        <w:t xml:space="preserve">Manifesta baix la seua responsabilitat que les dades que adjunta són correctes. </w:t>
      </w:r>
    </w:p>
    <w:p>
      <w:pPr>
        <w:pStyle w:val="ListParagraph"/>
        <w:numPr>
          <w:ilvl w:val="0"/>
          <w:numId w:val="8"/>
        </w:numPr>
        <w:spacing w:lineRule="auto" w:line="240" w:before="0" w:after="3"/>
        <w:ind w:left="790" w:right="1079" w:hanging="360"/>
        <w:rPr>
          <w:rFonts w:ascii="Calibri" w:hAnsi="Calibri" w:asciiTheme="minorHAnsi" w:hAnsiTheme="minorHAnsi"/>
          <w:szCs w:val="24"/>
        </w:rPr>
      </w:pPr>
      <w:r>
        <w:rPr>
          <w:rFonts w:ascii="Calibri" w:hAnsi="Calibri" w:asciiTheme="minorHAnsi" w:hAnsiTheme="minorHAnsi"/>
          <w:szCs w:val="24"/>
        </w:rPr>
        <w:t xml:space="preserve">Accepta les condicions de la convocatòria i reuneix els requisits per a obtindre la condició de beneficiari/a. </w:t>
      </w:r>
    </w:p>
    <w:p>
      <w:pPr>
        <w:pStyle w:val="ListParagraph"/>
        <w:numPr>
          <w:ilvl w:val="0"/>
          <w:numId w:val="8"/>
        </w:numPr>
        <w:spacing w:lineRule="auto" w:line="240" w:before="0" w:after="173"/>
        <w:ind w:left="790" w:right="1079" w:hanging="360"/>
        <w:rPr>
          <w:rFonts w:ascii="Calibri" w:hAnsi="Calibri" w:asciiTheme="minorHAnsi" w:hAnsiTheme="minorHAnsi"/>
          <w:szCs w:val="24"/>
        </w:rPr>
      </w:pPr>
      <w:r>
        <w:rPr>
          <w:rFonts w:ascii="Calibri" w:hAnsi="Calibri" w:asciiTheme="minorHAnsi" w:hAnsiTheme="minorHAnsi"/>
          <w:szCs w:val="24"/>
        </w:rPr>
        <w:t xml:space="preserve">Que col·laborarà i facilitarà amb tota la documentació que si li requerisca. </w:t>
      </w:r>
    </w:p>
    <w:p>
      <w:pPr>
        <w:pStyle w:val="Normal"/>
        <w:spacing w:lineRule="auto" w:line="240" w:before="0" w:after="156"/>
        <w:ind w:left="859"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spacing w:lineRule="auto" w:line="240" w:before="0" w:after="158"/>
        <w:ind w:left="9" w:right="0" w:hanging="10"/>
        <w:rPr>
          <w:rFonts w:ascii="Calibri" w:hAnsi="Calibri" w:asciiTheme="minorHAnsi" w:hAnsiTheme="minorHAnsi"/>
          <w:szCs w:val="24"/>
        </w:rPr>
      </w:pPr>
      <w:r>
        <w:rPr>
          <w:rFonts w:ascii="Calibri" w:hAnsi="Calibri" w:asciiTheme="minorHAnsi" w:hAnsiTheme="minorHAnsi"/>
          <w:szCs w:val="24"/>
        </w:rPr>
        <w:t xml:space="preserve">DECLARACIÓ JURADA </w:t>
      </w:r>
    </w:p>
    <w:p>
      <w:pPr>
        <w:pStyle w:val="Normal"/>
        <w:spacing w:lineRule="auto" w:line="240" w:before="0" w:after="173"/>
        <w:ind w:left="9" w:right="1079" w:hanging="10"/>
        <w:rPr>
          <w:rFonts w:ascii="Calibri" w:hAnsi="Calibri" w:asciiTheme="minorHAnsi" w:hAnsiTheme="minorHAnsi"/>
          <w:szCs w:val="24"/>
        </w:rPr>
      </w:pPr>
      <w:r>
        <w:rPr>
          <w:rFonts w:ascii="Calibri" w:hAnsi="Calibri" w:asciiTheme="minorHAnsi" w:hAnsiTheme="minorHAnsi"/>
          <w:szCs w:val="24"/>
        </w:rPr>
        <w:t xml:space="preserve">A l’efecte d’acreditar el compliment dels requisits DECLARA: </w:t>
      </w:r>
    </w:p>
    <w:p>
      <w:pPr>
        <w:pStyle w:val="ListParagraph"/>
        <w:numPr>
          <w:ilvl w:val="0"/>
          <w:numId w:val="7"/>
        </w:numPr>
        <w:spacing w:lineRule="auto" w:line="240" w:before="0" w:after="3"/>
        <w:ind w:left="720" w:right="1079" w:hanging="360"/>
        <w:rPr/>
      </w:pPr>
      <w:r>
        <w:rPr>
          <w:rFonts w:ascii="Calibri" w:hAnsi="Calibri" w:asciiTheme="minorHAnsi" w:hAnsiTheme="minorHAnsi"/>
          <w:szCs w:val="24"/>
        </w:rPr>
        <w:t xml:space="preserve">L’activitat declarada per la qual sol·licita la subvenció reunix tots els requisits legals per al seu exercici.   </w:t>
      </w:r>
    </w:p>
    <w:p>
      <w:pPr>
        <w:pStyle w:val="ListParagraph"/>
        <w:numPr>
          <w:ilvl w:val="0"/>
          <w:numId w:val="0"/>
        </w:numPr>
        <w:spacing w:lineRule="auto" w:line="240" w:before="0" w:after="3"/>
        <w:ind w:left="720" w:right="1079" w:hanging="360"/>
        <w:rPr>
          <w:rFonts w:ascii="Calibri" w:hAnsi="Calibri" w:asciiTheme="minorHAnsi" w:hAnsiTheme="minorHAnsi"/>
          <w:szCs w:val="24"/>
        </w:rPr>
      </w:pPr>
      <w:r>
        <w:rPr/>
      </w:r>
    </w:p>
    <w:p>
      <w:pPr>
        <w:pStyle w:val="ListParagraph"/>
        <w:numPr>
          <w:ilvl w:val="0"/>
          <w:numId w:val="7"/>
        </w:numPr>
        <w:spacing w:lineRule="auto" w:line="240" w:before="0" w:after="259"/>
        <w:ind w:left="720" w:right="1079" w:hanging="360"/>
        <w:rPr/>
      </w:pPr>
      <w:r>
        <w:rPr>
          <w:rFonts w:ascii="Calibri" w:hAnsi="Calibri" w:asciiTheme="minorHAnsi" w:hAnsiTheme="minorHAnsi"/>
          <w:szCs w:val="24"/>
        </w:rPr>
        <w:t>Haver reduït la mitjana mensual de facturació dels mesos pels quals es va a sol·licitar l'ajuda, açò és, els compresos entre l'1 de juliol de 2020 i el 30 de juny de 2021, en almenys el 25% respecte de la mitjana mensual facturat en 2019.</w:t>
      </w:r>
    </w:p>
    <w:p>
      <w:pPr>
        <w:pStyle w:val="ListParagraph"/>
        <w:numPr>
          <w:ilvl w:val="0"/>
          <w:numId w:val="7"/>
        </w:numPr>
        <w:spacing w:lineRule="auto" w:line="240" w:before="0" w:after="259"/>
        <w:ind w:left="720" w:right="1079" w:hanging="360"/>
        <w:rPr/>
      </w:pPr>
      <w:r>
        <w:rPr>
          <w:rFonts w:ascii="Calibri" w:hAnsi="Calibri" w:asciiTheme="minorHAnsi" w:hAnsiTheme="minorHAnsi"/>
          <w:szCs w:val="24"/>
        </w:rPr>
        <w:t xml:space="preserve"> </w:t>
      </w:r>
      <w:r>
        <w:rPr>
          <w:rFonts w:ascii="Calibri" w:hAnsi="Calibri" w:asciiTheme="minorHAnsi" w:hAnsiTheme="minorHAnsi"/>
          <w:szCs w:val="24"/>
        </w:rPr>
        <w:t xml:space="preserve">Que les factures presentades corresponen a les despeses corrents de l’activitat per a la qual sol·licita subvenció, acompanyades del justificant bancari de pagament corresponent amb identificació de la persona o empresa destinatària o així mateix, acompanyades per qualsevol altre mitjà de justificació de pagament admés en dret. </w:t>
      </w:r>
    </w:p>
    <w:p>
      <w:pPr>
        <w:pStyle w:val="ListParagraph"/>
        <w:numPr>
          <w:ilvl w:val="0"/>
          <w:numId w:val="7"/>
        </w:numPr>
        <w:spacing w:lineRule="auto" w:line="240" w:before="0" w:after="259"/>
        <w:rPr/>
      </w:pPr>
      <w:r>
        <w:rPr>
          <w:rFonts w:ascii="Calibri" w:hAnsi="Calibri" w:asciiTheme="minorHAnsi" w:hAnsiTheme="minorHAnsi"/>
          <w:szCs w:val="24"/>
        </w:rPr>
        <w:t xml:space="preserve">El domicili fiscal es troba el terme municipal d’Orba. </w:t>
      </w:r>
    </w:p>
    <w:p>
      <w:pPr>
        <w:pStyle w:val="ListParagraph"/>
        <w:numPr>
          <w:ilvl w:val="0"/>
          <w:numId w:val="7"/>
        </w:numPr>
        <w:spacing w:lineRule="auto" w:line="240" w:before="0" w:after="261"/>
        <w:ind w:left="720" w:right="1079" w:hanging="360"/>
        <w:rPr/>
      </w:pPr>
      <w:r>
        <w:rPr>
          <w:rFonts w:ascii="Calibri" w:hAnsi="Calibri" w:asciiTheme="minorHAnsi" w:hAnsiTheme="minorHAnsi"/>
          <w:szCs w:val="24"/>
        </w:rPr>
        <w:t>No estar incursos en les prohibicions per a obtindre la condició de beneficiari establides en els apartats 2 i 3 de l’article 13 de la Llei 38/2003 i no haver sigut sancionat mitjançant resolució ferma amb la pèrdua de la possibilitat d'obtindre subvencions, segons la Llei General de Subvencions o la Llei General Tributària.</w:t>
      </w:r>
    </w:p>
    <w:p>
      <w:pPr>
        <w:pStyle w:val="ListParagraph"/>
        <w:numPr>
          <w:ilvl w:val="0"/>
          <w:numId w:val="7"/>
        </w:numPr>
        <w:spacing w:lineRule="auto" w:line="240" w:before="0" w:after="261"/>
        <w:ind w:left="720" w:right="1079" w:hanging="360"/>
        <w:rPr/>
      </w:pPr>
      <w:r>
        <w:rPr>
          <w:rFonts w:ascii="Calibri" w:hAnsi="Calibri" w:asciiTheme="minorHAnsi" w:hAnsiTheme="minorHAnsi"/>
          <w:szCs w:val="24"/>
        </w:rPr>
        <w:t xml:space="preserve">Seran subvencionables els conceptes de gasto corrent enumerats amb anterioritat, abonats en el període comprés entre l'1 de juliol de 2020 i el 30 de juny de 2021. </w:t>
      </w:r>
    </w:p>
    <w:p>
      <w:pPr>
        <w:pStyle w:val="ListParagraph"/>
        <w:numPr>
          <w:ilvl w:val="0"/>
          <w:numId w:val="7"/>
        </w:numPr>
        <w:spacing w:lineRule="auto" w:line="240" w:before="0" w:after="261"/>
        <w:ind w:left="720" w:right="1079" w:hanging="360"/>
        <w:rPr/>
      </w:pPr>
      <w:r>
        <w:rPr>
          <w:rFonts w:ascii="Calibri" w:hAnsi="Calibri" w:asciiTheme="minorHAnsi" w:hAnsiTheme="minorHAnsi"/>
          <w:szCs w:val="24"/>
        </w:rPr>
        <w:t xml:space="preserve">Trobar-se al corrent en el compliment de les seues obligacions tributaries amb la Hisenda estatal (AEAT) i amb la Tresoreria General de la Seguretat Social (TGSS). </w:t>
      </w:r>
    </w:p>
    <w:p>
      <w:pPr>
        <w:pStyle w:val="Normal"/>
        <w:spacing w:lineRule="auto" w:line="240" w:before="0" w:after="158"/>
        <w:ind w:left="77" w:right="0" w:hanging="10"/>
        <w:rPr>
          <w:rFonts w:ascii="Calibri" w:hAnsi="Calibri" w:asciiTheme="minorHAnsi" w:hAnsiTheme="minorHAnsi"/>
          <w:b/>
          <w:b/>
          <w:szCs w:val="24"/>
        </w:rPr>
      </w:pPr>
      <w:r>
        <w:rPr>
          <w:rFonts w:ascii="Calibri" w:hAnsi="Calibri" w:asciiTheme="minorHAnsi" w:hAnsiTheme="minorHAnsi"/>
          <w:b/>
          <w:szCs w:val="24"/>
        </w:rPr>
        <w:t xml:space="preserve">SOL·LICITA </w:t>
      </w:r>
    </w:p>
    <w:p>
      <w:pPr>
        <w:pStyle w:val="Normal"/>
        <w:spacing w:lineRule="auto" w:line="240" w:before="0" w:after="158"/>
        <w:ind w:left="9" w:right="364" w:hanging="10"/>
        <w:rPr>
          <w:rFonts w:ascii="Calibri" w:hAnsi="Calibri" w:asciiTheme="minorHAnsi" w:hAnsiTheme="minorHAnsi"/>
          <w:szCs w:val="24"/>
        </w:rPr>
      </w:pPr>
      <w:r>
        <w:rPr>
          <w:rFonts w:ascii="Calibri" w:hAnsi="Calibri" w:asciiTheme="minorHAnsi" w:hAnsiTheme="minorHAnsi"/>
          <w:szCs w:val="24"/>
        </w:rPr>
        <w:t xml:space="preserve">Que accepten la documentació que aporta i que li concedisquen participar en </w:t>
      </w:r>
    </w:p>
    <w:p>
      <w:pPr>
        <w:pStyle w:val="Normal"/>
        <w:spacing w:lineRule="auto" w:line="240" w:before="0" w:after="158"/>
        <w:ind w:left="9" w:right="364" w:hanging="10"/>
        <w:rPr>
          <w:rFonts w:ascii="Calibri" w:hAnsi="Calibri" w:asciiTheme="minorHAnsi" w:hAnsiTheme="minorHAnsi"/>
          <w:szCs w:val="24"/>
        </w:rPr>
      </w:pPr>
      <w:r>
        <w:rPr>
          <w:rFonts w:ascii="Calibri" w:hAnsi="Calibri" w:asciiTheme="minorHAnsi" w:hAnsiTheme="minorHAnsi"/>
          <w:szCs w:val="24"/>
        </w:rPr>
        <w:t xml:space="preserve">el procés de concessió de les ajudes. </w:t>
      </w:r>
    </w:p>
    <w:p>
      <w:pPr>
        <w:pStyle w:val="ListParagraph"/>
        <w:spacing w:lineRule="auto" w:line="240" w:before="0" w:after="153"/>
        <w:ind w:left="1430" w:right="0" w:hanging="0"/>
        <w:rPr>
          <w:rFonts w:ascii="Calibri" w:hAnsi="Calibri" w:asciiTheme="minorHAnsi" w:hAnsiTheme="minorHAnsi"/>
          <w:szCs w:val="24"/>
        </w:rPr>
      </w:pPr>
      <w:r>
        <w:rPr>
          <w:rFonts w:asciiTheme="minorHAnsi" w:hAnsiTheme="minorHAnsi" w:ascii="Calibri" w:hAnsi="Calibri"/>
          <w:szCs w:val="24"/>
        </w:rPr>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rPr>
        <w:t xml:space="preserve">Certificat acreditatiu de la situació d'alta en la Seguretat Social. Resolució/certificació de l'alta en el Règim Especial de Treballadors Autònoms o la Mútua professional corresponent.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rPr>
        <w:t xml:space="preserve">Tindre el domicili fiscal en el terme municipal d’Orba.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rPr>
        <w:t xml:space="preserve">Model de domiciliació bancaria, és una simple declaració responsable, que no requereix la intervenció de les entitats bancàries.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rPr>
        <w:t xml:space="preserve">Declaració responsable relativa als requisits exigits.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rPr>
        <w:t xml:space="preserve">DNI per les dues cares o NIE acompanyat del passaport i per les empreses el seu CIF.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rPr>
        <w:t xml:space="preserve">Documentació justificativa de les despeses corrents incorregudes en el període comprés entre l'1 de juliol de 2020 i el 30 de juny de 2021. Les despeses que es presenten seran d’una quantia igual o superior a la quantitat de les ajudes a les que es té dret segons aquesta convocatòria.  </w:t>
      </w:r>
    </w:p>
    <w:p>
      <w:pPr>
        <w:pStyle w:val="Normal"/>
        <w:spacing w:lineRule="auto" w:line="240" w:before="0" w:after="0"/>
        <w:ind w:left="77" w:right="0" w:hanging="10"/>
        <w:rPr>
          <w:rFonts w:ascii="Calibri" w:hAnsi="Calibri" w:asciiTheme="minorHAnsi" w:hAnsiTheme="minorHAnsi"/>
          <w:szCs w:val="24"/>
        </w:rPr>
      </w:pPr>
      <w:bookmarkStart w:id="0" w:name="_GoBack"/>
      <w:bookmarkStart w:id="1" w:name="_GoBack"/>
      <w:bookmarkEnd w:id="1"/>
      <w:r>
        <w:rPr>
          <w:rFonts w:asciiTheme="minorHAnsi" w:hAnsiTheme="minorHAnsi" w:ascii="Calibri" w:hAnsi="Calibri"/>
          <w:szCs w:val="24"/>
        </w:rPr>
      </w:r>
    </w:p>
    <w:p>
      <w:pPr>
        <w:pStyle w:val="Normal"/>
        <w:spacing w:lineRule="auto" w:line="240" w:before="0" w:after="148"/>
        <w:ind w:left="2138" w:right="0" w:hanging="0"/>
        <w:rPr>
          <w:rFonts w:ascii="Calibri" w:hAnsi="Calibri" w:asciiTheme="minorHAnsi" w:hAnsiTheme="minorHAnsi"/>
          <w:szCs w:val="24"/>
        </w:rPr>
      </w:pPr>
      <w:r>
        <w:rPr>
          <w:rFonts w:ascii="Calibri" w:hAnsi="Calibri" w:asciiTheme="minorHAnsi" w:hAnsiTheme="minorHAnsi"/>
          <w:szCs w:val="24"/>
        </w:rPr>
        <w:t xml:space="preserve"> </w:t>
      </w:r>
    </w:p>
    <w:p>
      <w:pPr>
        <w:pStyle w:val="Normal"/>
        <w:tabs>
          <w:tab w:val="center" w:pos="2138" w:leader="none"/>
          <w:tab w:val="center" w:pos="4671" w:leader="none"/>
          <w:tab w:val="center" w:pos="5679" w:leader="none"/>
        </w:tabs>
        <w:spacing w:lineRule="auto" w:line="240" w:before="0" w:after="99"/>
        <w:ind w:left="0" w:right="0" w:hanging="0"/>
        <w:rPr/>
      </w:pPr>
      <w:r>
        <w:rPr>
          <w:rFonts w:ascii="Calibri" w:hAnsi="Calibri" w:asciiTheme="minorHAnsi" w:hAnsiTheme="minorHAnsi"/>
          <w:szCs w:val="24"/>
        </w:rPr>
        <w:t xml:space="preserve">Orba,   </w:t>
      </w:r>
      <w:r>
        <w:rPr>
          <w:rFonts w:ascii="Calibri" w:hAnsi="Calibri" w:asciiTheme="minorHAnsi" w:hAnsiTheme="minorHAnsi"/>
          <w:szCs w:val="24"/>
        </w:rPr>
        <mc:AlternateContent>
          <mc:Choice Requires="wpg">
            <w:drawing>
              <wp:inline distT="0" distB="0" distL="0" distR="0" wp14:anchorId="3676A3F8">
                <wp:extent cx="2172335" cy="400685"/>
                <wp:effectExtent l="0" t="0" r="0" b="0"/>
                <wp:docPr id="3" name=""/>
                <a:graphic xmlns:a="http://schemas.openxmlformats.org/drawingml/2006/main">
                  <a:graphicData uri="http://schemas.microsoft.com/office/word/2010/wordprocessingGroup">
                    <wpg:wgp>
                      <wpg:cNvGrpSpPr/>
                      <wpg:grpSpPr>
                        <a:xfrm>
                          <a:off x="0" y="0"/>
                          <a:ext cx="2171880" cy="399960"/>
                        </a:xfrm>
                      </wpg:grpSpPr>
                      <wps:wsp>
                        <wps:cNvSpPr/>
                        <wps:spPr>
                          <a:xfrm>
                            <a:off x="467280" y="37440"/>
                            <a:ext cx="398880" cy="28584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de    </w:t>
                              </w:r>
                            </w:p>
                          </w:txbxContent>
                        </wps:txbx>
                        <wps:bodyPr lIns="0" rIns="0" tIns="0" bIns="0">
                          <a:noAutofit/>
                        </wps:bodyPr>
                      </wps:wsp>
                      <wps:wsp>
                        <wps:cNvSpPr/>
                        <wps:spPr>
                          <a:xfrm>
                            <a:off x="1340640" y="37440"/>
                            <a:ext cx="43200" cy="28584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1776240" y="37440"/>
                            <a:ext cx="43200" cy="28584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0" y="0"/>
                            <a:ext cx="201960" cy="264240"/>
                          </a:xfrm>
                          <a:custGeom>
                            <a:avLst/>
                            <a:gdLst/>
                            <a:ahLst/>
                            <a:rect l="l" t="t" r="r" b="b"/>
                            <a:pathLst>
                              <a:path w="209550" h="190500">
                                <a:moveTo>
                                  <a:pt x="3048" y="0"/>
                                </a:moveTo>
                                <a:lnTo>
                                  <a:pt x="209550" y="0"/>
                                </a:lnTo>
                                <a:lnTo>
                                  <a:pt x="209550" y="7620"/>
                                </a:lnTo>
                                <a:lnTo>
                                  <a:pt x="6096" y="7620"/>
                                </a:lnTo>
                                <a:lnTo>
                                  <a:pt x="6096" y="184404"/>
                                </a:lnTo>
                                <a:lnTo>
                                  <a:pt x="209550" y="184404"/>
                                </a:lnTo>
                                <a:lnTo>
                                  <a:pt x="209550" y="190500"/>
                                </a:lnTo>
                                <a:lnTo>
                                  <a:pt x="3048" y="190500"/>
                                </a:lnTo>
                                <a:cubicBezTo>
                                  <a:pt x="1524" y="190500"/>
                                  <a:pt x="0" y="190500"/>
                                  <a:pt x="0" y="187452"/>
                                </a:cubicBezTo>
                                <a:lnTo>
                                  <a:pt x="0" y="4572"/>
                                </a:lnTo>
                                <a:cubicBezTo>
                                  <a:pt x="0" y="1524"/>
                                  <a:pt x="1524" y="0"/>
                                  <a:pt x="3048" y="0"/>
                                </a:cubicBezTo>
                                <a:close/>
                              </a:path>
                            </a:pathLst>
                          </a:custGeom>
                          <a:solidFill>
                            <a:srgbClr val="000000"/>
                          </a:solidFill>
                          <a:ln>
                            <a:noFill/>
                          </a:ln>
                        </wps:spPr>
                        <wps:style>
                          <a:lnRef idx="0"/>
                          <a:fillRef idx="0"/>
                          <a:effectRef idx="0"/>
                          <a:fontRef idx="minor"/>
                        </wps:style>
                        <wps:bodyPr/>
                      </wps:wsp>
                      <wps:wsp>
                        <wps:cNvSpPr/>
                        <wps:spPr>
                          <a:xfrm>
                            <a:off x="202680" y="0"/>
                            <a:ext cx="201960" cy="264240"/>
                          </a:xfrm>
                          <a:custGeom>
                            <a:avLst/>
                            <a:gdLst/>
                            <a:ahLst/>
                            <a:rect l="l" t="t" r="r" b="b"/>
                            <a:pathLst>
                              <a:path w="209550" h="190500">
                                <a:moveTo>
                                  <a:pt x="0" y="0"/>
                                </a:moveTo>
                                <a:lnTo>
                                  <a:pt x="206502" y="0"/>
                                </a:lnTo>
                                <a:cubicBezTo>
                                  <a:pt x="208026" y="0"/>
                                  <a:pt x="209550" y="1524"/>
                                  <a:pt x="209550" y="4572"/>
                                </a:cubicBezTo>
                                <a:lnTo>
                                  <a:pt x="209550" y="187452"/>
                                </a:lnTo>
                                <a:cubicBezTo>
                                  <a:pt x="209550" y="190500"/>
                                  <a:pt x="208026" y="190500"/>
                                  <a:pt x="206502" y="190500"/>
                                </a:cubicBezTo>
                                <a:lnTo>
                                  <a:pt x="0" y="190500"/>
                                </a:lnTo>
                                <a:lnTo>
                                  <a:pt x="0" y="184404"/>
                                </a:lnTo>
                                <a:lnTo>
                                  <a:pt x="203454" y="184404"/>
                                </a:lnTo>
                                <a:lnTo>
                                  <a:pt x="203454" y="7620"/>
                                </a:lnTo>
                                <a:lnTo>
                                  <a:pt x="0" y="7620"/>
                                </a:lnTo>
                                <a:lnTo>
                                  <a:pt x="0" y="0"/>
                                </a:lnTo>
                                <a:close/>
                              </a:path>
                            </a:pathLst>
                          </a:custGeom>
                          <a:solidFill>
                            <a:srgbClr val="000000"/>
                          </a:solidFill>
                          <a:ln>
                            <a:noFill/>
                          </a:ln>
                        </wps:spPr>
                        <wps:style>
                          <a:lnRef idx="0"/>
                          <a:fillRef idx="0"/>
                          <a:effectRef idx="0"/>
                          <a:fontRef idx="minor"/>
                        </wps:style>
                        <wps:bodyPr/>
                      </wps:wsp>
                      <wps:wsp>
                        <wps:cNvSpPr/>
                        <wps:spPr>
                          <a:xfrm>
                            <a:off x="87120" y="113040"/>
                            <a:ext cx="43200" cy="28692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657720" y="0"/>
                            <a:ext cx="756360" cy="264240"/>
                          </a:xfrm>
                          <a:custGeom>
                            <a:avLst/>
                            <a:gdLst/>
                            <a:ahLst/>
                            <a:rect l="l" t="t" r="r" b="b"/>
                            <a:pathLst>
                              <a:path w="780288" h="190500">
                                <a:moveTo>
                                  <a:pt x="3048" y="0"/>
                                </a:moveTo>
                                <a:lnTo>
                                  <a:pt x="780288" y="0"/>
                                </a:lnTo>
                                <a:lnTo>
                                  <a:pt x="780288" y="7620"/>
                                </a:lnTo>
                                <a:lnTo>
                                  <a:pt x="6096" y="7620"/>
                                </a:lnTo>
                                <a:lnTo>
                                  <a:pt x="6096" y="184404"/>
                                </a:lnTo>
                                <a:lnTo>
                                  <a:pt x="780288" y="184404"/>
                                </a:lnTo>
                                <a:lnTo>
                                  <a:pt x="780288" y="190500"/>
                                </a:lnTo>
                                <a:lnTo>
                                  <a:pt x="3048" y="190500"/>
                                </a:lnTo>
                                <a:cubicBezTo>
                                  <a:pt x="0" y="190500"/>
                                  <a:pt x="0" y="190500"/>
                                  <a:pt x="0" y="187452"/>
                                </a:cubicBezTo>
                                <a:lnTo>
                                  <a:pt x="0" y="4572"/>
                                </a:lnTo>
                                <a:cubicBezTo>
                                  <a:pt x="0" y="1524"/>
                                  <a:pt x="0" y="0"/>
                                  <a:pt x="3048" y="0"/>
                                </a:cubicBezTo>
                                <a:close/>
                              </a:path>
                            </a:pathLst>
                          </a:custGeom>
                          <a:solidFill>
                            <a:srgbClr val="000000"/>
                          </a:solidFill>
                          <a:ln>
                            <a:noFill/>
                          </a:ln>
                        </wps:spPr>
                        <wps:style>
                          <a:lnRef idx="0"/>
                          <a:fillRef idx="0"/>
                          <a:effectRef idx="0"/>
                          <a:fontRef idx="minor"/>
                        </wps:style>
                        <wps:bodyPr/>
                      </wps:wsp>
                      <wps:wsp>
                        <wps:cNvSpPr/>
                        <wps:spPr>
                          <a:xfrm>
                            <a:off x="1415520" y="0"/>
                            <a:ext cx="756360" cy="264240"/>
                          </a:xfrm>
                          <a:custGeom>
                            <a:avLst/>
                            <a:gdLst/>
                            <a:ahLst/>
                            <a:rect l="l" t="t" r="r" b="b"/>
                            <a:pathLst>
                              <a:path w="781812" h="190500">
                                <a:moveTo>
                                  <a:pt x="0" y="0"/>
                                </a:moveTo>
                                <a:lnTo>
                                  <a:pt x="777240" y="0"/>
                                </a:lnTo>
                                <a:cubicBezTo>
                                  <a:pt x="780288" y="0"/>
                                  <a:pt x="781812" y="1524"/>
                                  <a:pt x="781812" y="4572"/>
                                </a:cubicBezTo>
                                <a:lnTo>
                                  <a:pt x="781812" y="187452"/>
                                </a:lnTo>
                                <a:cubicBezTo>
                                  <a:pt x="781812" y="190500"/>
                                  <a:pt x="780288" y="190500"/>
                                  <a:pt x="777240" y="190500"/>
                                </a:cubicBezTo>
                                <a:lnTo>
                                  <a:pt x="0" y="190500"/>
                                </a:lnTo>
                                <a:lnTo>
                                  <a:pt x="0" y="184404"/>
                                </a:lnTo>
                                <a:lnTo>
                                  <a:pt x="774192" y="184404"/>
                                </a:lnTo>
                                <a:lnTo>
                                  <a:pt x="774192" y="7620"/>
                                </a:lnTo>
                                <a:lnTo>
                                  <a:pt x="0" y="7620"/>
                                </a:lnTo>
                                <a:lnTo>
                                  <a:pt x="0" y="0"/>
                                </a:lnTo>
                                <a:close/>
                              </a:path>
                            </a:pathLst>
                          </a:custGeom>
                          <a:solidFill>
                            <a:srgbClr val="000000"/>
                          </a:solidFill>
                          <a:ln>
                            <a:noFill/>
                          </a:ln>
                        </wps:spPr>
                        <wps:style>
                          <a:lnRef idx="0"/>
                          <a:fillRef idx="0"/>
                          <a:effectRef idx="0"/>
                          <a:fontRef idx="minor"/>
                        </wps:style>
                        <wps:bodyPr/>
                      </wps:wsp>
                      <wps:wsp>
                        <wps:cNvSpPr/>
                        <wps:spPr>
                          <a:xfrm>
                            <a:off x="745560" y="113040"/>
                            <a:ext cx="43200" cy="28692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g:wgp>
                  </a:graphicData>
                </a:graphic>
              </wp:inline>
            </w:drawing>
          </mc:Choice>
          <mc:Fallback>
            <w:pict>
              <v:group id="shape_0" style="position:absolute;margin-left:0pt;margin-top:0pt;width:171pt;height:31.5pt" coordorigin="0,0" coordsize="3420,630">
                <v:rect id="shape_0" ID="Rectángulo 24" stroked="f" style="position:absolute;left:736;top:59;width:627;height:449">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de    </w:t>
                        </w:r>
                      </w:p>
                    </w:txbxContent>
                  </v:textbox>
                  <w10:wrap type="square"/>
                  <v:fill o:detectmouseclick="t" on="false"/>
                  <v:stroke color="#3465a4" joinstyle="round" endcap="flat"/>
                </v:rect>
                <v:rect id="shape_0" ID="Rectángulo 25" stroked="f" style="position:absolute;left:2111;top:59;width:67;height:449">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ID="Rectángulo 26" stroked="f" style="position:absolute;left:2797;top:59;width:67;height:449">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ID="Rectángulo 29" stroked="f" style="position:absolute;left:137;top:178;width:67;height:451">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ID="Rectángulo 32" stroked="f" style="position:absolute;left:1174;top:178;width:67;height:451">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group>
            </w:pict>
          </mc:Fallback>
        </mc:AlternateContent>
      </w:r>
      <w:r>
        <w:rPr>
          <w:rFonts w:ascii="Calibri" w:hAnsi="Calibri" w:asciiTheme="minorHAnsi" w:hAnsiTheme="minorHAnsi"/>
          <w:szCs w:val="24"/>
        </w:rPr>
        <w:tab/>
        <w:t xml:space="preserve"> </w:t>
        <w:tab/>
        <w:t xml:space="preserve">de 2021 </w:t>
        <w:tab/>
        <w:t xml:space="preserve"> </w:t>
      </w:r>
    </w:p>
    <w:p>
      <w:pPr>
        <w:pStyle w:val="Normal"/>
        <w:spacing w:lineRule="auto" w:line="240" w:before="0" w:after="223"/>
        <w:ind w:right="0" w:hanging="0"/>
        <w:rPr/>
      </w:pPr>
      <w:r>
        <w:rPr/>
        <mc:AlternateContent>
          <mc:Choice Requires="wpg">
            <w:drawing>
              <wp:inline distT="0" distB="0" distL="0" distR="0" wp14:anchorId="5D340C8D">
                <wp:extent cx="2603500" cy="1924685"/>
                <wp:effectExtent l="0" t="0" r="0" b="0"/>
                <wp:docPr id="4" name=""/>
                <a:graphic xmlns:a="http://schemas.openxmlformats.org/drawingml/2006/main">
                  <a:graphicData uri="http://schemas.microsoft.com/office/word/2010/wordprocessingGroup">
                    <wpg:wgp>
                      <wpg:cNvGrpSpPr/>
                      <wpg:grpSpPr>
                        <a:xfrm>
                          <a:off x="0" y="0"/>
                          <a:ext cx="2602800" cy="1924200"/>
                        </a:xfrm>
                      </wpg:grpSpPr>
                      <wps:wsp>
                        <wps:cNvSpPr/>
                        <wps:spPr>
                          <a:xfrm>
                            <a:off x="2520" y="0"/>
                            <a:ext cx="2600280" cy="85608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SIGNATURA DEL SOL·LICITANT </w:t>
                              </w:r>
                            </w:p>
                          </w:txbxContent>
                        </wps:txbx>
                        <wps:bodyPr lIns="0" rIns="0" tIns="0" bIns="0">
                          <a:noAutofit/>
                        </wps:bodyPr>
                      </wps:wsp>
                      <wps:wsp>
                        <wps:cNvSpPr/>
                        <wps:spPr>
                          <a:xfrm>
                            <a:off x="2520" y="543600"/>
                            <a:ext cx="43920" cy="36972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0" y="553680"/>
                            <a:ext cx="1281960" cy="1370160"/>
                          </a:xfrm>
                          <a:custGeom>
                            <a:avLst/>
                            <a:gdLst/>
                            <a:ahLst/>
                            <a:rect l="l" t="t" r="r" b="b"/>
                            <a:pathLst>
                              <a:path w="1301496" h="762000">
                                <a:moveTo>
                                  <a:pt x="3048" y="0"/>
                                </a:moveTo>
                                <a:lnTo>
                                  <a:pt x="1301496" y="0"/>
                                </a:lnTo>
                                <a:lnTo>
                                  <a:pt x="1301496" y="6096"/>
                                </a:lnTo>
                                <a:lnTo>
                                  <a:pt x="6096" y="6096"/>
                                </a:lnTo>
                                <a:lnTo>
                                  <a:pt x="6096" y="755904"/>
                                </a:lnTo>
                                <a:lnTo>
                                  <a:pt x="1301496" y="755904"/>
                                </a:lnTo>
                                <a:lnTo>
                                  <a:pt x="1301496" y="762000"/>
                                </a:lnTo>
                                <a:lnTo>
                                  <a:pt x="3048" y="762000"/>
                                </a:lnTo>
                                <a:cubicBezTo>
                                  <a:pt x="1524" y="762000"/>
                                  <a:pt x="0" y="760476"/>
                                  <a:pt x="0" y="758952"/>
                                </a:cubicBezTo>
                                <a:lnTo>
                                  <a:pt x="0" y="3048"/>
                                </a:lnTo>
                                <a:cubicBezTo>
                                  <a:pt x="0" y="1524"/>
                                  <a:pt x="1524" y="0"/>
                                  <a:pt x="3048" y="0"/>
                                </a:cubicBezTo>
                                <a:close/>
                              </a:path>
                            </a:pathLst>
                          </a:custGeom>
                          <a:solidFill>
                            <a:srgbClr val="000000"/>
                          </a:solidFill>
                          <a:ln>
                            <a:noFill/>
                          </a:ln>
                        </wps:spPr>
                        <wps:style>
                          <a:lnRef idx="0"/>
                          <a:fillRef idx="0"/>
                          <a:effectRef idx="0"/>
                          <a:fontRef idx="minor"/>
                        </wps:style>
                        <wps:bodyPr/>
                      </wps:wsp>
                      <wps:wsp>
                        <wps:cNvSpPr/>
                        <wps:spPr>
                          <a:xfrm>
                            <a:off x="1282680" y="553680"/>
                            <a:ext cx="1282680" cy="1370160"/>
                          </a:xfrm>
                          <a:custGeom>
                            <a:avLst/>
                            <a:gdLst/>
                            <a:ahLst/>
                            <a:rect l="l" t="t" r="r" b="b"/>
                            <a:pathLst>
                              <a:path w="1301496" h="762000">
                                <a:moveTo>
                                  <a:pt x="0" y="0"/>
                                </a:moveTo>
                                <a:lnTo>
                                  <a:pt x="1298448" y="0"/>
                                </a:lnTo>
                                <a:cubicBezTo>
                                  <a:pt x="1299972" y="0"/>
                                  <a:pt x="1301496" y="1524"/>
                                  <a:pt x="1301496" y="3048"/>
                                </a:cubicBezTo>
                                <a:lnTo>
                                  <a:pt x="1301496" y="758952"/>
                                </a:lnTo>
                                <a:cubicBezTo>
                                  <a:pt x="1301496" y="760476"/>
                                  <a:pt x="1299972" y="762000"/>
                                  <a:pt x="1298448" y="762000"/>
                                </a:cubicBezTo>
                                <a:lnTo>
                                  <a:pt x="0" y="762000"/>
                                </a:lnTo>
                                <a:lnTo>
                                  <a:pt x="0" y="755904"/>
                                </a:lnTo>
                                <a:lnTo>
                                  <a:pt x="1295400" y="755904"/>
                                </a:lnTo>
                                <a:lnTo>
                                  <a:pt x="1295400" y="6096"/>
                                </a:lnTo>
                                <a:lnTo>
                                  <a:pt x="0" y="6096"/>
                                </a:lnTo>
                                <a:lnTo>
                                  <a:pt x="0" y="0"/>
                                </a:lnTo>
                                <a:close/>
                              </a:path>
                            </a:pathLst>
                          </a:custGeom>
                          <a:solidFill>
                            <a:srgbClr val="000000"/>
                          </a:solidFill>
                          <a:ln>
                            <a:noFill/>
                          </a:ln>
                        </wps:spPr>
                        <wps:style>
                          <a:lnRef idx="0"/>
                          <a:fillRef idx="0"/>
                          <a:effectRef idx="0"/>
                          <a:fontRef idx="minor"/>
                        </wps:style>
                        <wps:bodyPr/>
                      </wps:wsp>
                      <wps:wsp>
                        <wps:cNvSpPr/>
                        <wps:spPr>
                          <a:xfrm>
                            <a:off x="88200" y="699120"/>
                            <a:ext cx="43920" cy="370800"/>
                          </a:xfrm>
                          <a:prstGeom prst="rect">
                            <a:avLst/>
                          </a:prstGeom>
                          <a:noFill/>
                          <a:ln>
                            <a:noFill/>
                          </a:ln>
                        </wps:spPr>
                        <wps:style>
                          <a:lnRef idx="0"/>
                          <a:fillRef idx="0"/>
                          <a:effectRef idx="0"/>
                          <a:fontRef idx="minor"/>
                        </wps:style>
                        <wps:txb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g:wgp>
                  </a:graphicData>
                </a:graphic>
              </wp:inline>
            </w:drawing>
          </mc:Choice>
          <mc:Fallback>
            <w:pict>
              <v:group id="shape_0" style="position:absolute;margin-left:0pt;margin-top:0pt;width:204.95pt;height:151.5pt" coordorigin="0,0" coordsize="4099,3030">
                <v:rect id="shape_0" ID="Rectángulo 34" stroked="f" style="position:absolute;left:4;top:0;width:4094;height:1347">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SIGNATURA DEL SOL·LICITANT </w:t>
                        </w:r>
                      </w:p>
                    </w:txbxContent>
                  </v:textbox>
                  <w10:wrap type="square"/>
                  <v:fill o:detectmouseclick="t" on="false"/>
                  <v:stroke color="#3465a4" joinstyle="round" endcap="flat"/>
                </v:rect>
                <v:rect id="shape_0" ID="Rectángulo 35" stroked="f" style="position:absolute;left:4;top:856;width:68;height:581">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ID="Rectángulo 38" stroked="f" style="position:absolute;left:139;top:1101;width:68;height:583">
                  <v:textbox>
                    <w:txbxContent>
                      <w:p>
                        <w:pPr>
                          <w:spacing w:before="0" w:after="160" w:lineRule="auto" w:line="254"/>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group>
            </w:pict>
          </mc:Fallback>
        </mc:AlternateContent>
      </w:r>
    </w:p>
    <w:p>
      <w:pPr>
        <w:pStyle w:val="Normal"/>
        <w:spacing w:lineRule="auto" w:line="240" w:before="0" w:after="0"/>
        <w:ind w:left="67" w:right="1093" w:hanging="0"/>
        <w:rPr>
          <w:rFonts w:ascii="Calibri" w:hAnsi="Calibri" w:asciiTheme="minorHAnsi" w:hAnsiTheme="minorHAnsi"/>
          <w:sz w:val="16"/>
          <w:szCs w:val="16"/>
        </w:rPr>
      </w:pPr>
      <w:r>
        <w:rPr>
          <w:rFonts w:ascii="Calibri" w:hAnsi="Calibri" w:asciiTheme="minorHAnsi" w:hAnsiTheme="minorHAnsi"/>
          <w:szCs w:val="24"/>
        </w:rPr>
        <w:t xml:space="preserve"> </w:t>
      </w:r>
      <w:r>
        <w:rPr>
          <w:rFonts w:ascii="Calibri" w:hAnsi="Calibri" w:asciiTheme="minorHAnsi" w:hAnsiTheme="minorHAnsi"/>
          <w:sz w:val="16"/>
          <w:szCs w:val="16"/>
        </w:rPr>
        <w:t xml:space="preserve">Les dades facilitades per Vostè en aquest formulari passaran a formar part dels fitxers automatitzats propietat de l'Ajuntament d'Orba i podran ser utilitzats pel titular del fitxer per a l'exercici de les funcions pròpies en l'àmbit de les seues competències. De conformitat amb la Llei orgànica 3/2018, de 5 de desembre, de Protecció de Dades de Caràcter Personal i Garantia dels Drets Digitals, Personal, Vostè Podrà exercitar els drets d'accés, rectificació, cancel·lació i oposició mitjançant instància presentada davant el Registre Gral. D'Entrada de l'Ajuntament d'Orba. </w:t>
      </w:r>
    </w:p>
    <w:p>
      <w:pPr>
        <w:pStyle w:val="Normal"/>
        <w:spacing w:lineRule="auto" w:line="240" w:before="0" w:after="177"/>
        <w:ind w:left="0" w:right="0" w:hanging="0"/>
        <w:rPr/>
      </w:pPr>
      <w:r>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701" w:right="1701" w:header="708" w:top="1417" w:footer="711" w:bottom="1417" w:gutter="0"/>
      <w:pgNumType w:fmt="decimal"/>
      <w:formProt w:val="false"/>
      <w:titlePg/>
      <w:textDirection w:val="lrTb"/>
      <w:docGrid w:type="default" w:linePitch="326" w:charSpace="4294961151"/>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Salt4.d.corr" w:date="0-00-00T00:00:00Z" w:initials=""/>
  <w:comment w:id="1" w:author="Salt4.d.corr" w:date="0-00-00T00:00:00Z" w:initials=""/>
  <w:comment w:id="2" w:author="Salt4.d.corr" w:date="0-00-00T00:00:00Z" w:initials=""/>
  <w:comment w:id="3" w:author="Salt4.d.corr" w:date="0-00-00T00:00:00Z" w:initials=""/>
  <w:comment w:id="4" w:author="Salt4.d.corr" w:date="0-00-00T00:00:00Z" w:initials=""/>
  <w:comment w:id="5" w:author="" w:date="0-00-00T00:00:00Z" w:initials="">
    <w:p>
      <w:r>
        <w:rPr/>
      </w:r>
    </w:p>
    <w:p>
      <w:r>
        <w:rPr/>
      </w:r>
    </w:p>
  </w:comment>
  <w:comment w:id="6" w:author="Salt4.d.corr" w:date="0-00-00T00:00:00Z" w:initials=""/>
  <w:comment w:id="7" w:author="Salt4.d.corr" w:date="0-00-00T00:00:00Z" w:initials=""/>
  <w:comment w:id="8" w:author="Salt4.d.corr" w:date="0-00-00T00:00:00Z" w:initials=""/>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Calibri">
    <w:charset w:val="01"/>
    <w:family w:val="swiss"/>
    <w:pitch w:val="variable"/>
  </w:font>
  <w:font w:name="Calibri">
    <w:charset w:val="00"/>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 w:right="0" w:hanging="0"/>
      <w:jc w:val="left"/>
      <w:rPr>
        <w:sz w:val="22"/>
      </w:rPr>
    </w:pPr>
    <w:r>
      <w:rPr/>
    </w:r>
  </w:p>
  <w:p>
    <w:pPr>
      <w:pStyle w:val="Normal"/>
      <w:spacing w:lineRule="auto" w:line="259" w:before="0" w:after="0"/>
      <w:ind w:left="14" w:right="0" w:hanging="0"/>
      <w:jc w:val="left"/>
      <w:rPr>
        <w:sz w:val="22"/>
      </w:rPr>
    </w:pPr>
    <w:r>
      <w:rPr/>
    </w:r>
  </w:p>
  <w:p>
    <w:pPr>
      <w:pStyle w:val="Normal"/>
      <w:spacing w:lineRule="auto" w:line="259" w:before="0" w:after="0"/>
      <w:ind w:left="14" w:right="0" w:hanging="0"/>
      <w:jc w:val="left"/>
      <w:rPr/>
    </w:pPr>
    <w:r>
      <w:rPr>
        <w:sz w:val="22"/>
      </w:rPr>
      <w:t xml:space="preserve">C/ Bonaire, 12. 03790 – Orba (Alacant)    Tlf. 96 558 30 01      </w:t>
    </w:r>
    <w:r>
      <w:rPr>
        <w:color w:val="0000FF"/>
        <w:sz w:val="22"/>
        <w:u w:val="single" w:color="0000FF"/>
      </w:rPr>
      <w:t>http://orba.spotlio.com/home</w:t>
    </w:r>
    <w:r>
      <w:rPr>
        <w:sz w:val="22"/>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 w:right="0" w:hanging="0"/>
      <w:jc w:val="left"/>
      <w:rPr/>
    </w:pPr>
    <w:r>
      <w:rPr>
        <w:sz w:val="22"/>
      </w:rPr>
      <w:t xml:space="preserve">C/ Bonaire, 12. 03790 – Orba (Alacant)    Tlf. 96 558 30 01      </w:t>
    </w:r>
    <w:r>
      <w:rPr>
        <w:color w:val="0000FF"/>
        <w:sz w:val="22"/>
        <w:u w:val="single" w:color="0000FF"/>
      </w:rPr>
      <w:t>http://orba.spotlio.com/home</w:t>
    </w:r>
    <w:r>
      <w:rPr>
        <w:sz w:val="22"/>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 w:right="0" w:hanging="0"/>
      <w:jc w:val="left"/>
      <w:rPr/>
    </w:pPr>
    <w:r>
      <w:rPr>
        <w:sz w:val="22"/>
      </w:rPr>
      <w:t xml:space="preserve">C/ Bonaire, 12. 03790 – Orba (Alacant)    Tlf. 96 558 30 01      </w:t>
    </w:r>
    <w:r>
      <w:rPr>
        <w:color w:val="0000FF"/>
        <w:sz w:val="22"/>
        <w:u w:val="single" w:color="0000FF"/>
      </w:rPr>
      <w:t>http://orba.spotlio.com/home</w:t>
    </w:r>
    <w:r>
      <w:rPr>
        <w:sz w:val="22"/>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1962" w:hanging="0"/>
      <w:jc w:val="center"/>
      <w:rPr/>
    </w:pPr>
    <w:r>
      <w:drawing>
        <wp:anchor behindDoc="1" distT="0" distB="0" distL="114300" distR="114300" simplePos="0" locked="0" layoutInCell="1" allowOverlap="1" relativeHeight="8">
          <wp:simplePos x="0" y="0"/>
          <wp:positionH relativeFrom="page">
            <wp:posOffset>1080135</wp:posOffset>
          </wp:positionH>
          <wp:positionV relativeFrom="page">
            <wp:posOffset>449580</wp:posOffset>
          </wp:positionV>
          <wp:extent cx="4808220" cy="752475"/>
          <wp:effectExtent l="0" t="0" r="0" b="0"/>
          <wp:wrapSquare wrapText="bothSides"/>
          <wp:docPr id="5"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
                  <pic:cNvPicPr>
                    <a:picLocks noChangeAspect="1" noChangeArrowheads="1"/>
                  </pic:cNvPicPr>
                </pic:nvPicPr>
                <pic:blipFill>
                  <a:blip r:embed="rId1"/>
                  <a:stretch>
                    <a:fillRect/>
                  </a:stretch>
                </pic:blipFill>
                <pic:spPr bwMode="auto">
                  <a:xfrm>
                    <a:off x="0" y="0"/>
                    <a:ext cx="4808220" cy="752475"/>
                  </a:xfrm>
                  <a:prstGeom prst="rect">
                    <a:avLst/>
                  </a:prstGeom>
                </pic:spPr>
              </pic:pic>
            </a:graphicData>
          </a:graphic>
        </wp:anchor>
      </w:drawing>
    </w:r>
    <w:r>
      <w:rPr>
        <w:sz w:val="22"/>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1962" w:hanging="0"/>
      <w:jc w:val="center"/>
      <w:rPr/>
    </w:pPr>
    <w:r>
      <w:drawing>
        <wp:anchor behindDoc="1" distT="0" distB="0" distL="114300" distR="114300" simplePos="0" locked="0" layoutInCell="1" allowOverlap="1" relativeHeight="14">
          <wp:simplePos x="0" y="0"/>
          <wp:positionH relativeFrom="page">
            <wp:posOffset>1080135</wp:posOffset>
          </wp:positionH>
          <wp:positionV relativeFrom="page">
            <wp:posOffset>449580</wp:posOffset>
          </wp:positionV>
          <wp:extent cx="4808220" cy="752475"/>
          <wp:effectExtent l="0" t="0" r="0" b="0"/>
          <wp:wrapSquare wrapText="bothSides"/>
          <wp:docPr id="6" name="Picture 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49" descr=""/>
                  <pic:cNvPicPr>
                    <a:picLocks noChangeAspect="1" noChangeArrowheads="1"/>
                  </pic:cNvPicPr>
                </pic:nvPicPr>
                <pic:blipFill>
                  <a:blip r:embed="rId1"/>
                  <a:stretch>
                    <a:fillRect/>
                  </a:stretch>
                </pic:blipFill>
                <pic:spPr bwMode="auto">
                  <a:xfrm>
                    <a:off x="0" y="0"/>
                    <a:ext cx="4808220" cy="752475"/>
                  </a:xfrm>
                  <a:prstGeom prst="rect">
                    <a:avLst/>
                  </a:prstGeom>
                </pic:spPr>
              </pic:pic>
            </a:graphicData>
          </a:graphic>
        </wp:anchor>
      </w:drawing>
    </w:r>
    <w:r>
      <w:rPr>
        <w:sz w:val="22"/>
      </w:rPr>
      <w:t xml:space="preserve"> </w:t>
    </w:r>
  </w:p>
  <w:p>
    <w:pPr>
      <w:pStyle w:val="Normal"/>
      <w:spacing w:lineRule="auto" w:line="259" w:before="0" w:after="0"/>
      <w:ind w:left="14" w:right="0" w:hanging="0"/>
      <w:jc w:val="left"/>
      <w:rPr/>
    </w:pPr>
    <w:r>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1962" w:hanging="0"/>
      <w:jc w:val="center"/>
      <w:rPr/>
    </w:pPr>
    <w:r>
      <w:drawing>
        <wp:anchor behindDoc="1" distT="0" distB="0" distL="114300" distR="114300" simplePos="0" locked="0" layoutInCell="1" allowOverlap="1" relativeHeight="15">
          <wp:simplePos x="0" y="0"/>
          <wp:positionH relativeFrom="page">
            <wp:posOffset>1080135</wp:posOffset>
          </wp:positionH>
          <wp:positionV relativeFrom="page">
            <wp:posOffset>449580</wp:posOffset>
          </wp:positionV>
          <wp:extent cx="4808220" cy="752475"/>
          <wp:effectExtent l="0" t="0" r="0" b="0"/>
          <wp:wrapSquare wrapText="bothSides"/>
          <wp:docPr id="7"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1" descr=""/>
                  <pic:cNvPicPr>
                    <a:picLocks noChangeAspect="1" noChangeArrowheads="1"/>
                  </pic:cNvPicPr>
                </pic:nvPicPr>
                <pic:blipFill>
                  <a:blip r:embed="rId1"/>
                  <a:stretch>
                    <a:fillRect/>
                  </a:stretch>
                </pic:blipFill>
                <pic:spPr bwMode="auto">
                  <a:xfrm>
                    <a:off x="0" y="0"/>
                    <a:ext cx="4808220" cy="752475"/>
                  </a:xfrm>
                  <a:prstGeom prst="rect">
                    <a:avLst/>
                  </a:prstGeom>
                </pic:spPr>
              </pic:pic>
            </a:graphicData>
          </a:graphic>
        </wp:anchor>
      </w:drawing>
    </w:r>
    <w:r>
      <w:rPr>
        <w:sz w:val="22"/>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3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1">
      <w:start w:val="1"/>
      <w:numFmt w:val="lowerLetter"/>
      <w:lvlText w:val="%2"/>
      <w:lvlJc w:val="left"/>
      <w:pPr>
        <w:ind w:left="145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2">
      <w:start w:val="1"/>
      <w:numFmt w:val="lowerRoman"/>
      <w:lvlText w:val="%3"/>
      <w:lvlJc w:val="left"/>
      <w:pPr>
        <w:ind w:left="217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3">
      <w:start w:val="1"/>
      <w:numFmt w:val="decimal"/>
      <w:lvlText w:val="%4"/>
      <w:lvlJc w:val="left"/>
      <w:pPr>
        <w:ind w:left="289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4">
      <w:start w:val="1"/>
      <w:numFmt w:val="lowerLetter"/>
      <w:lvlText w:val="%5"/>
      <w:lvlJc w:val="left"/>
      <w:pPr>
        <w:ind w:left="361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5">
      <w:start w:val="1"/>
      <w:numFmt w:val="lowerRoman"/>
      <w:lvlText w:val="%6"/>
      <w:lvlJc w:val="left"/>
      <w:pPr>
        <w:ind w:left="433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6">
      <w:start w:val="1"/>
      <w:numFmt w:val="decimal"/>
      <w:lvlText w:val="%7"/>
      <w:lvlJc w:val="left"/>
      <w:pPr>
        <w:ind w:left="505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7">
      <w:start w:val="1"/>
      <w:numFmt w:val="lowerLetter"/>
      <w:lvlText w:val="%8"/>
      <w:lvlJc w:val="left"/>
      <w:pPr>
        <w:ind w:left="577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lvl w:ilvl="8">
      <w:start w:val="1"/>
      <w:numFmt w:val="lowerRoman"/>
      <w:lvlText w:val="%9"/>
      <w:lvlJc w:val="left"/>
      <w:pPr>
        <w:ind w:left="6494" w:hanging="360"/>
      </w:pPr>
      <w:rPr>
        <w:dstrike w:val="false"/>
        <w:strike w:val="false"/>
        <w:vertAlign w:val="baseline"/>
        <w:position w:val="0"/>
        <w:sz w:val="24"/>
        <w:sz w:val="24"/>
        <w:i w:val="false"/>
        <w:u w:val="none" w:color="000000"/>
        <w:b w:val="false"/>
        <w:szCs w:val="24"/>
        <w:highlight w:val="white"/>
        <w:rFonts w:eastAsia="Times New Roman" w:cs="Times New Roman"/>
        <w:color w:val="000000"/>
      </w:rPr>
    </w:lvl>
  </w:abstractNum>
  <w:abstractNum w:abstractNumId="2">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90" w:hanging="360"/>
      </w:pPr>
      <w:rPr>
        <w:rFonts w:ascii="Wingdings" w:hAnsi="Wingdings" w:cs="Wingdings"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87" w:hanging="360"/>
      </w:pPr>
      <w:rPr>
        <w:rFonts w:ascii="Wingdings" w:hAnsi="Wingdings" w:cs="Wingdings" w:hint="default"/>
        <w:rFonts w:cs="Calibri"/>
      </w:rPr>
    </w:lvl>
    <w:lvl w:ilvl="1">
      <w:start w:val="1"/>
      <w:numFmt w:val="bullet"/>
      <w:lvlText w:val="o"/>
      <w:lvlJc w:val="left"/>
      <w:pPr>
        <w:ind w:left="1507" w:hanging="360"/>
      </w:pPr>
      <w:rPr>
        <w:rFonts w:ascii="Courier New" w:hAnsi="Courier New" w:cs="Courier New" w:hint="default"/>
        <w:rFonts w:cs="Courier New"/>
      </w:rPr>
    </w:lvl>
    <w:lvl w:ilvl="2">
      <w:start w:val="1"/>
      <w:numFmt w:val="bullet"/>
      <w:lvlText w:val=""/>
      <w:lvlJc w:val="left"/>
      <w:pPr>
        <w:ind w:left="2227" w:hanging="360"/>
      </w:pPr>
      <w:rPr>
        <w:rFonts w:ascii="Wingdings" w:hAnsi="Wingdings" w:cs="Wingdings" w:hint="default"/>
      </w:rPr>
    </w:lvl>
    <w:lvl w:ilvl="3">
      <w:start w:val="1"/>
      <w:numFmt w:val="bullet"/>
      <w:lvlText w:val=""/>
      <w:lvlJc w:val="left"/>
      <w:pPr>
        <w:ind w:left="2947" w:hanging="360"/>
      </w:pPr>
      <w:rPr>
        <w:rFonts w:ascii="Symbol" w:hAnsi="Symbol" w:cs="Symbol" w:hint="default"/>
      </w:rPr>
    </w:lvl>
    <w:lvl w:ilvl="4">
      <w:start w:val="1"/>
      <w:numFmt w:val="bullet"/>
      <w:lvlText w:val="o"/>
      <w:lvlJc w:val="left"/>
      <w:pPr>
        <w:ind w:left="3667" w:hanging="360"/>
      </w:pPr>
      <w:rPr>
        <w:rFonts w:ascii="Courier New" w:hAnsi="Courier New" w:cs="Courier New" w:hint="default"/>
        <w:rFonts w:cs="Courier New"/>
      </w:rPr>
    </w:lvl>
    <w:lvl w:ilvl="5">
      <w:start w:val="1"/>
      <w:numFmt w:val="bullet"/>
      <w:lvlText w:val=""/>
      <w:lvlJc w:val="left"/>
      <w:pPr>
        <w:ind w:left="4387" w:hanging="360"/>
      </w:pPr>
      <w:rPr>
        <w:rFonts w:ascii="Wingdings" w:hAnsi="Wingdings" w:cs="Wingdings" w:hint="default"/>
      </w:rPr>
    </w:lvl>
    <w:lvl w:ilvl="6">
      <w:start w:val="1"/>
      <w:numFmt w:val="bullet"/>
      <w:lvlText w:val=""/>
      <w:lvlJc w:val="left"/>
      <w:pPr>
        <w:ind w:left="5107" w:hanging="360"/>
      </w:pPr>
      <w:rPr>
        <w:rFonts w:ascii="Symbol" w:hAnsi="Symbol" w:cs="Symbol" w:hint="default"/>
      </w:rPr>
    </w:lvl>
    <w:lvl w:ilvl="7">
      <w:start w:val="1"/>
      <w:numFmt w:val="bullet"/>
      <w:lvlText w:val="o"/>
      <w:lvlJc w:val="left"/>
      <w:pPr>
        <w:ind w:left="5827" w:hanging="360"/>
      </w:pPr>
      <w:rPr>
        <w:rFonts w:ascii="Courier New" w:hAnsi="Courier New" w:cs="Courier New" w:hint="default"/>
        <w:rFonts w:cs="Courier New"/>
      </w:rPr>
    </w:lvl>
    <w:lvl w:ilvl="8">
      <w:start w:val="1"/>
      <w:numFmt w:val="bullet"/>
      <w:lvlText w:val=""/>
      <w:lvlJc w:val="left"/>
      <w:pPr>
        <w:ind w:left="6547" w:hanging="360"/>
      </w:pPr>
      <w:rPr>
        <w:rFonts w:ascii="Wingdings" w:hAnsi="Wingdings" w:cs="Wingdings" w:hint="default"/>
      </w:rPr>
    </w:lvl>
  </w:abstractNum>
  <w:abstractNum w:abstractNumId="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ca-ES" w:eastAsia="ca-ES" w:bidi="ar-SA"/>
      </w:rPr>
    </w:rPrDefault>
    <w:pPrDefault>
      <w:pPr>
        <w:spacing w:lineRule="auto" w:line="259"/>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47" w:before="0" w:after="4"/>
      <w:ind w:left="77" w:right="1090" w:hanging="10"/>
      <w:jc w:val="both"/>
    </w:pPr>
    <w:rPr>
      <w:rFonts w:ascii="Times New Roman" w:hAnsi="Times New Roman" w:eastAsia="Times New Roman" w:cs="Times New Roman"/>
      <w:color w:val="000000"/>
      <w:sz w:val="24"/>
      <w:szCs w:val="22"/>
      <w:lang w:val="ca-ES" w:eastAsia="ca-ES" w:bidi="ar-SA"/>
    </w:rPr>
  </w:style>
  <w:style w:type="paragraph" w:styleId="Encabezado1" w:customStyle="1">
    <w:name w:val="Encabezado 1"/>
    <w:basedOn w:val="Encabezamiento"/>
    <w:next w:val="Normal"/>
    <w:link w:val="Ttulo1Car"/>
    <w:uiPriority w:val="9"/>
    <w:unhideWhenUsed/>
    <w:qFormat/>
    <w:pPr>
      <w:keepLines/>
      <w:spacing w:lineRule="auto" w:line="247" w:before="0" w:after="145"/>
      <w:jc w:val="left"/>
      <w:outlineLvl w:val="0"/>
    </w:pPr>
    <w:rPr>
      <w:rFonts w:ascii="Times New Roman" w:hAnsi="Times New Roman" w:eastAsia="Times New Roman" w:cs="Times New Roman"/>
      <w:sz w:val="24"/>
      <w:u w:val="single" w:color="000000"/>
    </w:rPr>
  </w:style>
  <w:style w:type="character" w:styleId="DefaultParagraphFont" w:default="1">
    <w:name w:val="Default Paragraph Font"/>
    <w:uiPriority w:val="1"/>
    <w:semiHidden/>
    <w:unhideWhenUsed/>
    <w:qFormat/>
    <w:rPr/>
  </w:style>
  <w:style w:type="character" w:styleId="Ttulo1Car" w:customStyle="1">
    <w:name w:val="Título 1 Car"/>
    <w:link w:val="Encabezado1"/>
    <w:qFormat/>
    <w:rPr>
      <w:rFonts w:ascii="Times New Roman" w:hAnsi="Times New Roman" w:eastAsia="Times New Roman" w:cs="Times New Roman"/>
      <w:color w:val="000000"/>
      <w:sz w:val="24"/>
      <w:u w:val="single" w:color="000000"/>
    </w:rPr>
  </w:style>
  <w:style w:type="character" w:styleId="ListLabel1" w:customStyle="1">
    <w:name w:val="ListLabel 1"/>
    <w:qFormat/>
    <w:rPr>
      <w:rFonts w:eastAsia="Times New Roman" w:cs="Times New Roman"/>
      <w:b w:val="false"/>
      <w:i w:val="false"/>
      <w:strike w:val="false"/>
      <w:dstrike w:val="false"/>
      <w:color w:val="000000"/>
      <w:position w:val="0"/>
      <w:sz w:val="22"/>
      <w:sz w:val="22"/>
      <w:szCs w:val="22"/>
      <w:highlight w:val="white"/>
      <w:u w:val="none" w:color="000000"/>
      <w:vertAlign w:val="baseline"/>
    </w:rPr>
  </w:style>
  <w:style w:type="character" w:styleId="ListLabel2" w:customStyle="1">
    <w:name w:val="ListLabel 2"/>
    <w:qFormat/>
    <w:rPr>
      <w:rFonts w:eastAsia="Times New Roman" w:cs="Times New Roman"/>
      <w:b w:val="false"/>
      <w:i w:val="false"/>
      <w:strike w:val="false"/>
      <w:dstrike w:val="false"/>
      <w:color w:val="000000"/>
      <w:position w:val="0"/>
      <w:sz w:val="24"/>
      <w:sz w:val="24"/>
      <w:szCs w:val="24"/>
      <w:highlight w:val="white"/>
      <w:u w:val="none" w:color="000000"/>
      <w:vertAlign w:val="baseline"/>
    </w:rPr>
  </w:style>
  <w:style w:type="character" w:styleId="TextocomentarioCar" w:customStyle="1">
    <w:name w:val="Texto comentario Car"/>
    <w:basedOn w:val="DefaultParagraphFont"/>
    <w:link w:val="Textocomentario"/>
    <w:uiPriority w:val="99"/>
    <w:semiHidden/>
    <w:qFormat/>
    <w:rPr>
      <w:rFonts w:ascii="Times New Roman" w:hAnsi="Times New Roman" w:eastAsia="Times New Roman" w:cs="Times New Roman"/>
      <w:color w:val="000000"/>
      <w:szCs w:val="20"/>
    </w:rPr>
  </w:style>
  <w:style w:type="character" w:styleId="Annotationreference">
    <w:name w:val="annotation reference"/>
    <w:basedOn w:val="DefaultParagraphFont"/>
    <w:uiPriority w:val="99"/>
    <w:semiHidden/>
    <w:unhideWhenUsed/>
    <w:qFormat/>
    <w:rPr>
      <w:sz w:val="16"/>
      <w:szCs w:val="16"/>
    </w:rPr>
  </w:style>
  <w:style w:type="character" w:styleId="TextodegloboCar" w:customStyle="1">
    <w:name w:val="Texto de globo Car"/>
    <w:basedOn w:val="DefaultParagraphFont"/>
    <w:link w:val="Textodeglobo"/>
    <w:uiPriority w:val="99"/>
    <w:semiHidden/>
    <w:qFormat/>
    <w:rsid w:val="00202437"/>
    <w:rPr>
      <w:rFonts w:ascii="Segoe UI" w:hAnsi="Segoe UI" w:eastAsia="Times New Roman" w:cs="Segoe UI"/>
      <w:color w:val="000000"/>
      <w:sz w:val="18"/>
      <w:szCs w:val="18"/>
    </w:rPr>
  </w:style>
  <w:style w:type="character" w:styleId="EnlacedeInternet">
    <w:name w:val="Enlace de Internet"/>
    <w:basedOn w:val="DefaultParagraphFont"/>
    <w:uiPriority w:val="99"/>
    <w:unhideWhenUsed/>
    <w:rsid w:val="004c5cb5"/>
    <w:rPr>
      <w:color w:val="0563C1" w:themeColor="hyperlink"/>
      <w:u w:val="single"/>
    </w:rPr>
  </w:style>
  <w:style w:type="character" w:styleId="ListLabel3">
    <w:name w:val="ListLabel 3"/>
    <w:qFormat/>
    <w:rPr>
      <w:rFonts w:cs="Symbol"/>
    </w:rPr>
  </w:style>
  <w:style w:type="character" w:styleId="ListLabel4">
    <w:name w:val="ListLabel 4"/>
    <w:qFormat/>
    <w:rPr>
      <w:rFonts w:eastAsia="Times New Roman" w:cs="Times New Roman"/>
      <w:b w:val="false"/>
      <w:i w:val="false"/>
      <w:strike w:val="false"/>
      <w:dstrike w:val="false"/>
      <w:color w:val="000000"/>
      <w:position w:val="0"/>
      <w:sz w:val="24"/>
      <w:sz w:val="24"/>
      <w:szCs w:val="24"/>
      <w:highlight w:val="white"/>
      <w:u w:val="none" w:color="000000"/>
      <w:vertAlign w:val="baseline"/>
    </w:rPr>
  </w:style>
  <w:style w:type="character" w:styleId="ListLabel5">
    <w:name w:val="ListLabel 5"/>
    <w:qFormat/>
    <w:rPr>
      <w:rFonts w:cs="Times New Roman"/>
      <w:b w:val="false"/>
      <w:i w:val="false"/>
      <w:strike w:val="false"/>
      <w:dstrike w:val="false"/>
      <w:color w:val="000000"/>
      <w:position w:val="0"/>
      <w:sz w:val="22"/>
      <w:sz w:val="22"/>
      <w:szCs w:val="22"/>
      <w:highlight w:val="white"/>
      <w:u w:val="none" w:color="000000"/>
      <w:vertAlign w:val="baseline"/>
    </w:rPr>
  </w:style>
  <w:style w:type="character" w:styleId="ListLabel6">
    <w:name w:val="ListLabel 6"/>
    <w:qFormat/>
    <w:rPr>
      <w:rFonts w:cs="Times New Roman"/>
      <w:b w:val="false"/>
      <w:i w:val="false"/>
      <w:strike w:val="false"/>
      <w:dstrike w:val="false"/>
      <w:color w:val="000000"/>
      <w:position w:val="0"/>
      <w:sz w:val="24"/>
      <w:sz w:val="24"/>
      <w:szCs w:val="24"/>
      <w:highlight w:val="white"/>
      <w:u w:val="none" w:color="000000"/>
      <w:vertAlign w:val="baseline"/>
    </w:rPr>
  </w:style>
  <w:style w:type="character" w:styleId="ListLabel7">
    <w:name w:val="ListLabel 7"/>
    <w:qFormat/>
    <w:rPr>
      <w:rFonts w:cs="Courier New"/>
    </w:rPr>
  </w:style>
  <w:style w:type="character" w:styleId="ListLabel8">
    <w:name w:val="ListLabel 8"/>
    <w:qFormat/>
    <w:rPr>
      <w:rFonts w:eastAsia="Times New Roman" w:cs="Times New Roman"/>
    </w:rPr>
  </w:style>
  <w:style w:type="character" w:styleId="ListLabel9">
    <w:name w:val="ListLabel 9"/>
    <w:qFormat/>
    <w:rPr>
      <w:rFonts w:eastAsia="Calibri" w:cs="Calibri"/>
    </w:rPr>
  </w:style>
  <w:style w:type="character" w:styleId="ListLabel10">
    <w:name w:val="ListLabel 10"/>
    <w:qFormat/>
    <w:rPr>
      <w:rFonts w:eastAsia="Calibri" w:cs="Calibri"/>
      <w:b w:val="false"/>
      <w:i w:val="false"/>
      <w:strike w:val="false"/>
      <w:dstrike w:val="false"/>
      <w:color w:val="000000"/>
      <w:position w:val="0"/>
      <w:sz w:val="22"/>
      <w:sz w:val="22"/>
      <w:szCs w:val="22"/>
      <w:highlight w:val="white"/>
      <w:u w:val="none" w:color="000000"/>
      <w:vertAlign w:val="baseline"/>
    </w:rPr>
  </w:style>
  <w:style w:type="paragraph" w:styleId="Encabezado">
    <w:name w:val="Encabezado"/>
    <w:basedOn w:val="Normal"/>
    <w:next w:val="Cuerpodetexto"/>
    <w:qFormat/>
    <w:pPr>
      <w:keepNext/>
      <w:spacing w:before="240" w:after="120"/>
    </w:pPr>
    <w:rPr>
      <w:rFonts w:ascii="Liberation Sans" w:hAnsi="Liberation Sans" w:eastAsia="Microsoft YaHei" w:cs="Mangal"/>
      <w:sz w:val="28"/>
      <w:szCs w:val="28"/>
    </w:rPr>
  </w:style>
  <w:style w:type="paragraph" w:styleId="Cuerpodetexto" w:customStyle="1">
    <w:name w:val="Cuerpo de texto"/>
    <w:basedOn w:val="Normal"/>
    <w:pPr>
      <w:spacing w:lineRule="auto" w:line="288" w:before="0" w:after="140"/>
    </w:pPr>
    <w:rPr/>
  </w:style>
  <w:style w:type="paragraph" w:styleId="Lista">
    <w:name w:val="Lista"/>
    <w:basedOn w:val="Cuerpodetexto"/>
    <w:pPr/>
    <w:rPr>
      <w:rFonts w:cs="Mangal"/>
    </w:rPr>
  </w:style>
  <w:style w:type="paragraph" w:styleId="Leyenda" w:customStyle="1">
    <w:name w:val="Leyenda"/>
    <w:basedOn w:val="Normal"/>
    <w:pPr>
      <w:suppressLineNumbers/>
      <w:spacing w:before="120" w:after="120"/>
    </w:pPr>
    <w:rPr>
      <w:rFonts w:cs="Mangal"/>
      <w:i/>
      <w:iCs/>
      <w:szCs w:val="24"/>
    </w:rPr>
  </w:style>
  <w:style w:type="paragraph" w:styleId="Ndice" w:customStyle="1">
    <w:name w:val="Índice"/>
    <w:basedOn w:val="Normal"/>
    <w:qFormat/>
    <w:pPr>
      <w:suppressLineNumbers/>
    </w:pPr>
    <w:rPr>
      <w:rFonts w:cs="Mangal"/>
    </w:rPr>
  </w:style>
  <w:style w:type="paragraph" w:styleId="Encabezamiento" w:customStyle="1">
    <w:name w:val="Encabezamiento"/>
    <w:basedOn w:val="Normal"/>
    <w:pPr/>
    <w:rPr/>
  </w:style>
  <w:style w:type="paragraph" w:styleId="Piedepgina">
    <w:name w:val="Pie de página"/>
    <w:basedOn w:val="Normal"/>
    <w:pPr/>
    <w:rPr/>
  </w:style>
  <w:style w:type="paragraph" w:styleId="Contenidodelmarco" w:customStyle="1">
    <w:name w:val="Contenido del marco"/>
    <w:basedOn w:val="Normal"/>
    <w:qFormat/>
    <w:pPr/>
    <w:rPr/>
  </w:style>
  <w:style w:type="paragraph" w:styleId="Annotationtext">
    <w:name w:val="annotation text"/>
    <w:basedOn w:val="Normal"/>
    <w:link w:val="TextocomentarioCar"/>
    <w:uiPriority w:val="99"/>
    <w:semiHidden/>
    <w:unhideWhenUsed/>
    <w:qFormat/>
    <w:pPr>
      <w:spacing w:lineRule="auto" w:line="240"/>
    </w:pPr>
    <w:rPr>
      <w:sz w:val="20"/>
      <w:szCs w:val="20"/>
    </w:rPr>
  </w:style>
  <w:style w:type="paragraph" w:styleId="BalloonText">
    <w:name w:val="Balloon Text"/>
    <w:basedOn w:val="Normal"/>
    <w:link w:val="TextodegloboCar"/>
    <w:uiPriority w:val="99"/>
    <w:semiHidden/>
    <w:unhideWhenUsed/>
    <w:qFormat/>
    <w:rsid w:val="00202437"/>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9b667e"/>
    <w:pPr>
      <w:spacing w:before="0" w:after="4"/>
      <w:ind w:left="720" w:right="1090" w:hanging="10"/>
      <w:contextualSpacing/>
    </w:pPr>
    <w:rPr/>
  </w:style>
  <w:style w:type="paragraph" w:styleId="NoSpacing">
    <w:name w:val="No Spacing"/>
    <w:uiPriority w:val="1"/>
    <w:qFormat/>
    <w:rsid w:val="00e16d74"/>
    <w:pPr>
      <w:widowControl/>
      <w:bidi w:val="0"/>
      <w:spacing w:lineRule="auto" w:line="240"/>
      <w:ind w:left="77" w:right="1090" w:hanging="10"/>
      <w:jc w:val="both"/>
    </w:pPr>
    <w:rPr>
      <w:rFonts w:ascii="Times New Roman" w:hAnsi="Times New Roman" w:eastAsia="Times New Roman" w:cs="Times New Roman"/>
      <w:color w:val="000000"/>
      <w:sz w:val="24"/>
      <w:szCs w:val="22"/>
      <w:lang w:val="ca-ES" w:eastAsia="ca-ES" w:bidi="ar-SA"/>
    </w:rPr>
  </w:style>
  <w:style w:type="numbering" w:styleId="NoList" w:default="1">
    <w:name w:val="No List"/>
    <w:uiPriority w:val="99"/>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pPr>
      <w:spacing w:line="240" w:lineRule="auto"/>
    </w:pPr>
    <w:tblPr>
      <w:tblCellMar>
        <w:top w:w="0" w:type="dxa"/>
        <w:left w:w="0" w:type="dxa"/>
        <w:bottom w:w="0" w:type="dxa"/>
        <w:right w:w="0" w:type="dxa"/>
      </w:tblCellMar>
    </w:tblPr>
  </w:style>
  <w:style w:type="table" w:styleId="Tablaconcuadrcula">
    <w:name w:val="Table Grid"/>
    <w:basedOn w:val="Tablanormal"/>
    <w:uiPriority w:val="59"/>
    <w:rsid w:val="000a65ab"/>
    <w:pPr>
      <w:spacing w:line="240" w:lineRule="auto"/>
    </w:pPr>
    <w:rPr>
      <w:lang w:val="es-ES" w:eastAsia="en-US"/>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
    <w:name w:val="Tabla con cuadrícula1"/>
    <w:basedOn w:val="Tablanormal"/>
    <w:uiPriority w:val="59"/>
    <w:rsid w:val="000a65ab"/>
    <w:pPr>
      <w:spacing w:line="240" w:lineRule="auto"/>
    </w:pPr>
    <w:rPr>
      <w:lang w:val="es-ES" w:eastAsia="en-US"/>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orba.sedelectronica.e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comments" Target="comment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FE905-736F-4A4C-8954-56F75DF1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Application>LibreOffice/5.0.4.2$Windows_x86 LibreOffice_project/2b9802c1994aa0b7dc6079e128979269cf95bc78</Application>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2021-06-25T09:29:00Z</dcterms:created>
  <dc:creator>Usuari</dc:creator>
  <dc:language>es-ES</dc:language>
  <cp:lastPrinted>2021-09-13T10:53:21Z</cp:lastPrinted>
  <dcterms:modified xsi:type="dcterms:W3CDTF">2021-09-13T12:02:51Z</dcterms:modified>
  <cp:revision>37</cp:revision>
  <dc:title>Microsoft Word - BASES.docx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