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Arial Black" w:hAnsi="Arial Black" w:cs="Times New Roman"/>
          <w:b/>
          <w:b/>
          <w:sz w:val="24"/>
          <w:szCs w:val="24"/>
        </w:rPr>
      </w:pPr>
      <w:bookmarkStart w:id="0" w:name="__DdeLink__1422_3737188128"/>
      <w:r>
        <w:rPr>
          <w:rFonts w:cs="Times New Roman" w:ascii="Arial Black" w:hAnsi="Arial Black"/>
          <w:b/>
          <w:sz w:val="24"/>
          <w:szCs w:val="24"/>
        </w:rPr>
        <w:t>BASES REGULADORAS PARA LA CONCESIÓN DIRECTA DE “AYUDAS PARÉNTESIS II” DEL PLAN RESISTIR EN SAN MIGUEL DE SALINAS.</w:t>
      </w:r>
      <w:bookmarkEnd w:id="0"/>
    </w:p>
    <w:p>
      <w:pPr>
        <w:pStyle w:val="Normal"/>
        <w:jc w:val="both"/>
        <w:rPr>
          <w:rFonts w:ascii="Bahnschrift Light" w:hAnsi="Bahnschrift Light" w:cs="Times New Roman"/>
          <w:b/>
          <w:b/>
          <w:sz w:val="24"/>
          <w:szCs w:val="24"/>
        </w:rPr>
      </w:pPr>
      <w:r>
        <w:rPr>
          <w:rFonts w:cs="Times New Roman" w:ascii="Bahnschrift Light" w:hAnsi="Bahnschrift Light"/>
          <w:b/>
          <w:sz w:val="24"/>
          <w:szCs w:val="24"/>
        </w:rPr>
      </w:r>
    </w:p>
    <w:p>
      <w:pPr>
        <w:pStyle w:val="Normal"/>
        <w:jc w:val="both"/>
        <w:rPr>
          <w:rFonts w:ascii="Bahnschrift Light" w:hAnsi="Bahnschrift Light" w:cs="Times New Roman"/>
          <w:sz w:val="24"/>
          <w:szCs w:val="24"/>
        </w:rPr>
      </w:pPr>
      <w:r>
        <w:rPr>
          <w:rFonts w:cs="Times New Roman" w:ascii="Bahnschrift Light" w:hAnsi="Bahnschrift Light"/>
          <w:b/>
          <w:sz w:val="24"/>
          <w:szCs w:val="24"/>
        </w:rPr>
        <w:t>I.-OBJETO Y FINALIDAD</w:t>
      </w:r>
      <w:r>
        <w:rPr>
          <w:rFonts w:cs="Times New Roman" w:ascii="Bahnschrift Light" w:hAnsi="Bahnschrift Light"/>
          <w:sz w:val="24"/>
          <w:szCs w:val="24"/>
        </w:rPr>
        <w:t>:</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1.- La declaración del estado de alarma por parte del Gobierno de España, mediante Real Decreto 463/2020 de 14 de marzo a causa de la pandemia provocada por el Covid 19 supuso la paralización económica inmediata en todo el país y por ello las distintas Administraciones han adoptado medidas urgentes para atenuar los efectos negativos que se han producido. Entre los sectores más afectados se encuentra el tejido empresarial que ha tenido que reducir o suspender su actividad.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ab/>
        <w:t xml:space="preserve">El municipio de  San Miguel de Salinas no ha sido una excepción, razón por la cual, su Ayuntamiento colabora con otras Administraciones Públicas en la reactivación económica local.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ab/>
        <w:t xml:space="preserve">Entre las distintas líneas de actuaciones, la Generalitat Valenciana publicó en el Diario Oficial de la Generalitat de fecha 26 de enero de 2021, el Decreto Ley 1/2021, de 22 de enero, del Consell, por el cual se aprueba el Plan Resistir que incluye ayudas paréntesis para cada municipio. Como se recoge en el Anexo I del referido Decreto al Ayuntamiento de  San Miguel de Salinas se le otorga una cantidad de  275.248 euros, de la que deberá cofinanciar  41.287,20 euros correspondientes al 15% para gestionar ayudas entre los sectores afectados.  Asimismo dispone que, si al aplicar las ayudas, el municipio tuviera un excedente de recursos sin utilizar en estos sectores más afectados, podrá dedicar dicho excedente a complementar proporcionalmente las ayudas resueltas o dedicarlas a otras actividades también afectadas por la pandemia que no hayan sido contempladas específicamente en los sectores definidos en el Anexo II del referido Decreto Ley del Consell.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ab/>
        <w:t>Por ello, resuelta la primera convocatoria con un excedente de 212.848 €, se considera conveniente destinarlo a una segunda convocatoria de ayudas destinadas a otras actividades también afectadas por la pandemia y que se relacionan en el anexo correspondiente de las presentes normas reguladoras.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b/>
          <w:b/>
          <w:sz w:val="24"/>
          <w:szCs w:val="24"/>
          <w:lang w:eastAsia="es-ES"/>
        </w:rPr>
      </w:pPr>
      <w:r>
        <w:rPr>
          <w:rFonts w:eastAsia="Times New Roman" w:cs="Times New Roman" w:ascii="Bahnschrift Light" w:hAnsi="Bahnschrift Light"/>
          <w:b/>
          <w:sz w:val="24"/>
          <w:szCs w:val="24"/>
          <w:lang w:eastAsia="es-ES"/>
        </w:rPr>
        <w:t>II. NORMATIVA APLICABLE</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 </w:t>
      </w:r>
      <w:r>
        <w:rPr>
          <w:rFonts w:eastAsia="Times New Roman" w:cs="Times New Roman" w:ascii="Bahnschrift Light" w:hAnsi="Bahnschrift Light"/>
          <w:sz w:val="24"/>
          <w:szCs w:val="24"/>
          <w:lang w:eastAsia="es-ES"/>
        </w:rPr>
        <w:t xml:space="preserve">1.- Conforme a lo dispuesto en el Decreto-Ley 1/2021, de 22 de enero, del Consell, por el cual se aprueba el Plan Resistir, que incluye ayudas paréntesis en cada municipio para los sectores más afectados por la pandemia, concurren circunstancias singulares y razones de interés público, social y económico que dificultan la convocatoria pública de estas ayudas y justifican su otorgamiento en régimen de concesión directa, de acuerdo con lo previsto en el artículo 22.2.c) de la Ley 38/2003, de 17 de noviembre, General de Subvenciones.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2.- La presente convocatoria se regirá con carácter general, por lo dispuesto en las bases reguladoras, en la Ley 38/2003, de 17 de noviembre, General de Subvenciones y su Reglamento de desarrollo, aprobado por Real Decreto 887/2006, de 21 de Julio.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3.- Decreto-Ley 1/2021, de 22 de enero de 2021 del Consell, por el que se aprueba el Plan Resistir que incluye ayudas paréntesis en cada municipio.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4.- Ley 39/2015, de 1 de octubre del Procedimiento Administrativo Común de las Administraciones Públicas.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5.- La Ley reguladora de las Haciendas Locales, Texto refundido aprobado por Real Decreto Legislativo 2/2004, de 5 de marzo.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6.- Las Bases de ejecución del Presupuesto municipal de  San Miguel de Salinas.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7.- Las presentes normas reguladoras.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8.- La demás legislación vigente aplicable.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b/>
          <w:b/>
          <w:sz w:val="24"/>
          <w:szCs w:val="24"/>
          <w:lang w:eastAsia="es-ES"/>
        </w:rPr>
      </w:pPr>
      <w:r>
        <w:rPr>
          <w:rFonts w:eastAsia="Times New Roman" w:cs="Times New Roman" w:ascii="Bahnschrift Light" w:hAnsi="Bahnschrift Light"/>
          <w:b/>
          <w:sz w:val="24"/>
          <w:szCs w:val="24"/>
          <w:lang w:eastAsia="es-ES"/>
        </w:rPr>
        <w:t xml:space="preserve">III. FINANCIACION DE LAS AYUDAS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1.- Las ayudas previstas en la presente convocatoria disponen de un importe máximo de  212.848 euros que  se financiarán con cargo a la aplicación presupuestaria 433.479.00 del vigente Presupuesto Municipal.</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2.- La concesión de las ayudas estará condicionada a la disponibilidad presupuestaria y, en todo caso hasta agotarse el crédito destinado a la convocatoria. </w:t>
      </w:r>
    </w:p>
    <w:p>
      <w:pPr>
        <w:pStyle w:val="Normal"/>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jc w:val="both"/>
        <w:rPr>
          <w:rFonts w:ascii="Bahnschrift Light" w:hAnsi="Bahnschrift Light" w:eastAsia="Times New Roman" w:cs="Times New Roman"/>
          <w:b/>
          <w:b/>
          <w:sz w:val="24"/>
          <w:szCs w:val="24"/>
          <w:lang w:eastAsia="es-ES"/>
        </w:rPr>
      </w:pPr>
      <w:r>
        <w:rPr>
          <w:rFonts w:eastAsia="Times New Roman" w:cs="Times New Roman" w:ascii="Bahnschrift Light" w:hAnsi="Bahnschrift Light"/>
          <w:b/>
          <w:sz w:val="24"/>
          <w:szCs w:val="24"/>
          <w:lang w:eastAsia="es-ES"/>
        </w:rPr>
        <w:t>IV.-BENEFICIARIOS Y REQUISITOS.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1. Podrán solicitar esta subvención aquellas personas físicas o jurídicas legalmente constituidas que lleven a cabo las actividades económicas encuadradas en los sectores CNAE-09 establecidos en el ANEXO I de las presentes Normas Reguladoras y que cumplan los siguientes requisitos: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ListParagraph"/>
        <w:numPr>
          <w:ilvl w:val="0"/>
          <w:numId w:val="4"/>
        </w:numPr>
        <w:spacing w:lineRule="auto" w:line="240" w:before="0" w:after="0"/>
        <w:contextualSpacing/>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Que la actividad económica sea desarrollada por un autónomo/a o una microempresa que esté dada de alta a 31 de diciembre de 2020 en el Censo de Empresarios, profesionales y Retenedores de la AEAT y contar, asimismo, con el título habilitante en vigor (autorización, licencia o comunicación ambiental) que permita su apertura y funcionamiento conforme a la legislación en el momento de la presentación de la instancia.</w:t>
      </w:r>
    </w:p>
    <w:p>
      <w:pPr>
        <w:pStyle w:val="Normal"/>
        <w:spacing w:lineRule="auto" w:line="240" w:before="0" w:after="0"/>
        <w:ind w:left="360" w:hanging="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 </w:t>
      </w:r>
    </w:p>
    <w:p>
      <w:pPr>
        <w:pStyle w:val="ListParagraph"/>
        <w:numPr>
          <w:ilvl w:val="0"/>
          <w:numId w:val="4"/>
        </w:numPr>
        <w:spacing w:lineRule="auto" w:line="240" w:before="0" w:after="0"/>
        <w:contextualSpacing/>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Estar dadas de alta en el régimen de la Seguridad Social o en la Mutua profesional correspondiente. </w:t>
      </w:r>
    </w:p>
    <w:p>
      <w:pPr>
        <w:pStyle w:val="ListParagraph"/>
        <w:spacing w:lineRule="auto" w:line="240" w:before="0" w:after="0"/>
        <w:contextualSpacing/>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ListParagraph"/>
        <w:numPr>
          <w:ilvl w:val="0"/>
          <w:numId w:val="4"/>
        </w:numPr>
        <w:spacing w:lineRule="auto" w:line="240" w:before="0" w:after="0"/>
        <w:contextualSpacing/>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Que a 31 de diciembre de 2020 el autónomo/a o la microempresa no tengan más de 10 trabajadores/as en su plantilla dados de alta.</w:t>
      </w:r>
    </w:p>
    <w:p>
      <w:pPr>
        <w:pStyle w:val="ListParagraph"/>
        <w:spacing w:lineRule="auto" w:line="240" w:before="0" w:after="0"/>
        <w:contextualSpacing/>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ListParagraph"/>
        <w:numPr>
          <w:ilvl w:val="0"/>
          <w:numId w:val="4"/>
        </w:numPr>
        <w:spacing w:lineRule="auto" w:line="240" w:before="0" w:after="0"/>
        <w:contextualSpacing/>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Acreditar el mantenimiento de la actividad en el momento de la solicitud de la ayuda.</w:t>
      </w:r>
    </w:p>
    <w:p>
      <w:pPr>
        <w:pStyle w:val="ListParagraph"/>
        <w:spacing w:lineRule="auto" w:line="240" w:before="0" w:after="0"/>
        <w:contextualSpacing/>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ListParagraph"/>
        <w:numPr>
          <w:ilvl w:val="0"/>
          <w:numId w:val="4"/>
        </w:numPr>
        <w:spacing w:lineRule="auto" w:line="240" w:before="0" w:after="0"/>
        <w:contextualSpacing/>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Que el domicilio fiscal se encuentre en el municipio de  San Miguel de Salinas. No obstante, también se consideraran beneficiarias aquellas actividades en las que, aunque el domicilio fiscal no esté en  San Miguel de Salinas, se acredite  que el local donde se desarrolla efectivamente la actividad, radica en  San Miguel de Salinas y no hayan obtenido la ayuda en otro municipio.</w:t>
      </w:r>
    </w:p>
    <w:p>
      <w:pPr>
        <w:pStyle w:val="ListParagraph"/>
        <w:spacing w:lineRule="auto" w:line="240" w:before="0" w:after="0"/>
        <w:contextualSpacing/>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ListParagraph"/>
        <w:numPr>
          <w:ilvl w:val="0"/>
          <w:numId w:val="4"/>
        </w:numPr>
        <w:spacing w:lineRule="auto" w:line="240" w:before="0" w:after="0"/>
        <w:contextualSpacing/>
        <w:jc w:val="both"/>
        <w:rPr>
          <w:rFonts w:ascii="Bahnschrift Light" w:hAnsi="Bahnschrift Light" w:cs="Times New Roman"/>
          <w:sz w:val="24"/>
          <w:szCs w:val="24"/>
        </w:rPr>
      </w:pPr>
      <w:r>
        <w:rPr>
          <w:rFonts w:cs="Times New Roman" w:ascii="Bahnschrift Light" w:hAnsi="Bahnschrift Light"/>
          <w:sz w:val="24"/>
          <w:szCs w:val="24"/>
        </w:rPr>
        <w:t>No encontrarse incursa en ninguna de las circunstancias recogidas en el artículo 13.2 y 13.3 de la Ley38/2003, de 17 de noviembre, General de Subvenciones, y en particular, estar al corriente en el cumplimiento de sus obligaciones tributarias con la Hacienda estatal (AEAT) y con la Tesorería General de la Seguridad Social (TGSS). El requisito de hallarse al corriente de las obligaciones tributarias y de Seguridad Social previsto en el artículo 13 de la Ley 38/2003, General de Subvenciones podrá acreditarse mediante</w:t>
      </w:r>
      <w:r>
        <w:rPr>
          <w:rFonts w:cs="Times New Roman" w:ascii="Bahnschrift Light" w:hAnsi="Bahnschrift Light"/>
          <w:b/>
          <w:sz w:val="24"/>
          <w:szCs w:val="24"/>
        </w:rPr>
        <w:t xml:space="preserve"> una declaración responsable de la persona beneficiaria  ( Anexo VI) </w:t>
      </w:r>
      <w:r>
        <w:rPr>
          <w:rFonts w:cs="Times New Roman" w:ascii="Bahnschrift Light" w:hAnsi="Bahnschrift Light"/>
          <w:sz w:val="24"/>
          <w:szCs w:val="24"/>
        </w:rPr>
        <w:t>conforme a</w:t>
      </w:r>
      <w:r>
        <w:rPr>
          <w:rFonts w:cs="Times New Roman" w:ascii="Bahnschrift Light" w:hAnsi="Bahnschrift Light"/>
          <w:b/>
          <w:sz w:val="24"/>
          <w:szCs w:val="24"/>
        </w:rPr>
        <w:t xml:space="preserve"> </w:t>
      </w:r>
      <w:r>
        <w:rPr>
          <w:rFonts w:cs="Times New Roman" w:ascii="Bahnschrift Light" w:hAnsi="Bahnschrift Light"/>
          <w:sz w:val="24"/>
          <w:szCs w:val="24"/>
        </w:rPr>
        <w:t xml:space="preserve"> los supuestos establecidos en el art. 24 del Real Decreto 887/2006, de 21 de julio, por el que se aprueba el Reglamento de la Ley 38/2003, de 17 de noviembre, General de Subvenciones.</w:t>
      </w:r>
    </w:p>
    <w:p>
      <w:pPr>
        <w:pStyle w:val="ListParagraph"/>
        <w:spacing w:lineRule="auto" w:line="240" w:before="0" w:after="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ind w:left="360" w:hanging="0"/>
        <w:jc w:val="both"/>
        <w:rPr>
          <w:rFonts w:ascii="Bahnschrift Light" w:hAnsi="Bahnschrift Light" w:cs="Times New Roman"/>
          <w:sz w:val="24"/>
          <w:szCs w:val="24"/>
        </w:rPr>
      </w:pPr>
      <w:r>
        <w:rPr>
          <w:rFonts w:cs="Times New Roman" w:ascii="Bahnschrift Light" w:hAnsi="Bahnschrift Light"/>
          <w:sz w:val="24"/>
          <w:szCs w:val="24"/>
        </w:rPr>
        <w:t>g) No tener deuda pendiente de cualquier naturaleza con el Ayuntamiento de San Miguel de Salinas, requisito que debe cumplirse en la fecha de presentación de la solicitud.</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b/>
          <w:b/>
          <w:sz w:val="24"/>
          <w:szCs w:val="24"/>
          <w:lang w:eastAsia="es-ES"/>
        </w:rPr>
      </w:pPr>
      <w:r>
        <w:rPr>
          <w:rFonts w:eastAsia="Times New Roman" w:cs="Times New Roman" w:ascii="Bahnschrift Light" w:hAnsi="Bahnschrift Light"/>
          <w:b/>
          <w:sz w:val="24"/>
          <w:szCs w:val="24"/>
          <w:lang w:eastAsia="es-ES"/>
        </w:rPr>
        <w:t>V.- EXCLUSIONES.</w:t>
      </w:r>
    </w:p>
    <w:p>
      <w:pPr>
        <w:pStyle w:val="Normal"/>
        <w:spacing w:lineRule="auto" w:line="240" w:before="0" w:after="0"/>
        <w:jc w:val="both"/>
        <w:rPr>
          <w:rFonts w:ascii="Bahnschrift Light" w:hAnsi="Bahnschrift Light" w:eastAsia="Times New Roman" w:cs="Times New Roman"/>
          <w:b/>
          <w:b/>
          <w:sz w:val="24"/>
          <w:szCs w:val="24"/>
          <w:lang w:eastAsia="es-ES"/>
        </w:rPr>
      </w:pPr>
      <w:r>
        <w:rPr>
          <w:rFonts w:eastAsia="Times New Roman" w:cs="Times New Roman" w:ascii="Bahnschrift Light" w:hAnsi="Bahnschrift Light"/>
          <w:b/>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Quedan excluidas las Administraciones Públicas, sus organismos autónomos, las empresas públicas y otros entes públicos, así como también las asociaciones, fundaciones y, en general, entidades sin ánimo de lucro. Asimismo, se excluyen los trabajadores autónomos integrantes de una comunidad de bienes, los autónomos colaboradores, los autónomos societarios (con independencia de la naturaleza jurídica de la sociedad) y los socios de sociedades civiles. En todo caso, será la sociedad en la que participen, la que pueda optar a la presente subvención si cumple con los requisitos exigidos.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b/>
          <w:b/>
          <w:sz w:val="24"/>
          <w:szCs w:val="24"/>
          <w:lang w:eastAsia="es-ES"/>
        </w:rPr>
      </w:pPr>
      <w:r>
        <w:rPr>
          <w:rFonts w:eastAsia="Times New Roman" w:cs="Times New Roman" w:ascii="Bahnschrift Light" w:hAnsi="Bahnschrift Light"/>
          <w:b/>
          <w:sz w:val="24"/>
          <w:szCs w:val="24"/>
          <w:lang w:eastAsia="es-ES"/>
        </w:rPr>
        <w:t>VI,. IMPORTE DE LAS AYUDAS.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a) Una cuantía máxima por autónomo/a o microempresa de 2.000,00 euros.</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b) Adicionalmente a la anterior, una cuantía fija de 200,00 euros por cada persona trabajadora afiliada a la seguridad social del autónomo/a o la microempresa a 31 de diciembre de 2020, con un máximo de 10.</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c) En ningún caso el importe de las ayudas podrá ser superior al importe de los gastos justificados por los beneficiarios.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d) En caso de que el crédito disponible, atendiendo al número de solicitudes que cumplan los requisitos para acceder a la condición de beneficiarios, no sea suficiente para atenderlas a todas se procederá de la siguiente manera: De conformidad con lo previsto en artículo 22.1 de la LGS, debido a la excepcionalidad de la situación descrita en el objeto de esta convocatoria, y evitando que el criterio de la fecha de registro de entrada pueda causar perjuicios al colectivo potencialmente beneficiario de estas ayudas, se procederá al prorrateo entre los beneficiarios de la subvención del importe global máximo destinado a la misma. Todo ello sin perjuicio del límite establecido en los apartados anteriores.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e) Las subvenciones objeto de la presente convocatoria serán compatibles con otras subvenciones, ayudas, ingresos que se otorguen o se hayan otorgado para la misma  finalidad, procedentes de cualquier ente público o privado siempre que no se sobrepase el coste de la actuación subvencionada y sin perjuicio del que al respeto pudiera establecer la normativa reguladora de las otras subvenciones concurrentes.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f) El importe de las subvenciones reguladas en esta convocatoria en ningún caso podrá ser de tal cuantía que aisladamente o en concurrencia con subvenciones o ayudas otras administraciones públicas, u otros entes públicos o privados, supere el coste de la actividad subvencionada.</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b/>
          <w:b/>
          <w:sz w:val="24"/>
          <w:szCs w:val="24"/>
        </w:rPr>
      </w:pPr>
      <w:r>
        <w:rPr>
          <w:rFonts w:cs="Times New Roman" w:ascii="Bahnschrift Light" w:hAnsi="Bahnschrift Light"/>
          <w:b/>
          <w:sz w:val="24"/>
          <w:szCs w:val="24"/>
        </w:rPr>
        <w:t>VII.- GASTOS SUBVENCIONABLES</w:t>
      </w:r>
    </w:p>
    <w:p>
      <w:pPr>
        <w:pStyle w:val="Normal"/>
        <w:spacing w:lineRule="auto" w:line="240" w:before="0" w:after="0"/>
        <w:jc w:val="both"/>
        <w:rPr>
          <w:rFonts w:ascii="Bahnschrift Light" w:hAnsi="Bahnschrift Light" w:cs="Times New Roman"/>
          <w:b/>
          <w:b/>
          <w:sz w:val="24"/>
          <w:szCs w:val="24"/>
        </w:rPr>
      </w:pPr>
      <w:r>
        <w:rPr>
          <w:rFonts w:cs="Times New Roman" w:ascii="Bahnschrift Light" w:hAnsi="Bahnschrift Light"/>
          <w:b/>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 xml:space="preserve">7.1.- Se consideran subvencionables los gastos corrientes de la actividad entendidos como aquellos gastos periódicos (de vencimiento no superior al año) indispensables para el desarrollo y mantenimiento de actividad. Sin carácter exhaustivo, entre otros se trataría de: </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ind w:left="708" w:hanging="0"/>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Alquileres y rentings (local, vehículos, equipamiento de oficina...). En el caso del local comercial se deberá aportar contrato de arrendamiento en vigor. En todo caso, en los contratos de alquileres, como arrendatario deberá figurar el solicitante de la ayuda.</w:t>
      </w:r>
    </w:p>
    <w:p>
      <w:pPr>
        <w:pStyle w:val="Normal"/>
        <w:spacing w:lineRule="auto" w:line="240" w:before="0" w:after="0"/>
        <w:ind w:left="708" w:hanging="0"/>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 xml:space="preserve">Suministros: luz, teléfono, agua, gas, Internet, Wifi...vinculados al local donde se desarrolla la actividad económica. </w:t>
      </w:r>
    </w:p>
    <w:p>
      <w:pPr>
        <w:pStyle w:val="Normal"/>
        <w:spacing w:lineRule="auto" w:line="240" w:before="0" w:after="0"/>
        <w:ind w:left="708" w:hanging="0"/>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Primas de Seguros (responsabilidad civil, robo...) por un máximo de una anualidad.</w:t>
      </w:r>
    </w:p>
    <w:p>
      <w:pPr>
        <w:pStyle w:val="Normal"/>
        <w:spacing w:lineRule="auto" w:line="240" w:before="0" w:after="0"/>
        <w:ind w:left="708" w:hanging="0"/>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Servicios de profesionales independientes: gestores,consultores, informáticos...</w:t>
      </w:r>
    </w:p>
    <w:p>
      <w:pPr>
        <w:pStyle w:val="Normal"/>
        <w:spacing w:lineRule="auto" w:line="240" w:before="0" w:after="0"/>
        <w:ind w:left="708" w:hanging="0"/>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Gastos de publicidad vinculados a la actividad.</w:t>
      </w:r>
    </w:p>
    <w:p>
      <w:pPr>
        <w:pStyle w:val="Normal"/>
        <w:spacing w:lineRule="auto" w:line="240" w:before="0" w:after="0"/>
        <w:ind w:left="708" w:hanging="0"/>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Formación continua para mejora de la cualificación profesional.</w:t>
      </w:r>
    </w:p>
    <w:p>
      <w:pPr>
        <w:pStyle w:val="Normal"/>
        <w:spacing w:lineRule="auto" w:line="240" w:before="0" w:after="0"/>
        <w:ind w:left="708" w:hanging="0"/>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Reparaciones y conservación.</w:t>
      </w:r>
    </w:p>
    <w:p>
      <w:pPr>
        <w:pStyle w:val="Normal"/>
        <w:spacing w:lineRule="auto" w:line="240" w:before="0" w:after="0"/>
        <w:ind w:left="708" w:hanging="0"/>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Consumibles y material fungible de oficina.</w:t>
      </w:r>
    </w:p>
    <w:p>
      <w:pPr>
        <w:pStyle w:val="Normal"/>
        <w:spacing w:lineRule="auto" w:line="240" w:before="0" w:after="0"/>
        <w:ind w:left="708" w:hanging="0"/>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Gastos de desplazamientos y manutención.</w:t>
      </w:r>
    </w:p>
    <w:p>
      <w:pPr>
        <w:pStyle w:val="Normal"/>
        <w:spacing w:lineRule="auto" w:line="240" w:before="0" w:after="0"/>
        <w:ind w:left="708" w:hanging="0"/>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Cuotas efectivamente pagadas en concepto de cotización como trabajador por cuenta propia en el Régimen Especial de Trabajadores Autónomos (o en Mutualidades profesionales obligatorias).</w:t>
      </w:r>
    </w:p>
    <w:p>
      <w:pPr>
        <w:pStyle w:val="Normal"/>
        <w:spacing w:lineRule="auto" w:line="240" w:before="0" w:after="0"/>
        <w:ind w:left="708" w:hanging="0"/>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Cuotas de Seguridad Social a cargo de la empresa por sus trabajadores/as efectivamente pagadas.</w:t>
      </w:r>
    </w:p>
    <w:p>
      <w:pPr>
        <w:pStyle w:val="Normal"/>
        <w:spacing w:lineRule="auto" w:line="240" w:before="0" w:after="0"/>
        <w:ind w:left="708" w:hanging="0"/>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Gastos de intereses de hipotecas vinculadas a la adquisición del local comercial.</w:t>
      </w:r>
    </w:p>
    <w:p>
      <w:pPr>
        <w:pStyle w:val="Normal"/>
        <w:spacing w:lineRule="auto" w:line="240" w:before="0" w:after="0"/>
        <w:ind w:left="708" w:hanging="0"/>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Gastos de intereses de préstamos para la adquisición de vehículos afectos el 100% a la actividad económica.</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7.2.- Estos gastos podrán haberse realizado desde el día 1 de abril de 2020 hasta el momento de la solicitud y tendrán que ser acreditados y justificado su pago, como mínimo, en el importe de la ayuda que se solicita.</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 xml:space="preserve">7.3.- En aquellas actividades en las que IVA soportado sea deducible no será objeto de subvención al tener carácter de recuperable. </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7.4 No serán subvencionables intereses deudores de cuentas bancarias, así como intereses, recargos y sanciones administrativas y penales ni gastos en procedimientos judiciales.</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7.5.- La presentación de gastos justificados por debajo del importe mínimo que corresponda (2.000 euros por autónomo/a, más en su caso, la suma de la cuantía correspondiente por trabajadores/as en plantilla a 31 de diciembre de 2020) implicará la minoración de la ayuda a la cuantía justificada.</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7.6.- Estos gastos y su justificación no podrán haber sido presentados para la obtención y justificación de otras ayudas públicas.</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b/>
          <w:b/>
          <w:sz w:val="24"/>
          <w:szCs w:val="24"/>
        </w:rPr>
      </w:pPr>
      <w:r>
        <w:rPr>
          <w:rFonts w:cs="Times New Roman" w:ascii="Bahnschrift Light" w:hAnsi="Bahnschrift Light"/>
          <w:b/>
          <w:sz w:val="24"/>
          <w:szCs w:val="24"/>
        </w:rPr>
      </w:r>
    </w:p>
    <w:p>
      <w:pPr>
        <w:pStyle w:val="Normal"/>
        <w:spacing w:lineRule="auto" w:line="240" w:before="0" w:after="0"/>
        <w:jc w:val="both"/>
        <w:rPr>
          <w:rFonts w:ascii="Bahnschrift Light" w:hAnsi="Bahnschrift Light" w:cs="Times New Roman"/>
          <w:b/>
          <w:b/>
          <w:sz w:val="24"/>
          <w:szCs w:val="24"/>
        </w:rPr>
      </w:pPr>
      <w:r>
        <w:rPr>
          <w:rFonts w:cs="Times New Roman" w:ascii="Bahnschrift Light" w:hAnsi="Bahnschrift Light"/>
          <w:b/>
          <w:sz w:val="24"/>
          <w:szCs w:val="24"/>
        </w:rPr>
        <w:t>VIII.- SOLICITUDES Y PLAZO.</w:t>
      </w:r>
    </w:p>
    <w:p>
      <w:pPr>
        <w:pStyle w:val="Normal"/>
        <w:spacing w:lineRule="auto" w:line="240" w:before="0" w:after="0"/>
        <w:jc w:val="both"/>
        <w:rPr>
          <w:rFonts w:ascii="Bahnschrift Light" w:hAnsi="Bahnschrift Light" w:cs="Times New Roman"/>
          <w:b/>
          <w:b/>
          <w:sz w:val="24"/>
          <w:szCs w:val="24"/>
        </w:rPr>
      </w:pPr>
      <w:r>
        <w:rPr>
          <w:rFonts w:cs="Times New Roman" w:ascii="Bahnschrift Light" w:hAnsi="Bahnschrift Light"/>
          <w:b/>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 xml:space="preserve"> </w:t>
      </w:r>
      <w:r>
        <w:rPr>
          <w:rFonts w:cs="Times New Roman" w:ascii="Bahnschrift Light" w:hAnsi="Bahnschrift Light"/>
          <w:sz w:val="24"/>
          <w:szCs w:val="24"/>
        </w:rPr>
        <w:t>1.-El plazo de presentación de solicitudes será de 15 días  hábiles desde el día siguiente a la publicación de las presentes Normas Reguladoras.</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2.- Podrá presentarse un máximo de una solicitud por persona física o jurídica o entidad. En caso de presentarse más de una solicitud, sólo se tendrá en cuenta la primera presentada, teniendo en cuenta la fecha y hora de su entrada por el Registro General de Entrada del Ayuntamiento.</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 xml:space="preserve"> </w:t>
      </w:r>
      <w:r>
        <w:rPr>
          <w:rFonts w:cs="Times New Roman" w:ascii="Bahnschrift Light" w:hAnsi="Bahnschrift Light"/>
          <w:sz w:val="24"/>
          <w:szCs w:val="24"/>
        </w:rPr>
        <w:t xml:space="preserve">3.- La solicitud se realizará exclusivamente por medios electrónicos, en aplicación de lo que dispone el art.14.3 de la LPACP.  </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4.- No obstante, para aquellos potenciales beneficiarios/as que sean empresa individual (autónomos/as sin personalidad jurídica) y que no dispongan de certificado electrónico, se podrá solicitar a través de representante (gestor o persona conocida) que disponga de certificado electrónico cumplimentando la correspondiente autorización que estará disponible en el procedimiento.</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Style w:val="EnlacedeInternet"/>
          <w:rFonts w:ascii="Bahnschrift Light" w:hAnsi="Bahnschrift Light" w:cs="Times New Roman"/>
          <w:color w:val="FF0000"/>
          <w:sz w:val="24"/>
          <w:szCs w:val="24"/>
        </w:rPr>
      </w:pPr>
      <w:r>
        <w:rPr>
          <w:rFonts w:cs="Times New Roman" w:ascii="Bahnschrift Light" w:hAnsi="Bahnschrift Light"/>
          <w:sz w:val="24"/>
          <w:szCs w:val="24"/>
        </w:rPr>
        <w:t xml:space="preserve">5-.La solicitud telemática estará accesible en la sede electrónica del Ayuntamiento de San Miguel de Salinas   </w:t>
      </w:r>
      <w:r>
        <w:rPr>
          <w:rStyle w:val="EnlacedeInternet"/>
          <w:rFonts w:cs="Times New Roman" w:ascii="Bahnschrift Light" w:hAnsi="Bahnschrift Light"/>
          <w:color w:val="FF0000"/>
          <w:sz w:val="24"/>
          <w:szCs w:val="24"/>
        </w:rPr>
        <w:t xml:space="preserve">  https://sanmigueldesalinas.sedelectronica.es/dossier.1 </w:t>
      </w:r>
    </w:p>
    <w:p>
      <w:pPr>
        <w:pStyle w:val="Normal"/>
        <w:spacing w:lineRule="auto" w:line="240" w:before="0" w:after="0"/>
        <w:jc w:val="both"/>
        <w:rPr>
          <w:rStyle w:val="EnlacedeInternet"/>
          <w:rFonts w:ascii="Bahnschrift Light" w:hAnsi="Bahnschrift Light" w:cs="Times New Roman"/>
          <w:color w:val="FF0000"/>
          <w:sz w:val="24"/>
          <w:szCs w:val="24"/>
        </w:rPr>
      </w:pPr>
      <w:r>
        <w:rPr>
          <w:rFonts w:cs="Times New Roman" w:ascii="Bahnschrift Light" w:hAnsi="Bahnschrift Light"/>
          <w:color w:val="FF0000"/>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 xml:space="preserve">6.- Las solicitudes deberán ir acompañadas de la documentación correspondiente.  </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 xml:space="preserve">7.- A efectos de participación en la presente convocatoria, se considera que la propia suscripción de la solicitud de subvención por las entidades y personas susceptibles de ser beneficiarias, por sí mismas o por representante, implica la capacidad jurídica y de obrar necesaria para  solicitar la ayuda y permitir el acceso a las Plataformas de Interoperabilidad.  </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8.-La presentación de la solicitud de subvención fuera del plazo establecido   será causa de inadmisión.</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 xml:space="preserve"> </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b/>
          <w:b/>
          <w:sz w:val="24"/>
          <w:szCs w:val="24"/>
        </w:rPr>
      </w:pPr>
      <w:r>
        <w:rPr>
          <w:rFonts w:cs="Times New Roman" w:ascii="Bahnschrift Light" w:hAnsi="Bahnschrift Light"/>
          <w:b/>
          <w:sz w:val="24"/>
          <w:szCs w:val="24"/>
        </w:rPr>
        <w:t>IX.- DOCUMENTACION REQUERIDA PARA LA SOLICITUD.</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 xml:space="preserve">Al modelo normalizado de solicitud </w:t>
      </w:r>
      <w:r>
        <w:rPr>
          <w:rFonts w:cs="Times New Roman" w:ascii="Bahnschrift Light" w:hAnsi="Bahnschrift Light"/>
          <w:b/>
          <w:sz w:val="24"/>
          <w:szCs w:val="24"/>
        </w:rPr>
        <w:t>(ANEXO II)</w:t>
      </w:r>
      <w:r>
        <w:rPr>
          <w:rFonts w:cs="Times New Roman" w:ascii="Bahnschrift Light" w:hAnsi="Bahnschrift Light"/>
          <w:sz w:val="24"/>
          <w:szCs w:val="24"/>
        </w:rPr>
        <w:t>,se deberá acompañar la documentación siguiente:</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b/>
          <w:b/>
          <w:sz w:val="24"/>
          <w:szCs w:val="24"/>
        </w:rPr>
      </w:pPr>
      <w:r>
        <w:rPr>
          <w:rFonts w:cs="Times New Roman" w:ascii="Bahnschrift Light" w:hAnsi="Bahnschrift Light"/>
          <w:b/>
          <w:sz w:val="24"/>
          <w:szCs w:val="24"/>
        </w:rPr>
        <w:t>9.1.- Del beneficiario:</w:t>
      </w:r>
    </w:p>
    <w:p>
      <w:pPr>
        <w:pStyle w:val="Normal"/>
        <w:spacing w:lineRule="auto" w:line="240" w:before="0" w:after="0"/>
        <w:jc w:val="both"/>
        <w:rPr>
          <w:rFonts w:ascii="Bahnschrift Light" w:hAnsi="Bahnschrift Light" w:cs="Times New Roman"/>
          <w:b/>
          <w:b/>
          <w:sz w:val="24"/>
          <w:szCs w:val="24"/>
        </w:rPr>
      </w:pPr>
      <w:r>
        <w:rPr>
          <w:rFonts w:cs="Times New Roman" w:ascii="Bahnschrift Light" w:hAnsi="Bahnschrift Light"/>
          <w:b/>
          <w:sz w:val="24"/>
          <w:szCs w:val="24"/>
        </w:rPr>
      </w:r>
    </w:p>
    <w:p>
      <w:pPr>
        <w:pStyle w:val="ListParagraph"/>
        <w:numPr>
          <w:ilvl w:val="0"/>
          <w:numId w:val="1"/>
        </w:numPr>
        <w:spacing w:lineRule="auto" w:line="240" w:before="0" w:after="0"/>
        <w:contextualSpacing/>
        <w:jc w:val="both"/>
        <w:rPr>
          <w:rFonts w:ascii="Bahnschrift Light" w:hAnsi="Bahnschrift Light" w:cs="Times New Roman"/>
          <w:b/>
          <w:b/>
          <w:sz w:val="24"/>
          <w:szCs w:val="24"/>
        </w:rPr>
      </w:pPr>
      <w:r>
        <w:rPr>
          <w:rFonts w:cs="Times New Roman" w:ascii="Bahnschrift Light" w:hAnsi="Bahnschrift Light"/>
          <w:b/>
          <w:sz w:val="24"/>
          <w:szCs w:val="24"/>
        </w:rPr>
        <w:t>En el caso de empresa individual (autónomos/as):</w:t>
      </w:r>
    </w:p>
    <w:p>
      <w:pPr>
        <w:pStyle w:val="ListParagraph"/>
        <w:spacing w:lineRule="auto" w:line="240" w:before="0" w:after="0"/>
        <w:contextualSpacing/>
        <w:jc w:val="both"/>
        <w:rPr>
          <w:rFonts w:ascii="Bahnschrift Light" w:hAnsi="Bahnschrift Light" w:cs="Times New Roman"/>
          <w:b/>
          <w:b/>
          <w:sz w:val="24"/>
          <w:szCs w:val="24"/>
        </w:rPr>
      </w:pPr>
      <w:r>
        <w:rPr>
          <w:rFonts w:cs="Times New Roman" w:ascii="Bahnschrift Light" w:hAnsi="Bahnschrift Light"/>
          <w:b/>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ab/>
        <w:t>•Certificado actualizado de situación Censal de la Agencia Tributaria del autónomo/a, que indique la actividad económica con su fecha de alta, el domicilio fiscal y en su caso el local de desarrollo de la actividad.</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ab/>
        <w:t xml:space="preserve">•Resolución/certificación del alta en el Régimen Especial de Trabajadores </w:t>
        <w:tab/>
        <w:t>Autónomos o la Mutua profesional correspondiente.</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b/>
          <w:b/>
          <w:sz w:val="24"/>
          <w:szCs w:val="24"/>
        </w:rPr>
      </w:pPr>
      <w:r>
        <w:rPr>
          <w:rFonts w:cs="Times New Roman" w:ascii="Bahnschrift Light" w:hAnsi="Bahnschrift Light"/>
          <w:sz w:val="24"/>
          <w:szCs w:val="24"/>
        </w:rPr>
        <w:tab/>
        <w:t xml:space="preserve">•Sólo en el caso de tener contratados trabajadores y a efectos de acreditar su </w:t>
        <w:tab/>
        <w:t xml:space="preserve">número, TC/RNT correspondiente al mes de diciembre de 2020, con la relación </w:t>
        <w:tab/>
        <w:t xml:space="preserve">nominal de trabajadores en alta </w:t>
      </w:r>
      <w:r>
        <w:rPr>
          <w:rFonts w:cs="Times New Roman" w:ascii="Bahnschrift Light" w:hAnsi="Bahnschrift Light"/>
          <w:b/>
          <w:sz w:val="24"/>
          <w:szCs w:val="24"/>
        </w:rPr>
        <w:t>a 31 de diciembre de 2020.</w:t>
      </w:r>
    </w:p>
    <w:p>
      <w:pPr>
        <w:pStyle w:val="Normal"/>
        <w:spacing w:lineRule="auto" w:line="240" w:before="0" w:after="0"/>
        <w:jc w:val="both"/>
        <w:rPr>
          <w:rFonts w:ascii="Bahnschrift Light" w:hAnsi="Bahnschrift Light" w:cs="Times New Roman"/>
          <w:b/>
          <w:b/>
          <w:sz w:val="24"/>
          <w:szCs w:val="24"/>
        </w:rPr>
      </w:pPr>
      <w:r>
        <w:rPr>
          <w:rFonts w:cs="Times New Roman" w:ascii="Bahnschrift Light" w:hAnsi="Bahnschrift Light"/>
          <w:b/>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ab/>
        <w:t xml:space="preserve">•Sólo en el caso de tener autónomos/as colaboradores/as, : </w:t>
        <w:tab/>
        <w:t xml:space="preserve">Resolución/certificación del alta en el Régimen Especial de Trabajadores </w:t>
        <w:tab/>
        <w:t>Autónomos de los mismos/as.</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ab/>
        <w:t xml:space="preserve">•Datos Bancarios (en modelo normalizado   - </w:t>
      </w:r>
      <w:r>
        <w:rPr>
          <w:rFonts w:cs="Times New Roman" w:ascii="Bahnschrift Light" w:hAnsi="Bahnschrift Light"/>
          <w:b/>
          <w:sz w:val="24"/>
          <w:szCs w:val="24"/>
        </w:rPr>
        <w:t>Anexo III</w:t>
      </w:r>
      <w:r>
        <w:rPr>
          <w:rFonts w:cs="Times New Roman" w:ascii="Bahnschrift Light" w:hAnsi="Bahnschrift Light"/>
          <w:sz w:val="24"/>
          <w:szCs w:val="24"/>
        </w:rPr>
        <w:t xml:space="preserve">) </w:t>
        <w:tab/>
        <w:t xml:space="preserve">debidamente </w:t>
        <w:tab/>
        <w:t>cumplimentados.</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tab/>
        <w:t xml:space="preserve">•En su caso, Autorización de Representación conforme al modelo </w:t>
        <w:tab/>
      </w:r>
      <w:r>
        <w:rPr>
          <w:rFonts w:cs="Times New Roman" w:ascii="Bahnschrift Light" w:hAnsi="Bahnschrift Light"/>
          <w:b/>
          <w:sz w:val="24"/>
          <w:szCs w:val="24"/>
        </w:rPr>
        <w:t>ANEXO IV</w:t>
      </w:r>
      <w:r>
        <w:rPr>
          <w:rFonts w:cs="Times New Roman" w:ascii="Bahnschrift Light" w:hAnsi="Bahnschrift Light"/>
          <w:sz w:val="24"/>
          <w:szCs w:val="24"/>
        </w:rPr>
        <w:t xml:space="preserve">. </w:t>
        <w:tab/>
        <w:t xml:space="preserve">Sólo si se actúa en este procedimiento en representación de terceros. </w:t>
      </w:r>
    </w:p>
    <w:p>
      <w:pPr>
        <w:pStyle w:val="Normal"/>
        <w:spacing w:lineRule="auto" w:line="240" w:before="0" w:after="0"/>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numPr>
          <w:ilvl w:val="0"/>
          <w:numId w:val="1"/>
        </w:numPr>
        <w:spacing w:lineRule="auto" w:line="240" w:before="0" w:after="0"/>
        <w:contextualSpacing/>
        <w:jc w:val="both"/>
        <w:rPr>
          <w:rFonts w:ascii="Bahnschrift Light" w:hAnsi="Bahnschrift Light" w:cs="Times New Roman"/>
          <w:b/>
          <w:b/>
          <w:sz w:val="24"/>
          <w:szCs w:val="24"/>
        </w:rPr>
      </w:pPr>
      <w:r>
        <w:rPr>
          <w:rFonts w:cs="Times New Roman" w:ascii="Bahnschrift Light" w:hAnsi="Bahnschrift Light"/>
          <w:b/>
          <w:sz w:val="24"/>
          <w:szCs w:val="24"/>
        </w:rPr>
        <w:t>En el caso de microempresas (sociedades limitadas, sociedades anónimas ).</w:t>
      </w:r>
    </w:p>
    <w:p>
      <w:pPr>
        <w:pStyle w:val="ListParagraph"/>
        <w:spacing w:lineRule="auto" w:line="240" w:before="0" w:after="0"/>
        <w:ind w:left="785" w:hanging="0"/>
        <w:contextualSpacing/>
        <w:jc w:val="both"/>
        <w:rPr>
          <w:rFonts w:ascii="Bahnschrift Light" w:hAnsi="Bahnschrift Light" w:cs="Times New Roman"/>
          <w:b/>
          <w:b/>
          <w:sz w:val="24"/>
          <w:szCs w:val="24"/>
        </w:rPr>
      </w:pPr>
      <w:r>
        <w:rPr>
          <w:rFonts w:cs="Times New Roman" w:ascii="Bahnschrift Light" w:hAnsi="Bahnschrift Light"/>
          <w:b/>
          <w:sz w:val="24"/>
          <w:szCs w:val="24"/>
        </w:rPr>
      </w:r>
    </w:p>
    <w:p>
      <w:pPr>
        <w:pStyle w:val="ListParagraph"/>
        <w:spacing w:lineRule="auto" w:line="240" w:before="0" w:after="0"/>
        <w:ind w:left="785" w:hanging="0"/>
        <w:contextualSpacing/>
        <w:jc w:val="both"/>
        <w:rPr>
          <w:rFonts w:ascii="Bahnschrift Light" w:hAnsi="Bahnschrift Light" w:cs="Times New Roman"/>
          <w:sz w:val="24"/>
          <w:szCs w:val="24"/>
        </w:rPr>
      </w:pPr>
      <w:r>
        <w:rPr>
          <w:rFonts w:cs="Times New Roman" w:ascii="Bahnschrift Light" w:hAnsi="Bahnschrift Light"/>
          <w:b/>
          <w:sz w:val="24"/>
          <w:szCs w:val="24"/>
        </w:rPr>
        <w:t>•</w:t>
      </w:r>
      <w:r>
        <w:rPr>
          <w:rFonts w:cs="Times New Roman" w:ascii="Bahnschrift Light" w:hAnsi="Bahnschrift Light"/>
          <w:sz w:val="24"/>
          <w:szCs w:val="24"/>
        </w:rPr>
        <w:t>Certificado actualizado de Situación Censal de la Agencia Tributaria de la persona jurídica que indique la actividad económica con su fecha de alta, el domicilio fiscal y en su caso el local de desarrollo de la actividad.</w:t>
      </w:r>
    </w:p>
    <w:p>
      <w:pPr>
        <w:pStyle w:val="ListParagraph"/>
        <w:spacing w:lineRule="auto" w:line="240" w:before="0" w:after="0"/>
        <w:ind w:left="785"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785" w:hanging="0"/>
        <w:contextualSpacing/>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 xml:space="preserve">Resolución/certificación del alta en el Régimen Especial de Trabajadores Autónomos o la Mutua profesional correspondiente o alta en régimen de seguridad social correspondiente de los socios titulares. </w:t>
      </w:r>
    </w:p>
    <w:p>
      <w:pPr>
        <w:pStyle w:val="ListParagraph"/>
        <w:spacing w:lineRule="auto" w:line="240" w:before="0" w:after="0"/>
        <w:ind w:left="785"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785" w:hanging="0"/>
        <w:contextualSpacing/>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Sólo en el caso de tener contratados trabajadores y a efectos de acreditar su número, TC correspondiente al mes de diciembre de 2020, con la relación nominal de trabajadores en alta a 31 de diciembre de 2020.</w:t>
      </w:r>
    </w:p>
    <w:p>
      <w:pPr>
        <w:pStyle w:val="ListParagraph"/>
        <w:spacing w:lineRule="auto" w:line="240" w:before="0" w:after="0"/>
        <w:ind w:left="785"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785" w:hanging="0"/>
        <w:contextualSpacing/>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Informe de Vida Laboral de la Empresa expedido por la Tesorería de la Seguridad Social a fecha 31 de diciembre de 2020.</w:t>
      </w:r>
    </w:p>
    <w:p>
      <w:pPr>
        <w:pStyle w:val="ListParagraph"/>
        <w:spacing w:lineRule="auto" w:line="240" w:before="0" w:after="0"/>
        <w:ind w:left="785"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785" w:hanging="0"/>
        <w:contextualSpacing/>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Datos Bancarios (en modelo normalizado-</w:t>
      </w:r>
      <w:r>
        <w:rPr>
          <w:rFonts w:cs="Times New Roman" w:ascii="Bahnschrift Light" w:hAnsi="Bahnschrift Light"/>
          <w:color w:val="00B050"/>
          <w:sz w:val="24"/>
          <w:szCs w:val="24"/>
        </w:rPr>
        <w:t xml:space="preserve"> </w:t>
      </w:r>
      <w:r>
        <w:rPr>
          <w:rFonts w:cs="Times New Roman" w:ascii="Bahnschrift Light" w:hAnsi="Bahnschrift Light"/>
          <w:sz w:val="24"/>
          <w:szCs w:val="24"/>
        </w:rPr>
        <w:t>Anexo III) debidamente cumplimentados.</w:t>
      </w:r>
    </w:p>
    <w:p>
      <w:pPr>
        <w:pStyle w:val="ListParagraph"/>
        <w:spacing w:lineRule="auto" w:line="240" w:before="0" w:after="0"/>
        <w:ind w:left="785"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785"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0" w:hanging="0"/>
        <w:contextualSpacing/>
        <w:jc w:val="both"/>
        <w:rPr>
          <w:rFonts w:ascii="Bahnschrift Light" w:hAnsi="Bahnschrift Light" w:cs="Times New Roman"/>
          <w:b/>
          <w:b/>
          <w:sz w:val="24"/>
          <w:szCs w:val="24"/>
        </w:rPr>
      </w:pPr>
      <w:r>
        <w:rPr>
          <w:rFonts w:cs="Times New Roman" w:ascii="Bahnschrift Light" w:hAnsi="Bahnschrift Light"/>
          <w:b/>
          <w:sz w:val="24"/>
          <w:szCs w:val="24"/>
        </w:rPr>
        <w:t>9.2-De los gastos subvencionables.</w:t>
      </w:r>
    </w:p>
    <w:p>
      <w:pPr>
        <w:pStyle w:val="ListParagraph"/>
        <w:spacing w:lineRule="auto" w:line="240" w:before="0" w:after="0"/>
        <w:ind w:left="708" w:hanging="0"/>
        <w:contextualSpacing/>
        <w:jc w:val="both"/>
        <w:rPr>
          <w:rFonts w:ascii="Bahnschrift Light" w:hAnsi="Bahnschrift Light" w:cs="Times New Roman"/>
          <w:b/>
          <w:b/>
          <w:sz w:val="24"/>
          <w:szCs w:val="24"/>
        </w:rPr>
      </w:pPr>
      <w:r>
        <w:rPr>
          <w:rFonts w:cs="Times New Roman" w:ascii="Bahnschrift Light" w:hAnsi="Bahnschrift Light"/>
          <w:b/>
          <w:sz w:val="24"/>
          <w:szCs w:val="24"/>
        </w:rPr>
      </w:r>
    </w:p>
    <w:p>
      <w:pPr>
        <w:pStyle w:val="ListParagraph"/>
        <w:numPr>
          <w:ilvl w:val="0"/>
          <w:numId w:val="2"/>
        </w:numPr>
        <w:spacing w:lineRule="auto" w:line="240" w:before="0" w:after="0"/>
        <w:contextualSpacing/>
        <w:jc w:val="both"/>
        <w:rPr>
          <w:rFonts w:ascii="Bahnschrift Light" w:hAnsi="Bahnschrift Light" w:cs="Times New Roman"/>
          <w:sz w:val="24"/>
          <w:szCs w:val="24"/>
        </w:rPr>
      </w:pPr>
      <w:r>
        <w:rPr>
          <w:rFonts w:cs="Times New Roman" w:ascii="Bahnschrift Light" w:hAnsi="Bahnschrift Light"/>
          <w:sz w:val="24"/>
          <w:szCs w:val="24"/>
        </w:rPr>
        <w:t xml:space="preserve">A la anterior documentación y a efectos de determinar la cuantía de la subvención a otorgar en función de los gastos realizados, se deberán añadir los documentos justificativos del gasto y su pago, </w:t>
      </w:r>
      <w:r>
        <w:rPr>
          <w:rFonts w:cs="Times New Roman" w:ascii="Bahnschrift Light" w:hAnsi="Bahnschrift Light"/>
          <w:b/>
          <w:sz w:val="24"/>
          <w:szCs w:val="24"/>
        </w:rPr>
        <w:t>teniendo en cuenta que se admitirán los realizados desde el 1 de abril de 2020</w:t>
      </w:r>
      <w:r>
        <w:rPr>
          <w:rFonts w:cs="Times New Roman" w:ascii="Bahnschrift Light" w:hAnsi="Bahnschrift Light"/>
          <w:sz w:val="24"/>
          <w:szCs w:val="24"/>
        </w:rPr>
        <w:t>.</w:t>
      </w:r>
    </w:p>
    <w:p>
      <w:pPr>
        <w:pStyle w:val="ListParagraph"/>
        <w:spacing w:lineRule="auto" w:line="240" w:before="0" w:after="0"/>
        <w:ind w:left="36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numPr>
          <w:ilvl w:val="0"/>
          <w:numId w:val="2"/>
        </w:numPr>
        <w:spacing w:lineRule="auto" w:line="240" w:before="0" w:after="0"/>
        <w:contextualSpacing/>
        <w:jc w:val="both"/>
        <w:rPr>
          <w:rFonts w:ascii="Bahnschrift Light" w:hAnsi="Bahnschrift Light" w:cs="Times New Roman"/>
          <w:sz w:val="24"/>
          <w:szCs w:val="24"/>
        </w:rPr>
      </w:pPr>
      <w:r>
        <w:rPr>
          <w:rFonts w:cs="Times New Roman" w:ascii="Bahnschrift Light" w:hAnsi="Bahnschrift Light"/>
          <w:sz w:val="24"/>
          <w:szCs w:val="24"/>
        </w:rPr>
        <w:t xml:space="preserve">Se deberán aportar facturas o documentos equivalentes acreditativos  del gasto realizado. Estos documentos justificativos deberán ir acompañados de los justificantes acreditativos de pago (copia transferencia bancaria, resguardo de pago, copia talón...) y cumplimentar la cuenta justificativa (en modelo normalizado </w:t>
      </w:r>
      <w:r>
        <w:rPr>
          <w:rFonts w:cs="Times New Roman" w:ascii="Bahnschrift Light" w:hAnsi="Bahnschrift Light"/>
          <w:b/>
          <w:color w:val="00B050"/>
          <w:sz w:val="24"/>
          <w:szCs w:val="24"/>
        </w:rPr>
        <w:t xml:space="preserve"> </w:t>
      </w:r>
      <w:r>
        <w:rPr>
          <w:rFonts w:cs="Times New Roman" w:ascii="Bahnschrift Light" w:hAnsi="Bahnschrift Light"/>
          <w:b/>
          <w:sz w:val="24"/>
          <w:szCs w:val="24"/>
        </w:rPr>
        <w:t>ANEXO V</w:t>
      </w:r>
      <w:r>
        <w:rPr>
          <w:rFonts w:cs="Times New Roman" w:ascii="Bahnschrift Light" w:hAnsi="Bahnschrift Light"/>
          <w:sz w:val="24"/>
          <w:szCs w:val="24"/>
        </w:rPr>
        <w:t xml:space="preserve"> de  Justificación).  </w:t>
      </w:r>
    </w:p>
    <w:p>
      <w:pPr>
        <w:pStyle w:val="ListParagraph"/>
        <w:rPr>
          <w:rFonts w:ascii="Bahnschrift Light" w:hAnsi="Bahnschrift Light" w:cs="Times New Roman"/>
          <w:sz w:val="24"/>
          <w:szCs w:val="24"/>
        </w:rPr>
      </w:pPr>
      <w:r>
        <w:rPr>
          <w:rFonts w:cs="Times New Roman" w:ascii="Bahnschrift Light" w:hAnsi="Bahnschrift Light"/>
          <w:sz w:val="24"/>
          <w:szCs w:val="24"/>
        </w:rPr>
      </w:r>
    </w:p>
    <w:p>
      <w:pPr>
        <w:pStyle w:val="ListParagraph"/>
        <w:numPr>
          <w:ilvl w:val="0"/>
          <w:numId w:val="2"/>
        </w:numPr>
        <w:spacing w:lineRule="auto" w:line="240" w:before="0" w:after="0"/>
        <w:contextualSpacing/>
        <w:jc w:val="both"/>
        <w:rPr>
          <w:rFonts w:ascii="Bahnschrift Light" w:hAnsi="Bahnschrift Light" w:cs="Times New Roman"/>
          <w:sz w:val="24"/>
          <w:szCs w:val="24"/>
        </w:rPr>
      </w:pPr>
      <w:r>
        <w:rPr>
          <w:rFonts w:cs="Times New Roman" w:ascii="Bahnschrift Light" w:hAnsi="Bahnschrift Light"/>
          <w:sz w:val="24"/>
          <w:szCs w:val="24"/>
        </w:rPr>
        <w:t>Los gastos se acreditarán mediante facturas y demás documentos de valor probatorio equivalente con validez en el tráfico mercantil. Las facturas deben estar emitidas a nombre de la persona o empresa solicitante de la ayuda y deberán ajustarse a los requisitos establecido en el Real Decreto 1619/2012 por el que se regulan las obligaciones de facturación. En concreto deberán contener la siguiente información:</w:t>
      </w:r>
    </w:p>
    <w:p>
      <w:pPr>
        <w:pStyle w:val="ListParagraph"/>
        <w:rPr>
          <w:rFonts w:ascii="Bahnschrift Light" w:hAnsi="Bahnschrift Light" w:cs="Times New Roman"/>
          <w:sz w:val="24"/>
          <w:szCs w:val="24"/>
        </w:rPr>
      </w:pPr>
      <w:r>
        <w:rPr>
          <w:rFonts w:cs="Times New Roman" w:ascii="Bahnschrift Light" w:hAnsi="Bahnschrift Light"/>
          <w:sz w:val="24"/>
          <w:szCs w:val="24"/>
        </w:rPr>
      </w:r>
    </w:p>
    <w:p>
      <w:pPr>
        <w:pStyle w:val="ListParagraph"/>
        <w:numPr>
          <w:ilvl w:val="0"/>
          <w:numId w:val="3"/>
        </w:numPr>
        <w:spacing w:lineRule="auto" w:line="240" w:before="0" w:after="0"/>
        <w:contextualSpacing/>
        <w:jc w:val="both"/>
        <w:rPr>
          <w:rFonts w:ascii="Bahnschrift Light" w:hAnsi="Bahnschrift Light" w:cs="Times New Roman"/>
          <w:sz w:val="24"/>
          <w:szCs w:val="24"/>
        </w:rPr>
      </w:pPr>
      <w:r>
        <w:rPr>
          <w:rFonts w:cs="Times New Roman" w:ascii="Bahnschrift Light" w:hAnsi="Bahnschrift Light"/>
          <w:sz w:val="24"/>
          <w:szCs w:val="24"/>
        </w:rPr>
        <w:t>Número de factura y fecha de expedición.</w:t>
      </w:r>
    </w:p>
    <w:p>
      <w:pPr>
        <w:pStyle w:val="ListParagraph"/>
        <w:numPr>
          <w:ilvl w:val="0"/>
          <w:numId w:val="3"/>
        </w:numPr>
        <w:spacing w:lineRule="auto" w:line="240" w:before="0" w:after="0"/>
        <w:contextualSpacing/>
        <w:jc w:val="both"/>
        <w:rPr>
          <w:rFonts w:ascii="Bahnschrift Light" w:hAnsi="Bahnschrift Light" w:cs="Times New Roman"/>
          <w:sz w:val="24"/>
          <w:szCs w:val="24"/>
        </w:rPr>
      </w:pPr>
      <w:r>
        <w:rPr>
          <w:rFonts w:cs="Times New Roman" w:ascii="Bahnschrift Light" w:hAnsi="Bahnschrift Light"/>
          <w:sz w:val="24"/>
          <w:szCs w:val="24"/>
        </w:rPr>
        <w:t>Nombre y apellidos, razón o denominación social completa, número de identificación fiscal y domicilio del proveedor/a.</w:t>
      </w:r>
    </w:p>
    <w:p>
      <w:pPr>
        <w:pStyle w:val="ListParagraph"/>
        <w:numPr>
          <w:ilvl w:val="0"/>
          <w:numId w:val="3"/>
        </w:numPr>
        <w:spacing w:lineRule="auto" w:line="240" w:before="0" w:after="0"/>
        <w:contextualSpacing/>
        <w:jc w:val="both"/>
        <w:rPr>
          <w:rFonts w:ascii="Bahnschrift Light" w:hAnsi="Bahnschrift Light" w:cs="Times New Roman"/>
          <w:sz w:val="24"/>
          <w:szCs w:val="24"/>
        </w:rPr>
      </w:pPr>
      <w:r>
        <w:rPr>
          <w:rFonts w:cs="Times New Roman" w:ascii="Bahnschrift Light" w:hAnsi="Bahnschrift Light"/>
          <w:sz w:val="24"/>
          <w:szCs w:val="24"/>
        </w:rPr>
        <w:t>Concepto del gasto y su importe, incluyendo el precio unitario sin impuestos, así como cualquier descuento o rebaja.</w:t>
      </w:r>
    </w:p>
    <w:p>
      <w:pPr>
        <w:pStyle w:val="ListParagraph"/>
        <w:numPr>
          <w:ilvl w:val="0"/>
          <w:numId w:val="3"/>
        </w:numPr>
        <w:spacing w:lineRule="auto" w:line="240" w:before="0" w:after="0"/>
        <w:contextualSpacing/>
        <w:jc w:val="both"/>
        <w:rPr>
          <w:rFonts w:ascii="Bahnschrift Light" w:hAnsi="Bahnschrift Light" w:cs="Times New Roman"/>
          <w:sz w:val="24"/>
          <w:szCs w:val="24"/>
        </w:rPr>
      </w:pPr>
      <w:r>
        <w:rPr>
          <w:rFonts w:cs="Times New Roman" w:ascii="Bahnschrift Light" w:hAnsi="Bahnschrift Light"/>
          <w:sz w:val="24"/>
          <w:szCs w:val="24"/>
        </w:rPr>
        <w:t>El tipo impositivo o tipos impositivos, en su caso, aplicados a las operaciones, según corresponda.</w:t>
      </w:r>
    </w:p>
    <w:p>
      <w:pPr>
        <w:pStyle w:val="ListParagraph"/>
        <w:spacing w:lineRule="auto" w:line="240" w:before="0" w:after="0"/>
        <w:ind w:left="180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numPr>
          <w:ilvl w:val="0"/>
          <w:numId w:val="2"/>
        </w:numPr>
        <w:spacing w:lineRule="auto" w:line="240" w:before="0" w:after="0"/>
        <w:contextualSpacing/>
        <w:jc w:val="both"/>
        <w:rPr>
          <w:rFonts w:ascii="Bahnschrift Light" w:hAnsi="Bahnschrift Light" w:cs="Times New Roman"/>
          <w:sz w:val="24"/>
          <w:szCs w:val="24"/>
        </w:rPr>
      </w:pPr>
      <w:r>
        <w:rPr>
          <w:rFonts w:cs="Times New Roman" w:ascii="Bahnschrift Light" w:hAnsi="Bahnschrift Light"/>
          <w:sz w:val="24"/>
          <w:szCs w:val="24"/>
        </w:rPr>
        <w:t>En ningún caso se admitirán como justificantes de gastos, los albaranes, las notas de entrega, ni las facturas proforma.</w:t>
      </w:r>
    </w:p>
    <w:p>
      <w:pPr>
        <w:pStyle w:val="ListParagraph"/>
        <w:spacing w:lineRule="auto" w:line="240" w:before="0" w:after="0"/>
        <w:ind w:left="36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numPr>
          <w:ilvl w:val="0"/>
          <w:numId w:val="2"/>
        </w:numPr>
        <w:spacing w:lineRule="auto" w:line="240" w:before="0" w:after="0"/>
        <w:contextualSpacing/>
        <w:jc w:val="both"/>
        <w:rPr>
          <w:rFonts w:ascii="Bahnschrift Light" w:hAnsi="Bahnschrift Light" w:cs="Times New Roman"/>
          <w:sz w:val="24"/>
          <w:szCs w:val="24"/>
        </w:rPr>
      </w:pPr>
      <w:r>
        <w:rPr>
          <w:rFonts w:cs="Times New Roman" w:ascii="Bahnschrift Light" w:hAnsi="Bahnschrift Light"/>
          <w:sz w:val="24"/>
          <w:szCs w:val="24"/>
        </w:rPr>
        <w:t>Respecto a la justificación del pago, serán subvencionables los gastos efectivamente pagados entre el 1 de abril de 2020 y la fecha de presentación de la solicitud y atendiendo a la forma de pago, la justificación debe efectuarse con la documentación que se indica a continuación:</w:t>
      </w:r>
    </w:p>
    <w:p>
      <w:pPr>
        <w:pStyle w:val="ListParagrap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1416" w:hanging="0"/>
        <w:contextualSpacing/>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transferencia bancaria: se justificará mediante extracto bancario en que figure registrado el gasto, donde se identifique el receptor del pago y su coincidencia con el emisor de la factura o documento justificativo del gasto.</w:t>
      </w:r>
    </w:p>
    <w:p>
      <w:pPr>
        <w:pStyle w:val="ListParagraph"/>
        <w:spacing w:lineRule="auto" w:line="240" w:before="0" w:after="0"/>
        <w:ind w:left="1416" w:hanging="0"/>
        <w:contextualSpacing/>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domiciliación bancaria: se justificará mediante la notificación bancaria del adeudo o copia de extracto bancario en que figure el gasto.</w:t>
      </w:r>
    </w:p>
    <w:p>
      <w:pPr>
        <w:pStyle w:val="ListParagraph"/>
        <w:spacing w:lineRule="auto" w:line="240" w:before="0" w:after="0"/>
        <w:ind w:left="1416" w:hanging="0"/>
        <w:contextualSpacing/>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cheque: se justificará mediante copia del cheque emitido a nombre del proveedor/a que emite la factura y copia de extracto bancario en que figure el gasto.</w:t>
      </w:r>
    </w:p>
    <w:p>
      <w:pPr>
        <w:pStyle w:val="ListParagraph"/>
        <w:spacing w:lineRule="auto" w:line="240" w:before="0" w:after="0"/>
        <w:ind w:left="1416" w:hanging="0"/>
        <w:contextualSpacing/>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pagos con tarjeta: se justificará mediante el documento de cargo del pago en la cuenta bancaria donde se identifique el receptor del pago y su coincidencia con el emisor de la factura o documento justificativo del gasto. En el caso de tratarse de personas jurídicas, sociedad civil, comunidad de bienes u otras entidades económicas sin personalidad jurídica: no se aceptarán pagos realizados mediante tarjetas que no están a nombre de la entidad.</w:t>
      </w:r>
    </w:p>
    <w:p>
      <w:pPr>
        <w:pStyle w:val="ListParagraph"/>
        <w:spacing w:lineRule="auto" w:line="240" w:before="0" w:after="0"/>
        <w:ind w:left="1416" w:hanging="0"/>
        <w:contextualSpacing/>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Sólo se admiten excepcionalmente pagos en efectivo de facturas hasta un importe máximo de 300€ IVA excluido, en el que conste "Recibí en efectivo” y la identificación del perceptor.</w:t>
      </w:r>
    </w:p>
    <w:p>
      <w:pPr>
        <w:pStyle w:val="ListParagraph"/>
        <w:spacing w:lineRule="auto" w:line="240" w:before="0" w:after="0"/>
        <w:ind w:left="1416" w:hanging="0"/>
        <w:contextualSpacing/>
        <w:jc w:val="both"/>
        <w:rPr>
          <w:rFonts w:ascii="Bahnschrift Light" w:hAnsi="Bahnschrift Light" w:cs="Times New Roman"/>
          <w:sz w:val="24"/>
          <w:szCs w:val="24"/>
        </w:rPr>
      </w:pPr>
      <w:r>
        <w:rPr>
          <w:rFonts w:cs="Times New Roman" w:ascii="Bahnschrift Light" w:hAnsi="Bahnschrift Light"/>
          <w:sz w:val="24"/>
          <w:szCs w:val="24"/>
        </w:rPr>
        <w:t>•</w:t>
      </w:r>
      <w:r>
        <w:rPr>
          <w:rFonts w:cs="Times New Roman" w:ascii="Bahnschrift Light" w:hAnsi="Bahnschrift Light"/>
          <w:sz w:val="24"/>
          <w:szCs w:val="24"/>
        </w:rPr>
        <w:t>Cualquier otro medio de justificación de pago admitido en derecho.</w:t>
      </w:r>
    </w:p>
    <w:p>
      <w:pPr>
        <w:pStyle w:val="ListParagraph"/>
        <w:spacing w:lineRule="auto" w:line="240" w:before="0" w:after="0"/>
        <w:ind w:left="1416"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numPr>
          <w:ilvl w:val="0"/>
          <w:numId w:val="2"/>
        </w:numPr>
        <w:spacing w:lineRule="auto" w:line="240" w:before="0" w:after="0"/>
        <w:contextualSpacing/>
        <w:jc w:val="both"/>
        <w:rPr>
          <w:rFonts w:ascii="Bahnschrift Light" w:hAnsi="Bahnschrift Light" w:cs="Times New Roman"/>
          <w:sz w:val="24"/>
          <w:szCs w:val="24"/>
        </w:rPr>
      </w:pPr>
      <w:r>
        <w:rPr>
          <w:rFonts w:cs="Times New Roman" w:ascii="Bahnschrift Light" w:hAnsi="Bahnschrift Light"/>
          <w:sz w:val="24"/>
          <w:szCs w:val="24"/>
        </w:rPr>
        <w:t>De las facturas y del resto de documentos debe deducirse de forma indubitada que se relacionan directamente con la actividad empresarial del/la solicitante.</w:t>
      </w:r>
    </w:p>
    <w:p>
      <w:pPr>
        <w:pStyle w:val="ListParagraph"/>
        <w:spacing w:lineRule="auto" w:line="240" w:before="0" w:after="0"/>
        <w:ind w:left="36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numPr>
          <w:ilvl w:val="0"/>
          <w:numId w:val="2"/>
        </w:numPr>
        <w:spacing w:lineRule="auto" w:line="240" w:before="0" w:after="0"/>
        <w:contextualSpacing/>
        <w:jc w:val="both"/>
        <w:rPr>
          <w:rFonts w:ascii="Bahnschrift Light" w:hAnsi="Bahnschrift Light" w:cs="Times New Roman"/>
          <w:sz w:val="24"/>
          <w:szCs w:val="24"/>
        </w:rPr>
      </w:pPr>
      <w:r>
        <w:rPr>
          <w:rFonts w:cs="Times New Roman" w:ascii="Bahnschrift Light" w:hAnsi="Bahnschrift Light"/>
          <w:sz w:val="24"/>
          <w:szCs w:val="24"/>
        </w:rPr>
        <w:t>El Ayuntamiento podrá requerir en cualquier momento que presente los documentos originales objeto de justificación de la subvención.</w:t>
      </w:r>
    </w:p>
    <w:p>
      <w:pPr>
        <w:pStyle w:val="ListParagrap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b/>
          <w:sz w:val="24"/>
          <w:szCs w:val="24"/>
        </w:rPr>
        <w:t xml:space="preserve">9.3- Declaraciones responsables incluidas en ANEXO VI </w:t>
      </w:r>
      <w:r>
        <w:rPr>
          <w:rFonts w:cs="Times New Roman" w:ascii="Bahnschrift Light" w:hAnsi="Bahnschrift Light"/>
          <w:sz w:val="24"/>
          <w:szCs w:val="24"/>
        </w:rPr>
        <w:t>:</w:t>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Normal"/>
        <w:jc w:val="both"/>
        <w:rPr>
          <w:rFonts w:ascii="Bahnschrift Light" w:hAnsi="Bahnschrift Light" w:cs="Times New Roman"/>
          <w:sz w:val="24"/>
          <w:szCs w:val="24"/>
        </w:rPr>
      </w:pPr>
      <w:r>
        <w:rPr>
          <w:rFonts w:cs="Times New Roman" w:ascii="Bahnschrift Light" w:hAnsi="Bahnschrift Light"/>
          <w:sz w:val="24"/>
          <w:szCs w:val="24"/>
        </w:rPr>
        <w:t xml:space="preserve">• </w:t>
      </w:r>
      <w:r>
        <w:rPr>
          <w:rFonts w:cs="Times New Roman" w:ascii="Bahnschrift Light" w:hAnsi="Bahnschrift Light"/>
          <w:sz w:val="24"/>
          <w:szCs w:val="24"/>
        </w:rPr>
        <w:t>Que se ha realizado la actividad y cumplido con las condiciones y finalidad de la subvención.</w:t>
      </w:r>
    </w:p>
    <w:p>
      <w:pPr>
        <w:pStyle w:val="Normal"/>
        <w:jc w:val="both"/>
        <w:rPr>
          <w:rFonts w:ascii="Bahnschrift Light" w:hAnsi="Bahnschrift Light" w:cs="Times New Roman"/>
          <w:sz w:val="24"/>
          <w:szCs w:val="24"/>
        </w:rPr>
      </w:pPr>
      <w:r>
        <w:rPr>
          <w:rFonts w:cs="Times New Roman" w:ascii="Bahnschrift Light" w:hAnsi="Bahnschrift Light"/>
          <w:sz w:val="24"/>
          <w:szCs w:val="24"/>
        </w:rPr>
        <w:t xml:space="preserve">• </w:t>
      </w:r>
      <w:r>
        <w:rPr>
          <w:rFonts w:cs="Times New Roman" w:ascii="Bahnschrift Light" w:hAnsi="Bahnschrift Light"/>
          <w:sz w:val="24"/>
          <w:szCs w:val="24"/>
        </w:rPr>
        <w:t>Que los datos que se señalan  son exactos y veraces.</w:t>
      </w:r>
    </w:p>
    <w:p>
      <w:pPr>
        <w:pStyle w:val="Normal"/>
        <w:jc w:val="both"/>
        <w:rPr>
          <w:rFonts w:ascii="Bahnschrift Light" w:hAnsi="Bahnschrift Light" w:cs="Times New Roman"/>
          <w:sz w:val="24"/>
          <w:szCs w:val="24"/>
        </w:rPr>
      </w:pPr>
      <w:r>
        <w:rPr>
          <w:rFonts w:cs="Times New Roman" w:ascii="Bahnschrift Light" w:hAnsi="Bahnschrift Light"/>
          <w:sz w:val="24"/>
          <w:szCs w:val="24"/>
        </w:rPr>
        <w:t xml:space="preserve">• </w:t>
      </w:r>
      <w:r>
        <w:rPr>
          <w:rFonts w:cs="Times New Roman" w:ascii="Bahnschrift Light" w:hAnsi="Bahnschrift Light"/>
          <w:sz w:val="24"/>
          <w:szCs w:val="24"/>
        </w:rPr>
        <w:t>Que las facturas y/o documentos de valor probatorio equivalente en el tráfico jurídico mercantil o con eficacia administrativa aportadas son originales y se custodiarán el tiempo legalmente establecido.</w:t>
      </w:r>
    </w:p>
    <w:p>
      <w:pPr>
        <w:pStyle w:val="Normal"/>
        <w:jc w:val="both"/>
        <w:rPr>
          <w:rFonts w:ascii="Bahnschrift Light" w:hAnsi="Bahnschrift Light" w:cs="Times New Roman"/>
          <w:sz w:val="24"/>
          <w:szCs w:val="24"/>
        </w:rPr>
      </w:pPr>
      <w:r>
        <w:rPr>
          <w:rFonts w:cs="Times New Roman" w:ascii="Bahnschrift Light" w:hAnsi="Bahnschrift Light"/>
          <w:sz w:val="24"/>
          <w:szCs w:val="24"/>
        </w:rPr>
        <w:t xml:space="preserve">• </w:t>
      </w:r>
      <w:r>
        <w:rPr>
          <w:rFonts w:cs="Times New Roman" w:ascii="Bahnschrift Light" w:hAnsi="Bahnschrift Light"/>
          <w:sz w:val="24"/>
          <w:szCs w:val="24"/>
        </w:rPr>
        <w:t>Que las facturas y documentos relacionados sólo se han presentado ante el Ayuntamiento de  San Miguel de Salinas y para justificar la ayuda. En el caso de que alguna de las facturas y/o documentos relacionados hayan sido presentados y/o imputados a otras subvenciones, ayudas, ingresos o recursos, se han detallado los importes concedidos y su procedencia. Que se compromete a no presentar tales gastos ni justificantes presentados para la obtención y justificación de otras ayudas públicas.</w:t>
      </w:r>
    </w:p>
    <w:p>
      <w:pPr>
        <w:pStyle w:val="Normal"/>
        <w:jc w:val="both"/>
        <w:rPr>
          <w:rFonts w:ascii="Bahnschrift Light" w:hAnsi="Bahnschrift Light" w:cs="Times New Roman"/>
          <w:sz w:val="24"/>
          <w:szCs w:val="24"/>
        </w:rPr>
      </w:pPr>
      <w:r>
        <w:rPr>
          <w:rFonts w:cs="Times New Roman" w:ascii="Bahnschrift Light" w:hAnsi="Bahnschrift Light"/>
          <w:sz w:val="24"/>
          <w:szCs w:val="24"/>
        </w:rPr>
        <w:t xml:space="preserve">• </w:t>
      </w:r>
      <w:r>
        <w:rPr>
          <w:rFonts w:cs="Times New Roman" w:ascii="Bahnschrift Light" w:hAnsi="Bahnschrift Light"/>
          <w:sz w:val="24"/>
          <w:szCs w:val="24"/>
        </w:rPr>
        <w:t>Conocimiento de que la inexactitud, falsedad u omisión de carácter esencial en cualquier dato o manifestación podrán conllevar la no concesión de la ayuda o, en su caso, la obligación de reintegro del importe subvencionado, sin perjuicio de las responsabilidades civiles, penales o administrativas en que pudiera incurrir.</w:t>
      </w:r>
    </w:p>
    <w:p>
      <w:pPr>
        <w:pStyle w:val="Normal"/>
        <w:jc w:val="both"/>
        <w:rPr>
          <w:rFonts w:ascii="Bahnschrift Light" w:hAnsi="Bahnschrift Light" w:cs="Times New Roman"/>
          <w:sz w:val="24"/>
          <w:szCs w:val="24"/>
        </w:rPr>
      </w:pPr>
      <w:r>
        <w:rPr>
          <w:rFonts w:cs="Times New Roman" w:ascii="Bahnschrift Light" w:hAnsi="Bahnschrift Light"/>
          <w:sz w:val="24"/>
          <w:szCs w:val="24"/>
        </w:rPr>
      </w:r>
    </w:p>
    <w:p>
      <w:pPr>
        <w:pStyle w:val="Normal"/>
        <w:jc w:val="both"/>
        <w:rPr>
          <w:rFonts w:ascii="Bahnschrift Light" w:hAnsi="Bahnschrift Light" w:cs="Times New Roman"/>
          <w:i/>
          <w:i/>
          <w:sz w:val="24"/>
          <w:szCs w:val="24"/>
        </w:rPr>
      </w:pPr>
      <w:r>
        <w:rPr>
          <w:rFonts w:cs="Times New Roman" w:ascii="Bahnschrift Light" w:hAnsi="Bahnschrift Light"/>
          <w:sz w:val="24"/>
          <w:szCs w:val="24"/>
        </w:rPr>
        <w:t>Opcionalmente: Declaración de  estar al corriente del cumplimiento de las obligaciones con la Seguridad Social y  la Agencia Tributaria de acuerdo con las disposiciones vigentes.</w:t>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b/>
          <w:sz w:val="24"/>
          <w:szCs w:val="24"/>
        </w:rPr>
        <w:t>9.4 - La presentación de solicitud implica el conocimiento y aceptación de las presentes normas reguladores.</w:t>
      </w:r>
      <w:r>
        <w:rPr>
          <w:rFonts w:cs="Times New Roman" w:ascii="Bahnschrift Light" w:hAnsi="Bahnschrift Light"/>
          <w:sz w:val="24"/>
          <w:szCs w:val="24"/>
        </w:rPr>
        <w:t xml:space="preserve">  </w:t>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0" w:hanging="0"/>
        <w:contextualSpacing/>
        <w:jc w:val="both"/>
        <w:rPr>
          <w:rFonts w:ascii="Bahnschrift Light" w:hAnsi="Bahnschrift Light" w:cs="Times New Roman"/>
          <w:b/>
          <w:b/>
          <w:sz w:val="24"/>
          <w:szCs w:val="24"/>
        </w:rPr>
      </w:pPr>
      <w:r>
        <w:rPr>
          <w:rFonts w:cs="Times New Roman" w:ascii="Bahnschrift Light" w:hAnsi="Bahnschrift Light"/>
          <w:b/>
          <w:sz w:val="24"/>
          <w:szCs w:val="24"/>
        </w:rPr>
        <w:t>X.- TRAMITACIÓN Y RESOLUCIÓN.</w:t>
      </w:r>
    </w:p>
    <w:p>
      <w:pPr>
        <w:pStyle w:val="ListParagraph"/>
        <w:spacing w:lineRule="auto" w:line="240" w:before="0" w:after="0"/>
        <w:ind w:left="0" w:hanging="0"/>
        <w:contextualSpacing/>
        <w:jc w:val="both"/>
        <w:rPr>
          <w:rFonts w:ascii="Bahnschrift Light" w:hAnsi="Bahnschrift Light" w:cs="Times New Roman"/>
          <w:b/>
          <w:b/>
          <w:sz w:val="24"/>
          <w:szCs w:val="24"/>
        </w:rPr>
      </w:pPr>
      <w:r>
        <w:rPr>
          <w:rFonts w:cs="Times New Roman" w:ascii="Bahnschrift Light" w:hAnsi="Bahnschrift Light"/>
          <w:b/>
          <w:sz w:val="24"/>
          <w:szCs w:val="24"/>
        </w:rPr>
      </w:r>
    </w:p>
    <w:p>
      <w:pPr>
        <w:pStyle w:val="ListParagraph"/>
        <w:spacing w:lineRule="auto" w:line="240" w:before="0" w:after="0"/>
        <w:ind w:left="0" w:hanging="0"/>
        <w:contextualSpacing/>
        <w:jc w:val="both"/>
        <w:rPr>
          <w:rFonts w:ascii="Bahnschrift Light" w:hAnsi="Bahnschrift Light" w:cs="Times New Roman"/>
          <w:b/>
          <w:b/>
          <w:sz w:val="24"/>
          <w:szCs w:val="24"/>
        </w:rPr>
      </w:pPr>
      <w:r>
        <w:rPr>
          <w:rFonts w:cs="Times New Roman" w:ascii="Bahnschrift Light" w:hAnsi="Bahnschrift Light"/>
          <w:b/>
          <w:sz w:val="24"/>
          <w:szCs w:val="24"/>
        </w:rPr>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b/>
          <w:sz w:val="24"/>
          <w:szCs w:val="24"/>
        </w:rPr>
        <w:t>1.- Tramitación</w:t>
      </w:r>
      <w:r>
        <w:rPr>
          <w:rFonts w:cs="Times New Roman" w:ascii="Bahnschrift Light" w:hAnsi="Bahnschrift Light"/>
          <w:sz w:val="24"/>
          <w:szCs w:val="24"/>
        </w:rPr>
        <w:t xml:space="preserve">. </w:t>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Normal"/>
        <w:jc w:val="both"/>
        <w:rPr>
          <w:rFonts w:ascii="Bahnschrift Light" w:hAnsi="Bahnschrift Light" w:cs="Calibri" w:cstheme="minorHAnsi"/>
          <w:sz w:val="24"/>
          <w:szCs w:val="24"/>
        </w:rPr>
      </w:pPr>
      <w:r>
        <w:rPr>
          <w:rFonts w:cs="Calibri" w:ascii="Bahnschrift Light" w:hAnsi="Bahnschrift Light" w:cstheme="minorHAnsi"/>
          <w:sz w:val="24"/>
          <w:szCs w:val="24"/>
        </w:rPr>
        <w:t xml:space="preserve">La aprobación de las bases y convocatoria se realizará por </w:t>
      </w:r>
      <w:r>
        <w:rPr>
          <w:rFonts w:cs="Calibri" w:ascii="Bahnschrift Light" w:hAnsi="Bahnschrift Light" w:cstheme="minorHAnsi"/>
          <w:color w:val="FF0000"/>
          <w:sz w:val="24"/>
          <w:szCs w:val="24"/>
        </w:rPr>
        <w:t xml:space="preserve"> </w:t>
      </w:r>
      <w:r>
        <w:rPr>
          <w:rFonts w:cs="Calibri" w:ascii="Bahnschrift Light" w:hAnsi="Bahnschrift Light" w:cstheme="minorHAnsi"/>
          <w:sz w:val="24"/>
          <w:szCs w:val="24"/>
        </w:rPr>
        <w:t>Decreto de Alcaldía.</w:t>
      </w:r>
      <w:r>
        <w:rPr>
          <w:rFonts w:cs="Calibri" w:ascii="Bahnschrift Light" w:hAnsi="Bahnschrift Light" w:cstheme="minorHAnsi"/>
          <w:color w:val="FF0000"/>
          <w:sz w:val="24"/>
          <w:szCs w:val="24"/>
        </w:rPr>
        <w:t xml:space="preserve"> </w:t>
      </w:r>
      <w:r>
        <w:rPr>
          <w:rFonts w:cs="Calibri" w:ascii="Bahnschrift Light" w:hAnsi="Bahnschrift Light" w:cstheme="minorHAnsi"/>
          <w:sz w:val="24"/>
          <w:szCs w:val="24"/>
        </w:rPr>
        <w:t xml:space="preserve">La competencia para la ordenación e instrucción del procedimiento corresponderá a la Concejalía de Desarrollo Local. A la Agencia de Desarrollo se le asigna la elaboración, tramitación, análisis control de las justificaciones, propuestas de pago, revocación y/o reintegro, en su caso, de los expedientes. </w:t>
      </w:r>
      <w:r>
        <w:rPr>
          <w:rFonts w:cs="Times New Roman" w:ascii="Bahnschrift Light" w:hAnsi="Bahnschrift Light"/>
          <w:sz w:val="24"/>
          <w:szCs w:val="24"/>
        </w:rPr>
        <w:t xml:space="preserve">Así mismo, se realizarán de oficio cuántas actuaciones se estimen necesarias para la determinación, conocimiento y comprobación de los datos. </w:t>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t xml:space="preserve">Cuando la solicitud no reúna los requisitos señalados en el artículo 66 de la Ley 39/2015, de 1 de octubre, del Procedimiento Administrativo Común de las Administraciones Públicas, o no se acompañe la documentación que de acuerdo con esta convocatoria resulte exigible, de conformidad con el artículo 23.5 de la Ley General de Subvenciones, el órgano competente requerirá al interesado/a para que en el plazo máximo e improrrogable de cinco días hábiles, contados a partir del día siguiente a aquel en que tenga lugar la publicación en el Tablón de Edictos de la Sede Electrónica del Ayuntamiento y en la Web municipal, subsane la falta o acompañe los documentos preceptivos, con indicación de que, si así no lo hiciere, se le tendrá por desistido de su petición, previa resolución que deberá ser dictada en los términos previstos en el artículo 21 de la repetida Ley. </w:t>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t>Una vez realizadas las comprobaciones y actuaciones anteriormente enumeradas, se emitirá  informe  para hacer constar las personas beneficiarias que cumplen todos los requisitos necesarios para la concesión de las ayudas, así como los comparecientes cuya solicitud quede desestimada por no cumplir los requisitos establecidos en la convocatoria, y elaborará la correspondiente propuesta de resolución en base a la documentación presentada, que será elevada al órgano competente para resolver. La concesión de la subvención se efectuará en régimen de ayudas directas, reuniendo la totalidad de requisitos y documentación exigida.</w:t>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t xml:space="preserve"> </w:t>
      </w:r>
      <w:bookmarkStart w:id="1" w:name="_GoBack"/>
      <w:bookmarkEnd w:id="1"/>
    </w:p>
    <w:p>
      <w:pPr>
        <w:pStyle w:val="ListParagraph"/>
        <w:spacing w:lineRule="auto" w:line="240" w:before="0" w:after="0"/>
        <w:ind w:left="0" w:hanging="0"/>
        <w:contextualSpacing/>
        <w:jc w:val="both"/>
        <w:rPr>
          <w:rFonts w:ascii="Bahnschrift Light" w:hAnsi="Bahnschrift Light" w:cs="Times New Roman"/>
          <w:b/>
          <w:b/>
          <w:sz w:val="24"/>
          <w:szCs w:val="24"/>
        </w:rPr>
      </w:pPr>
      <w:r>
        <w:rPr>
          <w:rFonts w:cs="Times New Roman" w:ascii="Bahnschrift Light" w:hAnsi="Bahnschrift Light"/>
          <w:b/>
          <w:sz w:val="24"/>
          <w:szCs w:val="24"/>
        </w:rPr>
        <w:t>2.- Resolución.</w:t>
      </w:r>
    </w:p>
    <w:p>
      <w:pPr>
        <w:pStyle w:val="ListParagraph"/>
        <w:spacing w:lineRule="auto" w:line="240" w:before="0" w:after="0"/>
        <w:ind w:left="0" w:hanging="0"/>
        <w:contextualSpacing/>
        <w:jc w:val="both"/>
        <w:rPr>
          <w:rFonts w:ascii="Bahnschrift Light" w:hAnsi="Bahnschrift Light" w:cs="Times New Roman"/>
          <w:b/>
          <w:b/>
          <w:sz w:val="24"/>
          <w:szCs w:val="24"/>
        </w:rPr>
      </w:pPr>
      <w:r>
        <w:rPr>
          <w:rFonts w:cs="Times New Roman" w:ascii="Bahnschrift Light" w:hAnsi="Bahnschrift Light"/>
          <w:b/>
          <w:sz w:val="24"/>
          <w:szCs w:val="24"/>
        </w:rPr>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t xml:space="preserve">La competencia para resolver la concesión de subvenciones corresponde al Alcalde. La resolución de concesión determinará la cuantía concedida e incorporará, si procede, las condiciones, obligaciones y determinaciones accesorias al hecho que tenga que sujetarse el beneficiario. </w:t>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t xml:space="preserve">El plazo para resolver y notificar será de 3 meses desde la finalización del plazo de presentación de solicitudes. La falta de resolución expresa supondrá desestimación de la solicitud por silencio administrativo. </w:t>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t xml:space="preserve">La resolución pondrá fin a la vía administrativa y contra ella podrá interponerse recurso potestativo de reposición en conformidad con la Ley 39/2015 o recurso contencioso-administrativo en el plazo de dos meses ante el correspondiente Juzgado, de conformidad con la Ley 29/1998 </w:t>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b/>
          <w:sz w:val="24"/>
          <w:szCs w:val="24"/>
        </w:rPr>
        <w:t>3.- Comunicaciones</w:t>
      </w:r>
      <w:r>
        <w:rPr>
          <w:rFonts w:cs="Times New Roman" w:ascii="Bahnschrift Light" w:hAnsi="Bahnschrift Light"/>
          <w:sz w:val="24"/>
          <w:szCs w:val="24"/>
        </w:rPr>
        <w:t xml:space="preserve">. </w:t>
      </w:r>
    </w:p>
    <w:p>
      <w:pPr>
        <w:pStyle w:val="ListParagraph"/>
        <w:spacing w:lineRule="auto" w:line="240" w:before="0" w:after="0"/>
        <w:ind w:left="0" w:hanging="0"/>
        <w:contextualSpacing/>
        <w:jc w:val="both"/>
        <w:rPr>
          <w:rFonts w:ascii="Bahnschrift Light" w:hAnsi="Bahnschrift Light" w:cs="Times New Roman"/>
          <w:sz w:val="24"/>
          <w:szCs w:val="24"/>
        </w:rPr>
      </w:pPr>
      <w:r>
        <w:rPr>
          <w:rFonts w:cs="Times New Roman" w:ascii="Bahnschrift Light" w:hAnsi="Bahnschrift Light"/>
          <w:sz w:val="24"/>
          <w:szCs w:val="24"/>
        </w:rPr>
      </w:r>
    </w:p>
    <w:p>
      <w:pPr>
        <w:pStyle w:val="ListParagraph"/>
        <w:spacing w:lineRule="auto" w:line="240" w:before="0" w:after="0"/>
        <w:ind w:left="0" w:hanging="0"/>
        <w:contextualSpacing/>
        <w:jc w:val="both"/>
        <w:rPr/>
      </w:pPr>
      <w:r>
        <w:rPr>
          <w:rFonts w:cs="Times New Roman" w:ascii="Bahnschrift Light" w:hAnsi="Bahnschrift Light"/>
          <w:sz w:val="24"/>
          <w:szCs w:val="24"/>
        </w:rPr>
        <w:t xml:space="preserve"> </w:t>
      </w:r>
      <w:r>
        <w:rPr>
          <w:rFonts w:cs="Times New Roman" w:ascii="Bahnschrift Light" w:hAnsi="Bahnschrift Light"/>
          <w:sz w:val="24"/>
          <w:szCs w:val="24"/>
        </w:rPr>
        <w:t xml:space="preserve">En lo sucesivo, todas las publicaciones relacionadas con las presentes Bases se realizarán a través del Tablón de Anuncios del Ayuntamiento de  San Miguel de Salinas  así como a través de la Web municipal  </w:t>
      </w:r>
      <w:hyperlink r:id="rId2">
        <w:r>
          <w:rPr>
            <w:rStyle w:val="EnlacedeInternet"/>
            <w:rFonts w:cs="Times New Roman" w:ascii="Bahnschrift Light" w:hAnsi="Bahnschrift Light"/>
            <w:sz w:val="24"/>
            <w:szCs w:val="24"/>
          </w:rPr>
          <w:t>www.sanmigueldesalinas.es</w:t>
        </w:r>
      </w:hyperlink>
      <w:r>
        <w:rPr>
          <w:rFonts w:cs="Times New Roman" w:ascii="Bahnschrift Light" w:hAnsi="Bahnschrift Light"/>
          <w:color w:val="00B050"/>
          <w:sz w:val="24"/>
          <w:szCs w:val="24"/>
        </w:rPr>
        <w:t>.</w:t>
      </w:r>
    </w:p>
    <w:p>
      <w:pPr>
        <w:pStyle w:val="ListParagraph"/>
        <w:spacing w:lineRule="auto" w:line="240" w:before="0" w:after="0"/>
        <w:ind w:left="0" w:hanging="0"/>
        <w:contextualSpacing/>
        <w:jc w:val="both"/>
        <w:rPr>
          <w:rFonts w:ascii="Bahnschrift Light" w:hAnsi="Bahnschrift Light" w:cs="Times New Roman"/>
          <w:color w:val="00B050"/>
          <w:sz w:val="24"/>
          <w:szCs w:val="24"/>
        </w:rPr>
      </w:pPr>
      <w:r>
        <w:rPr>
          <w:rFonts w:cs="Times New Roman" w:ascii="Bahnschrift Light" w:hAnsi="Bahnschrift Light"/>
          <w:color w:val="00B050"/>
          <w:sz w:val="24"/>
          <w:szCs w:val="24"/>
        </w:rPr>
      </w:r>
    </w:p>
    <w:p>
      <w:pPr>
        <w:pStyle w:val="ListParagraph"/>
        <w:spacing w:lineRule="auto" w:line="240" w:before="0" w:after="0"/>
        <w:ind w:left="0" w:hanging="0"/>
        <w:contextualSpacing/>
        <w:jc w:val="both"/>
        <w:rPr>
          <w:rFonts w:ascii="Bahnschrift Light" w:hAnsi="Bahnschrift Light" w:cs="Times New Roman"/>
          <w:color w:val="00B050"/>
          <w:sz w:val="24"/>
          <w:szCs w:val="24"/>
        </w:rPr>
      </w:pPr>
      <w:r>
        <w:rPr>
          <w:rFonts w:cs="Times New Roman" w:ascii="Bahnschrift Light" w:hAnsi="Bahnschrift Light"/>
          <w:color w:val="00B050"/>
          <w:sz w:val="24"/>
          <w:szCs w:val="24"/>
        </w:rPr>
      </w:r>
    </w:p>
    <w:p>
      <w:pPr>
        <w:pStyle w:val="ListParagraph"/>
        <w:spacing w:lineRule="auto" w:line="240" w:before="0" w:after="0"/>
        <w:ind w:left="0" w:hanging="0"/>
        <w:contextualSpacing/>
        <w:jc w:val="both"/>
        <w:rPr>
          <w:rFonts w:ascii="Bahnschrift Light" w:hAnsi="Bahnschrift Light" w:cs="Times New Roman"/>
          <w:b/>
          <w:b/>
          <w:sz w:val="24"/>
          <w:szCs w:val="24"/>
        </w:rPr>
      </w:pPr>
      <w:r>
        <w:rPr>
          <w:rFonts w:cs="Times New Roman" w:ascii="Bahnschrift Light" w:hAnsi="Bahnschrift Light"/>
          <w:b/>
          <w:sz w:val="24"/>
          <w:szCs w:val="24"/>
        </w:rPr>
        <w:t>XI.- JUSTIFICACIÓN Y PAGO.</w:t>
      </w:r>
    </w:p>
    <w:p>
      <w:pPr>
        <w:pStyle w:val="ListParagraph"/>
        <w:spacing w:lineRule="auto" w:line="240" w:before="0" w:after="0"/>
        <w:ind w:left="0" w:hanging="0"/>
        <w:contextualSpacing/>
        <w:jc w:val="both"/>
        <w:rPr>
          <w:rFonts w:ascii="Bahnschrift Light" w:hAnsi="Bahnschrift Light" w:cs="Times New Roman"/>
          <w:b/>
          <w:b/>
          <w:sz w:val="24"/>
          <w:szCs w:val="24"/>
        </w:rPr>
      </w:pPr>
      <w:r>
        <w:rPr>
          <w:rFonts w:cs="Times New Roman" w:ascii="Bahnschrift Light" w:hAnsi="Bahnschrift Light"/>
          <w:b/>
          <w:sz w:val="24"/>
          <w:szCs w:val="24"/>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 </w:t>
      </w:r>
      <w:r>
        <w:rPr>
          <w:rFonts w:eastAsia="Times New Roman" w:cs="Times New Roman" w:ascii="Bahnschrift Light" w:hAnsi="Bahnschrift Light"/>
          <w:sz w:val="24"/>
          <w:szCs w:val="24"/>
          <w:lang w:eastAsia="es-ES"/>
        </w:rPr>
        <w:t xml:space="preserve">La justificación de estas ayudas y el cumplimiento de su finalidad se considerarán realizadas, mediante la presentación de toda la documentación exigida en estas normas, por lo que, una vez resuelta la concesión de la ayuda, se tramitará el pago de la misma a la persona beneficiarias que se realizará en un pago único por la totalidad del importe concedido, mediante transferencia bancaria a la cuenta indicada en la solicitud, a partir de la fecha de la resolución de concesión, sin que sea necesaria la constitución de garantías.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  </w:t>
      </w:r>
      <w:r>
        <w:rPr>
          <w:rFonts w:eastAsia="Times New Roman" w:cs="Times New Roman" w:ascii="Bahnschrift Light" w:hAnsi="Bahnschrift Light"/>
          <w:sz w:val="24"/>
          <w:szCs w:val="24"/>
          <w:lang w:eastAsia="es-ES"/>
        </w:rPr>
        <w:t xml:space="preserve">El Ayuntamiento de  San Miguel de Salinas se reserva la facultad de resolver y dejar sin efecto la ayuda concedida, total o parcialmente, si el solicitante falsea datos, hechos o documentos aportados al expediente.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El pago se realizará en todo caso y sin excepción alguna mediante transferencia bancaria a la cuenta indicada por el beneficiario en la ficha de mantenimiento de terceros.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cs="Times New Roman" w:ascii="Bahnschrift Light" w:hAnsi="Bahnschrift Light"/>
          <w:sz w:val="24"/>
          <w:szCs w:val="24"/>
        </w:rPr>
        <w:t>El procedimiento puede resolverse por el órgano competente de forma parcial a medida que las personas solicitantes presenten la totalidad de la documentación requerida tramitándose por lotes de forma inmediata sin tener que esperar la resolución de la totalidad de la convocatoria.</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b/>
          <w:b/>
          <w:sz w:val="24"/>
          <w:szCs w:val="24"/>
          <w:lang w:eastAsia="es-ES"/>
        </w:rPr>
      </w:pPr>
      <w:r>
        <w:rPr>
          <w:rFonts w:eastAsia="Times New Roman" w:cs="Times New Roman" w:ascii="Bahnschrift Light" w:hAnsi="Bahnschrift Light"/>
          <w:sz w:val="24"/>
          <w:szCs w:val="24"/>
          <w:lang w:eastAsia="es-ES"/>
        </w:rPr>
        <w:t xml:space="preserve"> </w:t>
      </w:r>
      <w:r>
        <w:rPr>
          <w:rFonts w:eastAsia="Times New Roman" w:cs="Times New Roman" w:ascii="Bahnschrift Light" w:hAnsi="Bahnschrift Light"/>
          <w:b/>
          <w:sz w:val="24"/>
          <w:szCs w:val="24"/>
          <w:lang w:eastAsia="es-ES"/>
        </w:rPr>
        <w:t>XII.- OBLIGACIONES DE LOS BENEFICIARIOS.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Los beneficiarios de la subvención estarán sometidos a las siguientes obligaciones: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ListParagraph"/>
        <w:numPr>
          <w:ilvl w:val="0"/>
          <w:numId w:val="5"/>
        </w:numPr>
        <w:spacing w:lineRule="auto" w:line="240" w:before="0" w:after="0"/>
        <w:contextualSpacing/>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Someterse a las actuaciones de comprobación a efectuar por el órgano concedente, así como cualesquiera otras de comprobación y control financiero que puedan realizar los órganos de control. </w:t>
      </w:r>
    </w:p>
    <w:p>
      <w:pPr>
        <w:pStyle w:val="ListParagraph"/>
        <w:spacing w:lineRule="auto" w:line="240" w:before="0" w:after="0"/>
        <w:contextualSpacing/>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ListParagraph"/>
        <w:numPr>
          <w:ilvl w:val="0"/>
          <w:numId w:val="5"/>
        </w:numPr>
        <w:spacing w:lineRule="auto" w:line="240" w:before="0" w:after="0"/>
        <w:contextualSpacing/>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Comunicar al Ayuntamiento cualquier alteración de las condiciones tenidas en cuenta para la concesión de las subvenciones recogidas en las presentes normas. Toda alteración de las condiciones tenidas en cuenta para la concesión de las subvenciones podrá dar lugar a la modificación de la resolución de concesión y eventualmente a su revocación. </w:t>
      </w:r>
    </w:p>
    <w:p>
      <w:pPr>
        <w:pStyle w:val="Normal"/>
        <w:spacing w:lineRule="auto" w:line="240" w:before="0" w:after="0"/>
        <w:ind w:left="708" w:hanging="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ind w:left="360" w:hanging="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c) Reintegrar los fondos recibidos en caso de no cumplir con los requisitos y </w:t>
        <w:tab/>
        <w:t xml:space="preserve">condiciones y obligaciones establecidas en las </w:t>
        <w:tab/>
        <w:t xml:space="preserve">normas, así como los </w:t>
        <w:tab/>
        <w:t xml:space="preserve">supuestos regulados en el artículo 37 de la Ley 38/2003 General de </w:t>
        <w:tab/>
        <w:t xml:space="preserve">Subvenciones (LGS), y en particular, por obtener la subvención falseando las </w:t>
        <w:tab/>
        <w:t xml:space="preserve">condiciones requeridas para ello u ocultando aquéllas que lo hubieran impedido, </w:t>
        <w:tab/>
        <w:t xml:space="preserve">o mostrar resistencia, excusa, obstrucción o negativa a las actuaciones de </w:t>
        <w:tab/>
        <w:t>comprobación y control financiero prevista en el artículo 14 de la LGS.</w:t>
      </w:r>
    </w:p>
    <w:p>
      <w:pPr>
        <w:pStyle w:val="Normal"/>
        <w:spacing w:lineRule="auto" w:line="240" w:before="0" w:after="0"/>
        <w:ind w:left="360" w:hanging="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b/>
          <w:b/>
          <w:sz w:val="24"/>
          <w:szCs w:val="24"/>
          <w:lang w:eastAsia="es-ES"/>
        </w:rPr>
      </w:pPr>
      <w:r>
        <w:rPr>
          <w:rFonts w:eastAsia="Times New Roman" w:cs="Times New Roman" w:ascii="Bahnschrift Light" w:hAnsi="Bahnschrift Light"/>
          <w:b/>
          <w:sz w:val="24"/>
          <w:szCs w:val="24"/>
          <w:lang w:eastAsia="es-ES"/>
        </w:rPr>
        <w:t>XIII.- CAUSAS Y PROCEDIMIENTO DE REINTEGRO DE LAS AYUDAS.</w:t>
      </w:r>
    </w:p>
    <w:p>
      <w:pPr>
        <w:pStyle w:val="Normal"/>
        <w:spacing w:lineRule="auto" w:line="240" w:before="0" w:after="0"/>
        <w:jc w:val="both"/>
        <w:rPr>
          <w:rFonts w:ascii="Bahnschrift Light" w:hAnsi="Bahnschrift Light" w:eastAsia="Times New Roman" w:cs="Times New Roman"/>
          <w:b/>
          <w:b/>
          <w:sz w:val="24"/>
          <w:szCs w:val="24"/>
          <w:lang w:eastAsia="es-ES"/>
        </w:rPr>
      </w:pPr>
      <w:r>
        <w:rPr>
          <w:rFonts w:eastAsia="Times New Roman" w:cs="Times New Roman" w:ascii="Bahnschrift Light" w:hAnsi="Bahnschrift Light"/>
          <w:b/>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 </w:t>
      </w:r>
      <w:r>
        <w:rPr>
          <w:rFonts w:eastAsia="Times New Roman" w:cs="Times New Roman" w:ascii="Bahnschrift Light" w:hAnsi="Bahnschrift Light"/>
          <w:sz w:val="24"/>
          <w:szCs w:val="24"/>
          <w:lang w:eastAsia="es-ES"/>
        </w:rPr>
        <w:t xml:space="preserve">1. De conformidad con lo establecido en el artículo 37 de la Ley 38/2003, de 17 de noviembre, General de Subvenciones, se procederá al reintegro de las cantidades percibidas y la exigencia del interés de demora correspondiente desde el momento del pago de la subvención hasta la fecha en que se acuerde la procedencia del reintegro, en los casos recogidos en la LGS, así como por el incumplimiento de cualquiera de las obligaciones contenidas en el apartado XII de las presentes bases. Procederá el reintegro de los fondos percibidos,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 </w:t>
      </w:r>
      <w:r>
        <w:rPr>
          <w:rFonts w:eastAsia="Times New Roman" w:cs="Times New Roman" w:ascii="Bahnschrift Light" w:hAnsi="Bahnschrift Light"/>
          <w:sz w:val="24"/>
          <w:szCs w:val="24"/>
          <w:lang w:eastAsia="es-ES"/>
        </w:rPr>
        <w:t xml:space="preserve">2. Por lo que respecta a la naturaleza de estos créditos a reintegrar habrá que ajustarse a lo dispuesto en el artículo 38 de la Ley 38/2003, de 17 de noviembre, General de Subvenciones.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El procedimiento de reintegro se regirá por lo dispuesto en el capítulo II Título II de la Ley 38/2003, de 17 de noviembre, General de Subvenciones.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 </w:t>
      </w:r>
      <w:r>
        <w:rPr>
          <w:rFonts w:eastAsia="Times New Roman" w:cs="Times New Roman" w:ascii="Bahnschrift Light" w:hAnsi="Bahnschrift Light"/>
          <w:sz w:val="24"/>
          <w:szCs w:val="24"/>
          <w:lang w:eastAsia="es-ES"/>
        </w:rPr>
        <w:t>A los efectos de dar cumplimiento al artículo 18 de la Ley 38/2003, de 17 de noviembre, General de Subvenciones, la concesión de la subvención implica la aceptación de ser incluido en una lista que se publicará en el Tablón de anuncios o por cualquier otro medio, en la que figurarán los beneficiarios y el importe de la ayuda.</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b/>
          <w:b/>
          <w:sz w:val="24"/>
          <w:szCs w:val="24"/>
          <w:lang w:eastAsia="es-ES"/>
        </w:rPr>
      </w:pPr>
      <w:r>
        <w:rPr>
          <w:rFonts w:eastAsia="Times New Roman" w:cs="Times New Roman" w:ascii="Bahnschrift Light" w:hAnsi="Bahnschrift Light"/>
          <w:b/>
          <w:sz w:val="24"/>
          <w:szCs w:val="24"/>
          <w:lang w:eastAsia="es-ES"/>
        </w:rPr>
        <w:t xml:space="preserve">XIV.- PUBLICIDAD DE LAS BASES REGULADORAS.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Las siguientes bases y su convocatoria se publicarán en el BOP de Alicante y  se procederá en cuanto sea posible a remitir para su publicación en BDNS, teniendo en cuenta lo que establece la Ley Orgánica 3/2018, de 5 de diciembre, de protección de datos personales y garantía de derechos digitales.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b/>
          <w:sz w:val="24"/>
          <w:szCs w:val="24"/>
          <w:lang w:eastAsia="es-ES"/>
        </w:rPr>
        <w:t xml:space="preserve"> </w:t>
      </w:r>
      <w:r>
        <w:rPr>
          <w:rFonts w:eastAsia="Times New Roman" w:cs="Times New Roman" w:ascii="Bahnschrift Light" w:hAnsi="Bahnschrift Light"/>
          <w:b/>
          <w:sz w:val="24"/>
          <w:szCs w:val="24"/>
          <w:lang w:eastAsia="es-ES"/>
        </w:rPr>
        <w:t>XV.- TRATAMIENTO DE DATOS DE CARÁCTER PERSONAL</w:t>
      </w:r>
      <w:r>
        <w:rPr>
          <w:rFonts w:eastAsia="Times New Roman" w:cs="Times New Roman" w:ascii="Bahnschrift Light" w:hAnsi="Bahnschrift Light"/>
          <w:sz w:val="24"/>
          <w:szCs w:val="24"/>
          <w:lang w:eastAsia="es-ES"/>
        </w:rPr>
        <w:t xml:space="preserve">.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De conformidad con lo previsto en la Ley Orgánica 3/2018, de 5 de diciembre, de Protección de Datos Personales y garantía de los derechos digitales: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 xml:space="preserve"> </w:t>
      </w:r>
      <w:r>
        <w:rPr>
          <w:rFonts w:eastAsia="Times New Roman" w:cs="Arial" w:ascii="Arial" w:hAnsi="Arial"/>
          <w:sz w:val="24"/>
          <w:szCs w:val="24"/>
          <w:lang w:eastAsia="es-ES"/>
        </w:rPr>
        <w:t>●</w:t>
      </w:r>
      <w:r>
        <w:rPr>
          <w:rFonts w:eastAsia="Times New Roman" w:cs="Times New Roman" w:ascii="Bahnschrift Light" w:hAnsi="Bahnschrift Light"/>
          <w:sz w:val="24"/>
          <w:szCs w:val="24"/>
          <w:lang w:eastAsia="es-ES"/>
        </w:rPr>
        <w:t xml:space="preserve">Resulta responsable del tratamiento de sus datos: Ayuntamiento de  San Miguel de Salinas, calle 19 de abril, 34;  único destinatario de la información aportada voluntariamente.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Arial" w:ascii="Arial" w:hAnsi="Arial"/>
          <w:sz w:val="24"/>
          <w:szCs w:val="24"/>
          <w:lang w:eastAsia="es-ES"/>
        </w:rPr>
        <w:t>●</w:t>
      </w:r>
      <w:r>
        <w:rPr>
          <w:rFonts w:eastAsia="Times New Roman" w:cs="Times New Roman" w:ascii="Bahnschrift Light" w:hAnsi="Bahnschrift Light"/>
          <w:sz w:val="24"/>
          <w:szCs w:val="24"/>
          <w:lang w:eastAsia="es-ES"/>
        </w:rPr>
        <w:t>Finalidad del tratamiento de los datos: Gestionar la solicitud de subvención prevista en el Decreto Ley 1/2021 de la Generalitat Valenciana a autónomos, profesionales y microempresas del ámbito comercial para atenuar el impacto económico del COVID</w:t>
      </w:r>
      <w:r>
        <w:rPr>
          <w:rFonts w:eastAsia="Times New Roman" w:cs="Cambria Math" w:ascii="Cambria Math" w:hAnsi="Cambria Math"/>
          <w:sz w:val="24"/>
          <w:szCs w:val="24"/>
          <w:lang w:eastAsia="es-ES"/>
        </w:rPr>
        <w:t>‐</w:t>
      </w:r>
      <w:r>
        <w:rPr>
          <w:rFonts w:eastAsia="Times New Roman" w:cs="Times New Roman" w:ascii="Bahnschrift Light" w:hAnsi="Bahnschrift Light"/>
          <w:sz w:val="24"/>
          <w:szCs w:val="24"/>
          <w:lang w:eastAsia="es-ES"/>
        </w:rPr>
        <w:t>19 en el municipio de  San Miguel de Salinas.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Arial" w:ascii="Arial" w:hAnsi="Arial"/>
          <w:sz w:val="24"/>
          <w:szCs w:val="24"/>
          <w:lang w:eastAsia="es-ES"/>
        </w:rPr>
        <w:t>●</w:t>
      </w:r>
      <w:r>
        <w:rPr>
          <w:rFonts w:eastAsia="Times New Roman" w:cs="Times New Roman" w:ascii="Bahnschrift Light" w:hAnsi="Bahnschrift Light"/>
          <w:sz w:val="24"/>
          <w:szCs w:val="24"/>
          <w:lang w:eastAsia="es-ES"/>
        </w:rPr>
        <w:t xml:space="preserve">Tiempo de conservación de los datos: Durante el plazo de vigencia de este expediente. No obstante, los datos serán conservados con fines de archivo de interés público o fines estadísticos.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Arial" w:ascii="Arial" w:hAnsi="Arial"/>
          <w:sz w:val="24"/>
          <w:szCs w:val="24"/>
          <w:lang w:eastAsia="es-ES"/>
        </w:rPr>
        <w:t>●</w:t>
      </w:r>
      <w:r>
        <w:rPr>
          <w:rFonts w:eastAsia="Times New Roman" w:cs="Times New Roman" w:ascii="Bahnschrift Light" w:hAnsi="Bahnschrift Light"/>
          <w:sz w:val="24"/>
          <w:szCs w:val="24"/>
          <w:lang w:eastAsia="es-ES"/>
        </w:rPr>
        <w:t xml:space="preserve">Legitimación para el tratamiento de los datos: Ejercicio de los poderes públicos o competencias propias.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Arial" w:ascii="Arial" w:hAnsi="Arial"/>
          <w:sz w:val="24"/>
          <w:szCs w:val="24"/>
          <w:lang w:eastAsia="es-ES"/>
        </w:rPr>
        <w:t>●</w:t>
      </w:r>
      <w:r>
        <w:rPr>
          <w:rFonts w:eastAsia="Times New Roman" w:cs="Times New Roman" w:ascii="Bahnschrift Light" w:hAnsi="Bahnschrift Light"/>
          <w:sz w:val="24"/>
          <w:szCs w:val="24"/>
          <w:lang w:eastAsia="es-ES"/>
        </w:rPr>
        <w:t xml:space="preserve">Cesión a terceras personas: Los datos facilitados no serán cedidos a terceras personas ajenas al Ayuntamiento de  San Miguel de Salinas salvo que deban ser comunicados a otras entidades públicas por imperativo legal. </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t>Derechos: Derecho de acceso a sus datos, solicitar su rectificación o, en su caso, cancelación, oposición o solicitar su supresión. Podrá solicitar la limitación del  tratamiento de sus datos o, en su caso, oponerse al tratamiento de los mismos. Para ejercer los expresados derechos podrá hacerlo a través de la sede electrónica del Ayuntamiento de  San Miguel de Salinas.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rFonts w:ascii="Bahnschrift Light" w:hAnsi="Bahnschrift Light" w:eastAsia="Times New Roman" w:cs="Times New Roman"/>
          <w:b/>
          <w:b/>
          <w:sz w:val="24"/>
          <w:szCs w:val="24"/>
          <w:lang w:eastAsia="es-ES"/>
        </w:rPr>
      </w:pPr>
      <w:r>
        <w:rPr>
          <w:rFonts w:eastAsia="Times New Roman" w:cs="Times New Roman" w:ascii="Bahnschrift Light" w:hAnsi="Bahnschrift Light"/>
          <w:sz w:val="24"/>
          <w:szCs w:val="24"/>
          <w:lang w:eastAsia="es-ES"/>
        </w:rPr>
        <w:t xml:space="preserve"> </w:t>
      </w:r>
      <w:r>
        <w:rPr>
          <w:rFonts w:eastAsia="Times New Roman" w:cs="Times New Roman" w:ascii="Bahnschrift Light" w:hAnsi="Bahnschrift Light"/>
          <w:b/>
          <w:sz w:val="24"/>
          <w:szCs w:val="24"/>
          <w:lang w:eastAsia="es-ES"/>
        </w:rPr>
        <w:t xml:space="preserve"> </w:t>
      </w:r>
      <w:r>
        <w:rPr>
          <w:rFonts w:eastAsia="Times New Roman" w:cs="Times New Roman" w:ascii="Bahnschrift Light" w:hAnsi="Bahnschrift Light"/>
          <w:b/>
          <w:sz w:val="24"/>
          <w:szCs w:val="24"/>
          <w:lang w:eastAsia="es-ES"/>
        </w:rPr>
        <w:t>XVI .- INTERPRETACIÓN DE LAS PRESENTES BASES.</w:t>
      </w:r>
    </w:p>
    <w:p>
      <w:pPr>
        <w:pStyle w:val="Normal"/>
        <w:spacing w:lineRule="auto" w:line="240" w:before="0" w:after="0"/>
        <w:jc w:val="both"/>
        <w:rPr>
          <w:rFonts w:ascii="Bahnschrift Light" w:hAnsi="Bahnschrift Light" w:eastAsia="Times New Roman" w:cs="Times New Roman"/>
          <w:sz w:val="24"/>
          <w:szCs w:val="24"/>
          <w:lang w:eastAsia="es-ES"/>
        </w:rPr>
      </w:pPr>
      <w:r>
        <w:rPr>
          <w:rFonts w:eastAsia="Times New Roman" w:cs="Times New Roman" w:ascii="Bahnschrift Light" w:hAnsi="Bahnschrift Light"/>
          <w:sz w:val="24"/>
          <w:szCs w:val="24"/>
          <w:lang w:eastAsia="es-ES"/>
        </w:rPr>
      </w:r>
    </w:p>
    <w:p>
      <w:pPr>
        <w:pStyle w:val="Normal"/>
        <w:spacing w:lineRule="auto" w:line="240" w:before="0" w:after="0"/>
        <w:jc w:val="both"/>
        <w:rPr/>
      </w:pPr>
      <w:r>
        <w:rPr>
          <w:rFonts w:eastAsia="Times New Roman" w:cs="Times New Roman" w:ascii="Bahnschrift Light" w:hAnsi="Bahnschrift Light"/>
          <w:sz w:val="24"/>
          <w:szCs w:val="24"/>
          <w:lang w:eastAsia="es-ES"/>
        </w:rPr>
        <w:t>En caso de duda o interpretación de las bases, convocatoria, acuerdo de resolución o cualquier otro documento del expediente, resolverá el Órgano concedente, pudiendo, en el caso de que lo considere necesario, solicitar previo informe del Instructor.</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Arial Black">
    <w:charset w:val="00"/>
    <w:family w:val="roman"/>
    <w:pitch w:val="variable"/>
  </w:font>
  <w:font w:name="Bahnschrift Light">
    <w:charset w:val="00"/>
    <w:family w:val="roman"/>
    <w:pitch w:val="variable"/>
  </w:font>
  <w:font w:name="Arial">
    <w:charset w:val="00"/>
    <w:family w:val="roman"/>
    <w:pitch w:val="variable"/>
  </w:font>
  <w:font w:name="Cambria Math">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85" w:hanging="360"/>
      </w:pPr>
      <w:rPr>
        <w:sz w:val="24"/>
        <w:b/>
        <w:rFonts w:ascii="Bahnschrift Light" w:hAnsi="Bahnschrift Light"/>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2">
    <w:lvl w:ilvl="0">
      <w:start w:val="1"/>
      <w:numFmt w:val="lowerLetter"/>
      <w:lvlText w:val="%1)"/>
      <w:lvlJc w:val="left"/>
      <w:pPr>
        <w:ind w:left="360" w:hanging="360"/>
      </w:pPr>
      <w:rPr>
        <w:sz w:val="24"/>
        <w:rFonts w:ascii="Bahnschrift Light" w:hAnsi="Bahnschrift Light" w: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bullet"/>
      <w:lvlText w:val=""/>
      <w:lvlJc w:val="left"/>
      <w:pPr>
        <w:ind w:left="1800" w:hanging="360"/>
      </w:pPr>
      <w:rPr>
        <w:rFonts w:ascii="Symbol" w:hAnsi="Symbol" w:cs="Symbol" w:hint="default"/>
      </w:rPr>
    </w:lvl>
    <w:lvl w:ilvl="1">
      <w:start w:val="1"/>
      <w:numFmt w:val="bullet"/>
      <w:lvlText w:val="o"/>
      <w:lvlJc w:val="left"/>
      <w:pPr>
        <w:ind w:left="2520" w:hanging="360"/>
      </w:pPr>
      <w:rPr>
        <w:rFonts w:ascii="Courier New" w:hAnsi="Courier New" w:cs="Courier New" w:hint="default"/>
        <w:rFonts w:cs="Courier New"/>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Fonts w:cs="Courier New"/>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Fonts w:cs="Courier New"/>
      </w:rPr>
    </w:lvl>
    <w:lvl w:ilvl="8">
      <w:start w:val="1"/>
      <w:numFmt w:val="bullet"/>
      <w:lvlText w:val=""/>
      <w:lvlJc w:val="left"/>
      <w:pPr>
        <w:ind w:left="7560" w:hanging="360"/>
      </w:pPr>
      <w:rPr>
        <w:rFonts w:ascii="Wingdings" w:hAnsi="Wingdings" w:cs="Wingdings" w:hint="default"/>
      </w:rPr>
    </w:lvl>
  </w:abstractNum>
  <w:abstractNum w:abstractNumId="4">
    <w:lvl w:ilvl="0">
      <w:start w:val="1"/>
      <w:numFmt w:val="lowerLetter"/>
      <w:lvlText w:val="%1)"/>
      <w:lvlJc w:val="left"/>
      <w:pPr>
        <w:ind w:left="720" w:hanging="360"/>
      </w:pPr>
      <w:rPr>
        <w:sz w:val="24"/>
        <w:rFonts w:ascii="Bahnschrift Light" w:hAnsi="Bahnschrift Light"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EnlacedeInternet">
    <w:name w:val="Enlace de Internet"/>
    <w:basedOn w:val="DefaultParagraphFont"/>
    <w:uiPriority w:val="99"/>
    <w:unhideWhenUsed/>
    <w:rsid w:val="0096752b"/>
    <w:rPr>
      <w:color w:val="0563C1" w:themeColor="hyperlink"/>
      <w:u w:val="single"/>
    </w:rPr>
  </w:style>
  <w:style w:type="character" w:styleId="TextodegloboCar" w:customStyle="1">
    <w:name w:val="Texto de globo Car"/>
    <w:basedOn w:val="DefaultParagraphFont"/>
    <w:link w:val="Textodeglobo"/>
    <w:uiPriority w:val="99"/>
    <w:semiHidden/>
    <w:qFormat/>
    <w:rsid w:val="00982a67"/>
    <w:rPr>
      <w:rFonts w:ascii="Segoe UI" w:hAnsi="Segoe UI" w:cs="Segoe UI"/>
      <w:sz w:val="18"/>
      <w:szCs w:val="18"/>
    </w:rPr>
  </w:style>
  <w:style w:type="paragraph" w:styleId="Ttulo">
    <w:name w:val="Título"/>
    <w:basedOn w:val="Normal"/>
    <w:next w:val="Cuerpodetexto"/>
    <w:qFormat/>
    <w:pPr>
      <w:keepNext w:val="true"/>
      <w:spacing w:before="240" w:after="120"/>
    </w:pPr>
    <w:rPr>
      <w:rFonts w:ascii="Liberation Sans" w:hAnsi="Liberation Sans" w:eastAsia="Microsoft YaHei" w:cs="Arial Unicode M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Unicode MS"/>
    </w:rPr>
  </w:style>
  <w:style w:type="paragraph" w:styleId="Ley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rPr>
  </w:style>
  <w:style w:type="paragraph" w:styleId="ListParagraph">
    <w:name w:val="List Paragraph"/>
    <w:basedOn w:val="Normal"/>
    <w:uiPriority w:val="34"/>
    <w:qFormat/>
    <w:rsid w:val="00da5d17"/>
    <w:pPr>
      <w:spacing w:before="0" w:after="160"/>
      <w:ind w:left="720" w:hanging="0"/>
      <w:contextualSpacing/>
    </w:pPr>
    <w:rPr/>
  </w:style>
  <w:style w:type="paragraph" w:styleId="BalloonText">
    <w:name w:val="Balloon Text"/>
    <w:basedOn w:val="Normal"/>
    <w:link w:val="TextodegloboCar"/>
    <w:uiPriority w:val="99"/>
    <w:semiHidden/>
    <w:unhideWhenUsed/>
    <w:qFormat/>
    <w:rsid w:val="00982a67"/>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anmigueldesalinas.e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508</TotalTime>
  <Application>LibreOffice/6.3.3.2$Windows_X86_64 LibreOffice_project/a64200df03143b798afd1ec74a12ab50359878ed</Application>
  <Pages>13</Pages>
  <Words>4475</Words>
  <Characters>24580</Characters>
  <CharactersWithSpaces>29037</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2021-05-10T08:42:00Z</dcterms:created>
  <dc:creator>Cuenta Microsoft</dc:creator>
  <dc:description/>
  <dc:language>es-ES</dc:language>
  <cp:lastModifiedBy>Cuenta Microsoft</cp:lastModifiedBy>
  <cp:lastPrinted>2021-05-12T09:41:00Z</cp:lastPrinted>
  <dcterms:modified xsi:type="dcterms:W3CDTF">2021-08-16T08:05:00Z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