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714D44">
        <w:rPr>
          <w:rFonts w:ascii="Times New Roman" w:hAnsi="Times New Roman"/>
          <w:b w:val="0"/>
          <w:bCs w:val="0"/>
          <w:i/>
          <w:lang w:val="gl-ES"/>
        </w:rPr>
        <w:t>e Lobeira</w:t>
      </w:r>
      <w:r w:rsidRPr="00F46E15">
        <w:rPr>
          <w:rFonts w:ascii="Times New Roman" w:hAnsi="Times New Roman"/>
          <w:b w:val="0"/>
          <w:bCs w:val="0"/>
          <w:i/>
          <w:lang w:val="gl-ES"/>
        </w:rPr>
        <w:t xml:space="preserve">, nos seguintes termos: </w:t>
      </w:r>
    </w:p>
    <w:p w:rsidR="00E56CB7" w:rsidRPr="00E56CB7" w:rsidRDefault="00E56CB7" w:rsidP="00E56CB7">
      <w:pPr>
        <w:widowControl/>
        <w:autoSpaceDE/>
        <w:autoSpaceDN/>
        <w:adjustRightInd/>
        <w:spacing w:line="360" w:lineRule="auto"/>
        <w:jc w:val="both"/>
        <w:rPr>
          <w:rFonts w:ascii="Times New Roman" w:hAnsi="Times New Roman"/>
          <w:b w:val="0"/>
          <w:bCs w:val="0"/>
          <w:i/>
          <w:lang w:val="gl-ES"/>
        </w:rPr>
      </w:pPr>
      <w:r w:rsidRPr="00E56CB7">
        <w:rPr>
          <w:rFonts w:ascii="Times New Roman" w:hAnsi="Times New Roman"/>
          <w:b w:val="0"/>
          <w:bCs w:val="0"/>
          <w:i/>
          <w:lang w:val="gl-ES"/>
        </w:rPr>
        <w:t>-</w:t>
      </w:r>
      <w:r w:rsidRPr="00E56CB7">
        <w:rPr>
          <w:rFonts w:ascii="Times New Roman" w:hAnsi="Times New Roman"/>
          <w:bCs w:val="0"/>
          <w:i/>
          <w:lang w:val="gl-ES"/>
        </w:rPr>
        <w:t>Importe</w:t>
      </w:r>
      <w:r w:rsidRPr="00E56CB7">
        <w:rPr>
          <w:rFonts w:ascii="Times New Roman" w:hAnsi="Times New Roman"/>
          <w:b w:val="0"/>
          <w:bCs w:val="0"/>
          <w:i/>
          <w:lang w:val="gl-ES"/>
        </w:rPr>
        <w:t xml:space="preserve">: 9.000,00 euros. </w:t>
      </w:r>
    </w:p>
    <w:p w:rsidR="00E56CB7" w:rsidRPr="00E56CB7" w:rsidRDefault="00E56CB7" w:rsidP="00E56CB7">
      <w:pPr>
        <w:widowControl/>
        <w:autoSpaceDE/>
        <w:autoSpaceDN/>
        <w:adjustRightInd/>
        <w:spacing w:line="360" w:lineRule="auto"/>
        <w:jc w:val="both"/>
        <w:rPr>
          <w:rFonts w:ascii="Times New Roman" w:hAnsi="Times New Roman"/>
          <w:bCs w:val="0"/>
          <w:i/>
          <w:lang w:val="gl-ES"/>
        </w:rPr>
      </w:pPr>
      <w:r w:rsidRPr="00E56CB7">
        <w:rPr>
          <w:rFonts w:ascii="Times New Roman" w:hAnsi="Times New Roman"/>
          <w:bCs w:val="0"/>
          <w:i/>
          <w:lang w:val="gl-ES"/>
        </w:rPr>
        <w:t xml:space="preserve">-Obxecto: </w:t>
      </w:r>
      <w:r w:rsidRPr="00E56CB7">
        <w:rPr>
          <w:rFonts w:ascii="Times New Roman" w:hAnsi="Times New Roman"/>
          <w:b w:val="0"/>
          <w:bCs w:val="0"/>
          <w:i/>
          <w:lang w:val="gl-ES"/>
        </w:rPr>
        <w:t>Tratamento e abastecemento de augas veciñais.</w:t>
      </w:r>
      <w:r w:rsidRPr="00E56CB7">
        <w:rPr>
          <w:rFonts w:ascii="Times New Roman" w:hAnsi="Times New Roman"/>
          <w:bCs w:val="0"/>
          <w:i/>
          <w:lang w:val="gl-ES"/>
        </w:rPr>
        <w:t xml:space="preserve"> </w:t>
      </w:r>
    </w:p>
    <w:p w:rsidR="00E56CB7" w:rsidRPr="00E56CB7" w:rsidRDefault="00E56CB7" w:rsidP="00E56CB7">
      <w:pPr>
        <w:widowControl/>
        <w:autoSpaceDE/>
        <w:autoSpaceDN/>
        <w:adjustRightInd/>
        <w:spacing w:line="360" w:lineRule="auto"/>
        <w:jc w:val="both"/>
        <w:rPr>
          <w:rFonts w:ascii="Times New Roman" w:hAnsi="Times New Roman"/>
          <w:b w:val="0"/>
          <w:bCs w:val="0"/>
          <w:i/>
          <w:lang w:val="gl-ES"/>
        </w:rPr>
      </w:pPr>
      <w:r w:rsidRPr="00E56CB7">
        <w:rPr>
          <w:rFonts w:ascii="Times New Roman" w:hAnsi="Times New Roman"/>
          <w:bCs w:val="0"/>
          <w:i/>
          <w:lang w:val="gl-ES"/>
        </w:rPr>
        <w:t>Xustificación</w:t>
      </w:r>
      <w:r w:rsidRPr="00E56CB7">
        <w:rPr>
          <w:rFonts w:ascii="Times New Roman" w:hAnsi="Times New Roman"/>
          <w:b w:val="0"/>
          <w:bCs w:val="0"/>
          <w:i/>
          <w:lang w:val="gl-ES"/>
        </w:rPr>
        <w:t xml:space="preserve">: </w:t>
      </w:r>
      <w:r w:rsidRPr="00E56CB7">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1.- Que se cumpriu a finalidade para a que foi concedida a subvención.</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3.- Que a xustificación da subvención de referencia, acada o importe do proxecto presentado para a concesión da subvención (</w:t>
      </w:r>
      <w:r w:rsidRPr="00E56CB7">
        <w:rPr>
          <w:rFonts w:ascii="Times New Roman" w:hAnsi="Times New Roman"/>
          <w:b w:val="0"/>
          <w:bCs w:val="0"/>
          <w:i/>
          <w:lang w:val="gl-ES"/>
        </w:rPr>
        <w:t>10.000,00 euros)</w:t>
      </w:r>
      <w:r w:rsidRPr="00E56CB7">
        <w:rPr>
          <w:rFonts w:ascii="Times New Roman" w:hAnsi="Times New Roman"/>
          <w:b w:val="0"/>
          <w:bCs w:val="0"/>
          <w:i/>
          <w:color w:val="000000"/>
          <w:lang w:val="gl-ES"/>
        </w:rPr>
        <w:t xml:space="preserve"> indicando, en caso contrario, a porcentaxe que supón.</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 xml:space="preserve">4.- Que os documentos xustificativos do gasto foron aprobados polo órgano competente. </w:t>
      </w:r>
    </w:p>
    <w:p w:rsidR="00E56CB7" w:rsidRPr="00E56CB7" w:rsidRDefault="00E56CB7" w:rsidP="00E56CB7">
      <w:pPr>
        <w:widowControl/>
        <w:autoSpaceDE/>
        <w:autoSpaceDN/>
        <w:adjustRightInd/>
        <w:spacing w:line="360" w:lineRule="auto"/>
        <w:jc w:val="both"/>
        <w:rPr>
          <w:rFonts w:ascii="Times New Roman" w:hAnsi="Times New Roman"/>
          <w:b w:val="0"/>
          <w:bCs w:val="0"/>
          <w:i/>
          <w:lang w:val="gl-ES"/>
        </w:rPr>
      </w:pPr>
      <w:r w:rsidRPr="00E56CB7">
        <w:rPr>
          <w:rFonts w:ascii="Times New Roman" w:hAnsi="Times New Roman"/>
          <w:b w:val="0"/>
          <w:bCs w:val="0"/>
          <w:i/>
          <w:color w:val="000000"/>
          <w:lang w:val="gl-ES"/>
        </w:rPr>
        <w:t xml:space="preserve">5.- </w:t>
      </w:r>
      <w:r w:rsidRPr="00E56CB7">
        <w:rPr>
          <w:rFonts w:ascii="Times New Roman" w:hAnsi="Times New Roman"/>
          <w:b w:val="0"/>
          <w:bCs w:val="0"/>
          <w:i/>
          <w:lang w:val="gl-ES"/>
        </w:rPr>
        <w:t>Que a entidade local se atope ao corrente das súas obrigas tributarias coa Facenda Estatal, Autonómica e coa Seguridade Social.</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E56CB7" w:rsidRPr="00E56CB7" w:rsidRDefault="00E56CB7" w:rsidP="00E56CB7">
      <w:pPr>
        <w:widowControl/>
        <w:adjustRightInd/>
        <w:spacing w:line="360" w:lineRule="auto"/>
        <w:jc w:val="both"/>
        <w:rPr>
          <w:rFonts w:ascii="Times New Roman" w:hAnsi="Times New Roman"/>
          <w:b w:val="0"/>
          <w:bCs w:val="0"/>
          <w:i/>
          <w:color w:val="000000"/>
          <w:lang w:val="gl-ES"/>
        </w:rPr>
      </w:pPr>
      <w:r w:rsidRPr="00E56CB7">
        <w:rPr>
          <w:rFonts w:ascii="Times New Roman" w:hAnsi="Times New Roman"/>
          <w:b w:val="0"/>
          <w:bCs w:val="0"/>
          <w:i/>
          <w:color w:val="000000"/>
          <w:lang w:val="gl-ES"/>
        </w:rPr>
        <w:t xml:space="preserve">7.- Que se cumpriu coa normativa aplicable en materia de contratos do sector público, en particular, coa lei 9/2017, de 8 de novembro, de </w:t>
      </w:r>
      <w:r>
        <w:rPr>
          <w:rFonts w:ascii="Times New Roman" w:hAnsi="Times New Roman"/>
          <w:b w:val="0"/>
          <w:bCs w:val="0"/>
          <w:i/>
          <w:color w:val="000000"/>
          <w:lang w:val="gl-ES"/>
        </w:rPr>
        <w:t>c</w:t>
      </w:r>
      <w:r w:rsidRPr="00E56CB7">
        <w:rPr>
          <w:rFonts w:ascii="Times New Roman" w:hAnsi="Times New Roman"/>
          <w:b w:val="0"/>
          <w:bCs w:val="0"/>
          <w:i/>
          <w:color w:val="000000"/>
          <w:lang w:val="gl-ES"/>
        </w:rPr>
        <w:t>ontratos do</w:t>
      </w:r>
      <w:r>
        <w:rPr>
          <w:rFonts w:ascii="Times New Roman" w:hAnsi="Times New Roman"/>
          <w:b w:val="0"/>
          <w:bCs w:val="0"/>
          <w:i/>
          <w:color w:val="000000"/>
          <w:lang w:val="gl-ES"/>
        </w:rPr>
        <w:t xml:space="preserve"> s</w:t>
      </w:r>
      <w:r w:rsidRPr="00E56CB7">
        <w:rPr>
          <w:rFonts w:ascii="Times New Roman" w:hAnsi="Times New Roman"/>
          <w:b w:val="0"/>
          <w:bCs w:val="0"/>
          <w:i/>
          <w:color w:val="000000"/>
          <w:lang w:val="gl-ES"/>
        </w:rPr>
        <w:t xml:space="preserve">ector </w:t>
      </w:r>
      <w:r>
        <w:rPr>
          <w:rFonts w:ascii="Times New Roman" w:hAnsi="Times New Roman"/>
          <w:b w:val="0"/>
          <w:bCs w:val="0"/>
          <w:i/>
          <w:color w:val="000000"/>
          <w:lang w:val="gl-ES"/>
        </w:rPr>
        <w:t>p</w:t>
      </w:r>
      <w:r w:rsidRPr="00E56CB7">
        <w:rPr>
          <w:rFonts w:ascii="Times New Roman" w:hAnsi="Times New Roman"/>
          <w:b w:val="0"/>
          <w:bCs w:val="0"/>
          <w:i/>
          <w:color w:val="000000"/>
          <w:lang w:val="gl-ES"/>
        </w:rPr>
        <w:t>úblico.</w:t>
      </w:r>
    </w:p>
    <w:p w:rsidR="00E56CB7" w:rsidRPr="00E56CB7" w:rsidRDefault="00E56CB7" w:rsidP="00E56CB7">
      <w:pPr>
        <w:widowControl/>
        <w:adjustRightInd/>
        <w:spacing w:line="360" w:lineRule="auto"/>
        <w:ind w:firstLine="708"/>
        <w:jc w:val="both"/>
        <w:rPr>
          <w:rFonts w:ascii="Times New Roman" w:eastAsia="Calibri" w:hAnsi="Times New Roman"/>
          <w:b w:val="0"/>
          <w:bCs w:val="0"/>
          <w:i/>
          <w:lang w:val="gl-ES" w:eastAsia="en-US"/>
        </w:rPr>
      </w:pPr>
      <w:bookmarkStart w:id="0" w:name="_GoBack"/>
      <w:bookmarkEnd w:id="0"/>
      <w:r w:rsidRPr="00E56CB7">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56CB7">
        <w:rPr>
          <w:rFonts w:ascii="Times New Roman" w:eastAsia="Calibri" w:hAnsi="Times New Roman"/>
          <w:b w:val="0"/>
          <w:bCs w:val="0"/>
          <w:i/>
          <w:iCs/>
          <w:lang w:val="gl-ES" w:eastAsia="en-US"/>
        </w:rPr>
        <w:t>artigo 37 da Lei xeral de subvencións.</w:t>
      </w:r>
    </w:p>
    <w:p w:rsidR="00E56CB7" w:rsidRPr="00E56CB7" w:rsidRDefault="00E56CB7" w:rsidP="00E56CB7">
      <w:pPr>
        <w:widowControl/>
        <w:autoSpaceDE/>
        <w:autoSpaceDN/>
        <w:adjustRightInd/>
        <w:spacing w:line="360" w:lineRule="auto"/>
        <w:ind w:firstLine="708"/>
        <w:jc w:val="both"/>
        <w:rPr>
          <w:rFonts w:ascii="Times New Roman" w:hAnsi="Times New Roman"/>
          <w:b w:val="0"/>
          <w:bCs w:val="0"/>
          <w:i/>
          <w:lang w:val="gl-ES"/>
        </w:rPr>
      </w:pPr>
      <w:r w:rsidRPr="00E56CB7">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56CB7" w:rsidRPr="00E56CB7" w:rsidRDefault="00E56CB7" w:rsidP="00E56CB7">
      <w:pPr>
        <w:widowControl/>
        <w:autoSpaceDE/>
        <w:autoSpaceDN/>
        <w:adjustRightInd/>
        <w:spacing w:line="360" w:lineRule="auto"/>
        <w:ind w:firstLine="708"/>
        <w:jc w:val="both"/>
        <w:rPr>
          <w:rFonts w:ascii="Times New Roman" w:hAnsi="Times New Roman"/>
          <w:b w:val="0"/>
          <w:bCs w:val="0"/>
          <w:i/>
          <w:lang w:val="gl-ES"/>
        </w:rPr>
      </w:pPr>
      <w:r w:rsidRPr="00E56CB7">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56CB7" w:rsidRPr="00E56CB7" w:rsidRDefault="00E56CB7" w:rsidP="00E56CB7">
      <w:pPr>
        <w:widowControl/>
        <w:autoSpaceDE/>
        <w:autoSpaceDN/>
        <w:adjustRightInd/>
        <w:spacing w:line="360" w:lineRule="auto"/>
        <w:jc w:val="both"/>
        <w:rPr>
          <w:rFonts w:ascii="Times New Roman" w:hAnsi="Times New Roman"/>
          <w:b w:val="0"/>
          <w:bCs w:val="0"/>
          <w:i/>
          <w:lang w:val="gl-ES"/>
        </w:rPr>
      </w:pPr>
      <w:r w:rsidRPr="00E56CB7">
        <w:rPr>
          <w:rFonts w:ascii="Times New Roman" w:hAnsi="Times New Roman"/>
          <w:b w:val="0"/>
          <w:bCs w:val="0"/>
          <w:i/>
          <w:lang w:val="gl-ES"/>
        </w:rPr>
        <w:t>-</w:t>
      </w:r>
      <w:r w:rsidRPr="00E56CB7">
        <w:rPr>
          <w:rFonts w:ascii="Times New Roman" w:hAnsi="Times New Roman"/>
          <w:bCs w:val="0"/>
          <w:i/>
          <w:lang w:val="gl-ES"/>
        </w:rPr>
        <w:t>Prazo xustificación</w:t>
      </w:r>
      <w:r w:rsidRPr="00E56CB7">
        <w:rPr>
          <w:rFonts w:ascii="Times New Roman" w:hAnsi="Times New Roman"/>
          <w:b w:val="0"/>
          <w:bCs w:val="0"/>
          <w:i/>
          <w:lang w:val="gl-ES"/>
        </w:rPr>
        <w:t xml:space="preserve">: ata o 30 de outubro de 2021. </w:t>
      </w:r>
    </w:p>
    <w:p w:rsidR="00E56CB7" w:rsidRPr="00E56CB7" w:rsidRDefault="00E56CB7" w:rsidP="00E56CB7">
      <w:pPr>
        <w:widowControl/>
        <w:autoSpaceDE/>
        <w:autoSpaceDN/>
        <w:adjustRightInd/>
        <w:spacing w:line="360" w:lineRule="auto"/>
        <w:ind w:firstLine="708"/>
        <w:jc w:val="both"/>
        <w:rPr>
          <w:rFonts w:ascii="Times New Roman" w:hAnsi="Times New Roman"/>
          <w:b w:val="0"/>
          <w:bCs w:val="0"/>
          <w:i/>
          <w:lang w:val="gl-ES"/>
        </w:rPr>
      </w:pPr>
      <w:r w:rsidRPr="00E56CB7">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E56CB7">
        <w:rPr>
          <w:rFonts w:ascii="Times New Roman" w:hAnsi="Times New Roman"/>
          <w:b w:val="0"/>
          <w:bCs w:val="0"/>
          <w:i/>
          <w:lang w:val="gl-ES"/>
        </w:rPr>
        <w:t>”</w:t>
      </w:r>
      <w:r w:rsidRPr="00E56CB7">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4D44"/>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56CB7"/>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619</Words>
  <Characters>3408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2021-07-30T08:58:00Z</dcterms:created>
  <dcterms:modified xsi:type="dcterms:W3CDTF">2021-07-30T09:00:00Z</dcterms:modified>
</cp:coreProperties>
</file>