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sz w:val="24"/>
          <w:u w:val="single"/>
        </w:rPr>
      </w:pPr>
      <w:r>
        <w:rPr>
          <w:b/>
          <w:bCs/>
          <w:sz w:val="24"/>
          <w:u w:val="single"/>
        </w:rPr>
      </w:r>
    </w:p>
    <w:p>
      <w:pPr>
        <w:pStyle w:val="Normal"/>
        <w:jc w:val="center"/>
        <w:rPr>
          <w:b/>
          <w:b/>
          <w:bCs/>
          <w:sz w:val="24"/>
          <w:u w:val="single"/>
        </w:rPr>
      </w:pPr>
      <w:r>
        <w:rPr>
          <w:b/>
          <w:bCs/>
          <w:sz w:val="24"/>
          <w:u w:val="single"/>
        </w:rPr>
      </w:r>
    </w:p>
    <w:p>
      <w:pPr>
        <w:pStyle w:val="Normal"/>
        <w:jc w:val="center"/>
        <w:rPr>
          <w:b/>
          <w:b/>
          <w:bCs/>
          <w:sz w:val="24"/>
          <w:u w:val="single"/>
        </w:rPr>
      </w:pPr>
      <w:r>
        <w:rPr>
          <w:b/>
          <w:bCs/>
          <w:sz w:val="24"/>
          <w:u w:val="single"/>
        </w:rPr>
      </w:r>
    </w:p>
    <w:p>
      <w:pPr>
        <w:pStyle w:val="Normal"/>
        <w:jc w:val="center"/>
        <w:rPr>
          <w:b/>
          <w:b/>
          <w:bCs/>
          <w:sz w:val="24"/>
          <w:u w:val="single"/>
        </w:rPr>
      </w:pPr>
      <w:r>
        <w:rPr>
          <w:b/>
          <w:bCs/>
          <w:sz w:val="24"/>
          <w:u w:val="single"/>
        </w:rPr>
        <w:t>BASES REGULADORAS DE LA DELEGACIÓN DE IGUALDAD Y BIENESTAR SOCIAL DEL EXCMO. AYUNTAMIENTO DE ALGECIRAS PARA LA CONCESIÓN DE SUBVENCIONES A LAS ASOCIACIONES Y OTRAS ONG, SIN ÁNIMO DE LUCRO PARA EL EJERCICIO ECONÓMICO 2021</w:t>
      </w:r>
    </w:p>
    <w:p>
      <w:pPr>
        <w:pStyle w:val="Normal"/>
        <w:jc w:val="center"/>
        <w:rPr>
          <w:b/>
          <w:b/>
          <w:bCs/>
          <w:sz w:val="24"/>
          <w:u w:val="single"/>
        </w:rPr>
      </w:pPr>
      <w:r>
        <w:rPr>
          <w:b/>
          <w:bCs/>
          <w:sz w:val="24"/>
          <w:u w:val="single"/>
        </w:rPr>
      </w:r>
    </w:p>
    <w:p>
      <w:pPr>
        <w:pStyle w:val="Normal"/>
        <w:jc w:val="center"/>
        <w:rPr>
          <w:b/>
          <w:b/>
          <w:bCs/>
          <w:sz w:val="24"/>
          <w:u w:val="single"/>
        </w:rPr>
      </w:pPr>
      <w:r>
        <w:rPr>
          <w:b/>
          <w:bCs/>
          <w:sz w:val="24"/>
          <w:u w:val="single"/>
        </w:rPr>
      </w:r>
    </w:p>
    <w:p>
      <w:pPr>
        <w:pStyle w:val="Normal"/>
        <w:jc w:val="center"/>
        <w:rPr>
          <w:b/>
          <w:b/>
          <w:bCs/>
          <w:sz w:val="24"/>
          <w:u w:val="single"/>
        </w:rPr>
      </w:pPr>
      <w:r>
        <w:rPr>
          <w:b/>
          <w:bCs/>
          <w:sz w:val="24"/>
          <w:u w:val="single"/>
        </w:rPr>
      </w:r>
    </w:p>
    <w:p>
      <w:pPr>
        <w:pStyle w:val="Normal"/>
        <w:jc w:val="center"/>
        <w:rPr>
          <w:b/>
          <w:b/>
          <w:bCs/>
          <w:sz w:val="24"/>
          <w:u w:val="single"/>
        </w:rPr>
      </w:pPr>
      <w:r>
        <w:rPr>
          <w:b/>
          <w:bCs/>
          <w:sz w:val="24"/>
          <w:u w:val="single"/>
        </w:rPr>
      </w:r>
    </w:p>
    <w:p>
      <w:pPr>
        <w:pStyle w:val="Normal"/>
        <w:jc w:val="center"/>
        <w:rPr>
          <w:b/>
          <w:b/>
          <w:bCs/>
          <w:sz w:val="24"/>
          <w:u w:val="single"/>
        </w:rPr>
      </w:pPr>
      <w:r>
        <w:rPr>
          <w:b/>
          <w:bCs/>
          <w:sz w:val="24"/>
          <w:u w:val="single"/>
        </w:rPr>
        <w:t>INDICE</w:t>
      </w:r>
    </w:p>
    <w:p>
      <w:pPr>
        <w:pStyle w:val="Normal"/>
        <w:jc w:val="center"/>
        <w:rPr>
          <w:b/>
          <w:b/>
          <w:bCs/>
          <w:sz w:val="24"/>
          <w:u w:val="single"/>
        </w:rPr>
      </w:pPr>
      <w:r>
        <w:rPr>
          <w:b/>
          <w:bCs/>
          <w:sz w:val="24"/>
          <w:u w:val="single"/>
        </w:rPr>
      </w:r>
    </w:p>
    <w:p>
      <w:pPr>
        <w:pStyle w:val="Normal"/>
        <w:jc w:val="center"/>
        <w:rPr>
          <w:b/>
          <w:b/>
          <w:bCs/>
          <w:sz w:val="24"/>
          <w:u w:val="single"/>
        </w:rPr>
      </w:pPr>
      <w:r>
        <w:rPr>
          <w:b/>
          <w:bCs/>
          <w:sz w:val="24"/>
          <w:u w:val="single"/>
        </w:rPr>
      </w:r>
    </w:p>
    <w:p>
      <w:pPr>
        <w:pStyle w:val="Normal"/>
        <w:jc w:val="center"/>
        <w:rPr>
          <w:b/>
          <w:b/>
          <w:bCs/>
          <w:sz w:val="24"/>
          <w:u w:val="single"/>
        </w:rPr>
      </w:pPr>
      <w:r>
        <w:rPr>
          <w:b/>
          <w:bCs/>
          <w:sz w:val="24"/>
          <w:u w:val="single"/>
        </w:rPr>
      </w:r>
    </w:p>
    <w:p>
      <w:pPr>
        <w:pStyle w:val="Normal"/>
        <w:jc w:val="both"/>
        <w:rPr>
          <w:sz w:val="24"/>
        </w:rPr>
      </w:pPr>
      <w:r>
        <w:rPr>
          <w:sz w:val="24"/>
        </w:rPr>
        <w:t>I-</w:t>
        <w:tab/>
        <w:t>OBJETO DE LA CONVOCATORIA</w:t>
      </w:r>
    </w:p>
    <w:p>
      <w:pPr>
        <w:pStyle w:val="Normal"/>
        <w:jc w:val="both"/>
        <w:rPr>
          <w:sz w:val="24"/>
        </w:rPr>
      </w:pPr>
      <w:r>
        <w:rPr>
          <w:sz w:val="24"/>
        </w:rPr>
        <w:t xml:space="preserve">II.- </w:t>
        <w:tab/>
        <w:t>REQUISITOS DE LAS AYUDAS, BENEFICIARIOS</w:t>
      </w:r>
    </w:p>
    <w:p>
      <w:pPr>
        <w:pStyle w:val="Normal"/>
        <w:jc w:val="both"/>
        <w:rPr>
          <w:sz w:val="24"/>
        </w:rPr>
      </w:pPr>
      <w:r>
        <w:rPr>
          <w:sz w:val="24"/>
        </w:rPr>
        <w:t>III.-</w:t>
        <w:tab/>
        <w:t>FINANCIACIÓN DE LAS AYUDAS</w:t>
      </w:r>
    </w:p>
    <w:p>
      <w:pPr>
        <w:pStyle w:val="Normal"/>
        <w:jc w:val="both"/>
        <w:rPr>
          <w:sz w:val="24"/>
        </w:rPr>
      </w:pPr>
      <w:r>
        <w:rPr>
          <w:sz w:val="24"/>
        </w:rPr>
        <w:t>IV-</w:t>
        <w:tab/>
        <w:t>SOLICITUD Y DOCUMENTACIÓN</w:t>
      </w:r>
    </w:p>
    <w:p>
      <w:pPr>
        <w:pStyle w:val="Normal"/>
        <w:jc w:val="both"/>
        <w:rPr>
          <w:sz w:val="24"/>
        </w:rPr>
      </w:pPr>
      <w:r>
        <w:rPr>
          <w:sz w:val="24"/>
        </w:rPr>
        <w:t>V.-</w:t>
        <w:tab/>
        <w:t>LUGAR Y PLAZO DE PRESENTACIÓN DE SOLICITUDES</w:t>
      </w:r>
    </w:p>
    <w:p>
      <w:pPr>
        <w:pStyle w:val="Normal"/>
        <w:jc w:val="both"/>
        <w:rPr>
          <w:sz w:val="24"/>
        </w:rPr>
      </w:pPr>
      <w:r>
        <w:rPr>
          <w:sz w:val="24"/>
        </w:rPr>
        <w:t>VI.</w:t>
        <w:tab/>
        <w:t>TRAMITACIÓN Y VALORACIÓN DE LAS SOLICITUDES</w:t>
      </w:r>
    </w:p>
    <w:p>
      <w:pPr>
        <w:pStyle w:val="Normal"/>
        <w:jc w:val="both"/>
        <w:rPr>
          <w:sz w:val="24"/>
        </w:rPr>
      </w:pPr>
      <w:r>
        <w:rPr>
          <w:sz w:val="24"/>
        </w:rPr>
        <w:t>VII.-</w:t>
        <w:tab/>
        <w:t>RESOLUCIÓN DE CONCESIÓN DE LAS SUBVENCIONES</w:t>
      </w:r>
    </w:p>
    <w:p>
      <w:pPr>
        <w:pStyle w:val="Normal"/>
        <w:jc w:val="both"/>
        <w:rPr>
          <w:sz w:val="24"/>
        </w:rPr>
      </w:pPr>
      <w:r>
        <w:rPr>
          <w:sz w:val="24"/>
        </w:rPr>
        <w:t>VIII-</w:t>
        <w:tab/>
        <w:t>CUANTIA Y APLICAACIÓN PRESUPUESTARIA</w:t>
      </w:r>
    </w:p>
    <w:p>
      <w:pPr>
        <w:pStyle w:val="Normal"/>
        <w:jc w:val="both"/>
        <w:rPr>
          <w:sz w:val="24"/>
        </w:rPr>
      </w:pPr>
      <w:r>
        <w:rPr>
          <w:sz w:val="24"/>
        </w:rPr>
        <w:t>IX.-</w:t>
        <w:tab/>
        <w:t>JUSTIFICACIONES DE LAS SUBVENCIONES</w:t>
      </w:r>
    </w:p>
    <w:p>
      <w:pPr>
        <w:pStyle w:val="Normal"/>
        <w:jc w:val="both"/>
        <w:rPr>
          <w:sz w:val="24"/>
        </w:rPr>
      </w:pPr>
      <w:r>
        <w:rPr>
          <w:sz w:val="24"/>
        </w:rPr>
        <w:t xml:space="preserve">X.- </w:t>
        <w:tab/>
        <w:t>OBLIGACIONES DE LAS ENTIDADES BENEFICIARIAS</w:t>
      </w:r>
    </w:p>
    <w:p>
      <w:pPr>
        <w:pStyle w:val="Normal"/>
        <w:jc w:val="both"/>
        <w:rPr>
          <w:sz w:val="24"/>
        </w:rPr>
      </w:pPr>
      <w:r>
        <w:rPr>
          <w:sz w:val="24"/>
        </w:rPr>
        <w:t>XI..-</w:t>
        <w:tab/>
        <w:t>INFRACCIONES Y SANCIONES</w:t>
      </w:r>
    </w:p>
    <w:p>
      <w:pPr>
        <w:pStyle w:val="Normal"/>
        <w:jc w:val="both"/>
        <w:rPr>
          <w:b/>
          <w:b/>
          <w:bCs/>
          <w:sz w:val="24"/>
        </w:rPr>
      </w:pPr>
      <w:r>
        <w:rPr>
          <w:b/>
          <w:bCs/>
          <w:sz w:val="24"/>
        </w:rPr>
      </w:r>
    </w:p>
    <w:p>
      <w:pPr>
        <w:pStyle w:val="Normal"/>
        <w:jc w:val="both"/>
        <w:rPr>
          <w:b/>
          <w:b/>
          <w:bCs/>
          <w:sz w:val="24"/>
        </w:rPr>
      </w:pPr>
      <w:r>
        <w:rPr>
          <w:b/>
          <w:bCs/>
          <w:sz w:val="24"/>
        </w:rPr>
      </w:r>
    </w:p>
    <w:p>
      <w:pPr>
        <w:pStyle w:val="Normal"/>
        <w:jc w:val="both"/>
        <w:rPr/>
      </w:pPr>
      <w:r>
        <w:rPr>
          <w:rStyle w:val="Fuentedeprrafopredeter"/>
          <w:b/>
          <w:bCs/>
          <w:sz w:val="24"/>
        </w:rPr>
        <w:tab/>
        <w:tab/>
        <w:tab/>
        <w:tab/>
        <w:tab/>
        <w:tab/>
      </w:r>
      <w:r>
        <w:rPr>
          <w:rStyle w:val="Fuentedeprrafopredeter"/>
          <w:b/>
          <w:bCs/>
          <w:sz w:val="24"/>
          <w:u w:val="single"/>
        </w:rPr>
        <w:t>ANEXOS</w:t>
      </w:r>
    </w:p>
    <w:p>
      <w:pPr>
        <w:pStyle w:val="Normal"/>
        <w:jc w:val="both"/>
        <w:rPr>
          <w:sz w:val="24"/>
        </w:rPr>
      </w:pPr>
      <w:r>
        <w:rPr>
          <w:sz w:val="24"/>
        </w:rPr>
      </w:r>
    </w:p>
    <w:p>
      <w:pPr>
        <w:pStyle w:val="Normal"/>
        <w:numPr>
          <w:ilvl w:val="0"/>
          <w:numId w:val="3"/>
        </w:numPr>
        <w:jc w:val="both"/>
        <w:rPr>
          <w:sz w:val="24"/>
        </w:rPr>
      </w:pPr>
      <w:r>
        <w:rPr>
          <w:sz w:val="24"/>
        </w:rPr>
        <w:t>INSTANCIA DE SOLICITUD.</w:t>
      </w:r>
    </w:p>
    <w:p>
      <w:pPr>
        <w:pStyle w:val="Normal"/>
        <w:numPr>
          <w:ilvl w:val="0"/>
          <w:numId w:val="3"/>
        </w:numPr>
        <w:jc w:val="both"/>
        <w:rPr>
          <w:sz w:val="24"/>
        </w:rPr>
      </w:pPr>
      <w:r>
        <w:rPr>
          <w:sz w:val="24"/>
        </w:rPr>
        <w:t>MODELO DE DECLARACIÓN EXPRESA RESPONSABLE.</w:t>
      </w:r>
    </w:p>
    <w:p>
      <w:pPr>
        <w:pStyle w:val="Normal"/>
        <w:tabs>
          <w:tab w:val="clear" w:pos="709"/>
        </w:tabs>
        <w:ind w:left="720" w:hanging="0"/>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b/>
          <w:b/>
          <w:bCs/>
          <w:sz w:val="24"/>
          <w:u w:val="single"/>
        </w:rPr>
      </w:pPr>
      <w:r>
        <w:rPr>
          <w:b/>
          <w:bCs/>
          <w:sz w:val="24"/>
          <w:u w:val="single"/>
        </w:rPr>
      </w:r>
    </w:p>
    <w:p>
      <w:pPr>
        <w:pStyle w:val="Normal"/>
        <w:jc w:val="both"/>
        <w:rPr>
          <w:b/>
          <w:b/>
          <w:bCs/>
          <w:sz w:val="24"/>
        </w:rPr>
      </w:pPr>
      <w:r>
        <w:rPr>
          <w:b/>
          <w:bCs/>
          <w:sz w:val="24"/>
        </w:rPr>
        <w:t>I.- OBJETO DE LA CONVOCATORIA</w:t>
      </w:r>
    </w:p>
    <w:p>
      <w:pPr>
        <w:pStyle w:val="Normal"/>
        <w:jc w:val="both"/>
        <w:rPr>
          <w:b/>
          <w:b/>
          <w:bCs/>
          <w:sz w:val="24"/>
        </w:rPr>
      </w:pPr>
      <w:r>
        <w:rPr>
          <w:b/>
          <w:bCs/>
          <w:sz w:val="24"/>
        </w:rPr>
      </w:r>
    </w:p>
    <w:p>
      <w:pPr>
        <w:pStyle w:val="Normal"/>
        <w:jc w:val="both"/>
        <w:rPr>
          <w:sz w:val="24"/>
        </w:rPr>
      </w:pPr>
      <w:r>
        <w:rPr>
          <w:sz w:val="24"/>
        </w:rPr>
        <w:tab/>
        <w:t>La presente convocatoria de subvención tiene por objeto la concesión, en régimen de concurrencia competitiva, de ayudas económicas a asociaciones, y demás entidades sin ánimo de lucro de la ciudad de Algeciras, para el desarrollo de actividades y programas de carácter social y de interés social para la Ciudad durante el año 2021, siendo su objetivo principal los Servicios Sociales de conformidad establecido en la Ley de 9/2016, de 27 de diciembre.</w:t>
      </w:r>
    </w:p>
    <w:p>
      <w:pPr>
        <w:pStyle w:val="Normal"/>
        <w:ind w:firstLine="1137"/>
        <w:jc w:val="both"/>
        <w:rPr>
          <w:sz w:val="24"/>
        </w:rPr>
      </w:pPr>
      <w:r>
        <w:rPr>
          <w:sz w:val="24"/>
        </w:rPr>
      </w:r>
    </w:p>
    <w:p>
      <w:pPr>
        <w:pStyle w:val="Normal"/>
        <w:jc w:val="both"/>
        <w:rPr/>
      </w:pPr>
      <w:r>
        <w:rPr>
          <w:rStyle w:val="Fuentedeprrafopredeter"/>
          <w:sz w:val="24"/>
        </w:rPr>
        <w:tab/>
        <w:t xml:space="preserve">Se considerarán programas de interés general, a los efectos de la presente convocatoria de subvenciones, los programas dirigidos a la promoción, apoyo a colectivos vulnerables o en situación o riesgo de exclusión social, que sean complementarios a los realizados por la Delegación de Igualdad y Bienestar Social, </w:t>
      </w:r>
      <w:r>
        <w:rPr>
          <w:rStyle w:val="Fuentedeprrafopredeter"/>
          <w:b/>
          <w:bCs/>
          <w:sz w:val="24"/>
        </w:rPr>
        <w:t>que se realicen inexcusablemente en el término municipal de Algeciras.</w:t>
      </w:r>
    </w:p>
    <w:p>
      <w:pPr>
        <w:pStyle w:val="Normal"/>
        <w:ind w:firstLine="1137"/>
        <w:jc w:val="both"/>
        <w:rPr>
          <w:b/>
          <w:b/>
          <w:bCs/>
          <w:sz w:val="24"/>
        </w:rPr>
      </w:pPr>
      <w:r>
        <w:rPr>
          <w:b/>
          <w:bCs/>
          <w:sz w:val="24"/>
        </w:rPr>
      </w:r>
    </w:p>
    <w:p>
      <w:pPr>
        <w:pStyle w:val="Normal"/>
        <w:jc w:val="both"/>
        <w:rPr>
          <w:b/>
          <w:b/>
          <w:bCs/>
          <w:sz w:val="24"/>
        </w:rPr>
      </w:pPr>
      <w:r>
        <w:rPr>
          <w:b/>
          <w:bCs/>
          <w:sz w:val="24"/>
        </w:rPr>
      </w:r>
    </w:p>
    <w:p>
      <w:pPr>
        <w:pStyle w:val="Normal"/>
        <w:jc w:val="both"/>
        <w:rPr>
          <w:b/>
          <w:b/>
          <w:bCs/>
          <w:sz w:val="24"/>
          <w:u w:val="single"/>
        </w:rPr>
      </w:pPr>
      <w:r>
        <w:rPr>
          <w:b/>
          <w:bCs/>
          <w:sz w:val="24"/>
          <w:u w:val="single"/>
        </w:rPr>
        <w:t>II.- REQUISITOS DE LAS AYUDAS, BENEFICIARIOS.</w:t>
      </w:r>
    </w:p>
    <w:p>
      <w:pPr>
        <w:pStyle w:val="Normal"/>
        <w:jc w:val="both"/>
        <w:rPr>
          <w:sz w:val="24"/>
          <w:u w:val="single"/>
        </w:rPr>
      </w:pPr>
      <w:r>
        <w:rPr>
          <w:sz w:val="24"/>
          <w:u w:val="single"/>
        </w:rPr>
      </w:r>
    </w:p>
    <w:p>
      <w:pPr>
        <w:pStyle w:val="Normal"/>
        <w:jc w:val="both"/>
        <w:rPr>
          <w:sz w:val="24"/>
          <w:u w:val="single"/>
        </w:rPr>
      </w:pPr>
      <w:r>
        <w:rPr>
          <w:sz w:val="24"/>
          <w:u w:val="single"/>
        </w:rPr>
      </w:r>
    </w:p>
    <w:p>
      <w:pPr>
        <w:pStyle w:val="Normal"/>
        <w:jc w:val="both"/>
        <w:rPr>
          <w:sz w:val="24"/>
        </w:rPr>
      </w:pPr>
      <w:r>
        <w:rPr>
          <w:sz w:val="24"/>
        </w:rPr>
        <w:t>1.- Podrán concurrir a la convocatoria las asociaciones, fundaciones y demás entidades sin ánimo de lucro, que desarrollen sus actividades en el ámbito de esta convocatoria, dentro del municipio de Algeciras.</w:t>
      </w:r>
    </w:p>
    <w:p>
      <w:pPr>
        <w:pStyle w:val="Normal"/>
        <w:jc w:val="both"/>
        <w:rPr>
          <w:sz w:val="24"/>
        </w:rPr>
      </w:pPr>
      <w:r>
        <w:rPr>
          <w:sz w:val="24"/>
        </w:rPr>
      </w:r>
    </w:p>
    <w:p>
      <w:pPr>
        <w:pStyle w:val="Normal"/>
        <w:jc w:val="both"/>
        <w:rPr>
          <w:sz w:val="24"/>
        </w:rPr>
      </w:pPr>
      <w:r>
        <w:rPr>
          <w:sz w:val="24"/>
        </w:rPr>
        <w:t>2.- Para ser beneficiario de las ayudas deberán cumplir los siguientes requisitos:</w:t>
      </w:r>
    </w:p>
    <w:p>
      <w:pPr>
        <w:pStyle w:val="Normal"/>
        <w:jc w:val="both"/>
        <w:rPr>
          <w:sz w:val="24"/>
        </w:rPr>
      </w:pPr>
      <w:r>
        <w:rPr>
          <w:sz w:val="24"/>
        </w:rPr>
      </w:r>
    </w:p>
    <w:p>
      <w:pPr>
        <w:pStyle w:val="Normal"/>
        <w:jc w:val="both"/>
        <w:rPr>
          <w:sz w:val="24"/>
        </w:rPr>
      </w:pPr>
      <w:r>
        <w:rPr>
          <w:sz w:val="24"/>
        </w:rPr>
        <w:tab/>
        <w:t xml:space="preserve">2.1 - Las Asociaciones, fundaciones y demás ONG, deberán estar legalmente constituidas </w:t>
        <w:tab/>
        <w:t>como tales e inscritas en el Registro Municipal de Asociaciones del Ayuntamiento de Algeciras, o en el caso de no tener forma jurídica asociativa, en el registro que corresponda.</w:t>
      </w:r>
    </w:p>
    <w:p>
      <w:pPr>
        <w:pStyle w:val="Normal"/>
        <w:jc w:val="both"/>
        <w:rPr>
          <w:sz w:val="24"/>
        </w:rPr>
      </w:pPr>
      <w:r>
        <w:rPr>
          <w:sz w:val="24"/>
        </w:rPr>
      </w:r>
    </w:p>
    <w:p>
      <w:pPr>
        <w:pStyle w:val="Normal"/>
        <w:jc w:val="both"/>
        <w:rPr>
          <w:sz w:val="24"/>
        </w:rPr>
      </w:pPr>
      <w:r>
        <w:rPr>
          <w:sz w:val="24"/>
        </w:rPr>
        <w:tab/>
        <w:t xml:space="preserve">2.2 - No estar incursas las personas jurídicas o las entidades, o las personas que ostentan la </w:t>
        <w:tab/>
        <w:t>representación legal de las mismas, en alguno de los supuestos de prohibición para obtener la condición de beneficiario de subvenciones, por incapacidad o incompatibilidad, establecidos en el artículo 13 de la Ley 38/2003, de 17 de noviembre, general de subvenciones (BOE del 18 de noviembre).</w:t>
      </w:r>
    </w:p>
    <w:p>
      <w:pPr>
        <w:pStyle w:val="Normal"/>
        <w:jc w:val="both"/>
        <w:rPr>
          <w:sz w:val="24"/>
        </w:rPr>
      </w:pPr>
      <w:r>
        <w:rPr>
          <w:sz w:val="24"/>
        </w:rPr>
      </w:r>
    </w:p>
    <w:p>
      <w:pPr>
        <w:pStyle w:val="Normal"/>
        <w:jc w:val="both"/>
        <w:rPr>
          <w:sz w:val="24"/>
        </w:rPr>
      </w:pPr>
      <w:r>
        <w:rPr>
          <w:sz w:val="24"/>
        </w:rPr>
        <w:tab/>
        <w:t xml:space="preserve">2.3 - Encontrarse al corriente de sus obligaciones Tributarias, de la Seguridad Social y no ser </w:t>
        <w:tab/>
        <w:t xml:space="preserve">deudor del Ayuntamiento de Algeciras y entidades de derecho público dependientes del mismo, por cualquier tipo de deuda de derecho público, vencida, líquida y exigible por la vía de apremio, todo ello con anterioridad a la Propuesta de Resolución de concesión de las </w:t>
        <w:tab/>
        <w:t>subvenciones.</w:t>
      </w:r>
    </w:p>
    <w:p>
      <w:pPr>
        <w:pStyle w:val="Normal"/>
        <w:jc w:val="both"/>
        <w:rPr>
          <w:sz w:val="24"/>
        </w:rPr>
      </w:pPr>
      <w:r>
        <w:rPr>
          <w:sz w:val="24"/>
        </w:rPr>
      </w:r>
    </w:p>
    <w:p>
      <w:pPr>
        <w:pStyle w:val="Normal"/>
        <w:jc w:val="both"/>
        <w:rPr>
          <w:sz w:val="24"/>
        </w:rPr>
      </w:pPr>
      <w:r>
        <w:rPr>
          <w:sz w:val="24"/>
        </w:rPr>
        <w:tab/>
        <w:t>2.4 - Tener justificados debidamente los gastos correspondientes a subvenciones concedidas con anterioridad por el Ayuntamiento de Algeciras, hallarse al corriente de pago, en su caso, de obligaciones por reintegro de subvenciones y no haber sido sancionado, mediante resolución firme con la pérdida de la posibilidad de obtener subvenciones según la Ley General de Subvenciones o la Ley General Tributaria.</w:t>
      </w:r>
    </w:p>
    <w:p>
      <w:pPr>
        <w:pStyle w:val="Normal"/>
        <w:jc w:val="both"/>
        <w:rPr>
          <w:sz w:val="24"/>
        </w:rPr>
      </w:pPr>
      <w:r>
        <w:rPr>
          <w:sz w:val="24"/>
        </w:rPr>
      </w:r>
    </w:p>
    <w:p>
      <w:pPr>
        <w:pStyle w:val="Normal"/>
        <w:jc w:val="both"/>
        <w:rPr>
          <w:sz w:val="24"/>
        </w:rPr>
      </w:pPr>
      <w:r>
        <w:rPr>
          <w:sz w:val="24"/>
        </w:rPr>
        <w:tab/>
        <w:t>2.5 - Tener presentado en la Delegación de Igualdad y Bienestar Social la memoria de la actividad y/o proyecto.</w:t>
      </w:r>
    </w:p>
    <w:p>
      <w:pPr>
        <w:pStyle w:val="Normal"/>
        <w:jc w:val="both"/>
        <w:rPr>
          <w:sz w:val="24"/>
        </w:rPr>
      </w:pPr>
      <w:r>
        <w:rPr>
          <w:sz w:val="24"/>
        </w:rPr>
      </w:r>
    </w:p>
    <w:p>
      <w:pPr>
        <w:pStyle w:val="Normal"/>
        <w:jc w:val="both"/>
        <w:rPr>
          <w:b/>
          <w:b/>
          <w:bCs/>
          <w:sz w:val="24"/>
        </w:rPr>
      </w:pPr>
      <w:r>
        <w:rPr>
          <w:b/>
          <w:bCs/>
          <w:sz w:val="24"/>
        </w:rPr>
      </w:r>
    </w:p>
    <w:p>
      <w:pPr>
        <w:pStyle w:val="Normal"/>
        <w:jc w:val="both"/>
        <w:rPr>
          <w:b/>
          <w:b/>
          <w:bCs/>
          <w:sz w:val="24"/>
          <w:u w:val="single"/>
        </w:rPr>
      </w:pPr>
      <w:r>
        <w:rPr>
          <w:b/>
          <w:bCs/>
          <w:sz w:val="24"/>
          <w:u w:val="single"/>
        </w:rPr>
        <w:t>III.- FINANCIACIÓN DE LAS AYUDAS.</w:t>
      </w:r>
    </w:p>
    <w:p>
      <w:pPr>
        <w:pStyle w:val="Normal"/>
        <w:jc w:val="both"/>
        <w:rPr>
          <w:sz w:val="24"/>
        </w:rPr>
      </w:pPr>
      <w:r>
        <w:rPr>
          <w:sz w:val="24"/>
        </w:rPr>
        <w:t xml:space="preserve"> </w:t>
      </w:r>
    </w:p>
    <w:p>
      <w:pPr>
        <w:pStyle w:val="Normal"/>
        <w:jc w:val="both"/>
        <w:rPr>
          <w:sz w:val="24"/>
        </w:rPr>
      </w:pPr>
      <w:r>
        <w:rPr>
          <w:sz w:val="24"/>
        </w:rPr>
      </w:r>
    </w:p>
    <w:p>
      <w:pPr>
        <w:pStyle w:val="Normal"/>
        <w:jc w:val="both"/>
        <w:rPr>
          <w:sz w:val="24"/>
        </w:rPr>
      </w:pPr>
      <w:r>
        <w:rPr>
          <w:sz w:val="24"/>
        </w:rPr>
        <w:t>1.- Con carácter general las ayudas consistirán en una subvención económica para financiar los gastos de los proyectos seleccionados. El importe de la subvención o ayuda en ningún caso podrá ser de tal cuantía, que aislada o en concurrencia con otras subvenciones, ayudas, ingresos o recursos, supere el coste de la actividad subvencionada o proyecto a desarrollar por la entidad beneficiaria, y se establecerán a partir del presupuesto municipal que la Delegación de Igualdad y Bienestar Social tenga para tal fin, limitada a disponibilidades económicas.</w:t>
      </w:r>
    </w:p>
    <w:p>
      <w:pPr>
        <w:pStyle w:val="Normal"/>
        <w:jc w:val="both"/>
        <w:rPr>
          <w:sz w:val="24"/>
        </w:rPr>
      </w:pPr>
      <w:r>
        <w:rPr>
          <w:sz w:val="24"/>
        </w:rPr>
      </w:r>
    </w:p>
    <w:p>
      <w:pPr>
        <w:pStyle w:val="Normal"/>
        <w:jc w:val="both"/>
        <w:rPr>
          <w:sz w:val="24"/>
        </w:rPr>
      </w:pPr>
      <w:r>
        <w:rPr>
          <w:sz w:val="24"/>
        </w:rPr>
        <w:t>2.- Un mismo proyecto o programa de actividad no podrá financiarse por distintas administraciones, si el proyecto presentado es susceptible de cofinanciación por otras Administraciones, se debería especificar la parte que corresponda a cada una de ellas, siendo la que corresponda al Ayuntamiento de Algeciras la que se desarrolle exclusivamente en dicho municipio.</w:t>
      </w:r>
    </w:p>
    <w:p>
      <w:pPr>
        <w:pStyle w:val="Normal"/>
        <w:jc w:val="both"/>
        <w:rPr>
          <w:sz w:val="24"/>
        </w:rPr>
      </w:pPr>
      <w:r>
        <w:rPr>
          <w:sz w:val="24"/>
        </w:rPr>
      </w:r>
    </w:p>
    <w:p>
      <w:pPr>
        <w:pStyle w:val="Normal"/>
        <w:jc w:val="both"/>
        <w:rPr>
          <w:sz w:val="24"/>
        </w:rPr>
      </w:pPr>
      <w:r>
        <w:rPr>
          <w:sz w:val="24"/>
        </w:rPr>
        <w:t>3.-No podrán ser subvencionadas aquellas entidades que no garanticen su funcionamiento democrático, con celebración de elecciones periódicas, participación de socios y socias y cumplimiento de su objeto social, y que incumplan lo establecido en el art.º 13.1 de la Ley 38/2003, de 17 de noviembre de 2003, de la Ley General de Subvenciones.</w:t>
      </w:r>
    </w:p>
    <w:p>
      <w:pPr>
        <w:pStyle w:val="Normal"/>
        <w:jc w:val="both"/>
        <w:rPr>
          <w:sz w:val="24"/>
        </w:rPr>
      </w:pPr>
      <w:r>
        <w:rPr>
          <w:sz w:val="24"/>
        </w:rPr>
      </w:r>
    </w:p>
    <w:p>
      <w:pPr>
        <w:pStyle w:val="Normal"/>
        <w:jc w:val="both"/>
        <w:rPr>
          <w:sz w:val="24"/>
        </w:rPr>
      </w:pPr>
      <w:r>
        <w:rPr>
          <w:sz w:val="24"/>
        </w:rPr>
        <w:t>NOTA: Se consideran gastos subvencionables, aquellos que, de manera indubitada, respondan a la naturaleza de la actividad subvencionada y se realicen en el plazo establecido, pudiendo considerarse como tales, aquellos que se hayan efectuado con anterioridad a la concesión de la subvención, siempre que se refieran a costes reales de las actuaciones subvencionadas por la convocatoria. En el caso de que las actuaciones sean de continuidad, únicamente se admitirán los gastos producidos desde la fecha de finalización de la ejecución de la actuación subvencionada en la convocatoria anterior.  Gastos de personal (nóminas, seguros sociales y retenciones de Hacienda), Alquiler de inmueble para el desarrollo de las actividades, Suministros, Gastos de Limpieza, Material fungible, Material de Reprografía, Material de papelería, Material de Limpieza, Material didáctico, Material farmacéutico.</w:t>
      </w:r>
    </w:p>
    <w:p>
      <w:pPr>
        <w:pStyle w:val="Normal"/>
        <w:jc w:val="both"/>
        <w:rPr>
          <w:sz w:val="24"/>
        </w:rPr>
      </w:pPr>
      <w:r>
        <w:rPr>
          <w:sz w:val="24"/>
        </w:rPr>
      </w:r>
    </w:p>
    <w:p>
      <w:pPr>
        <w:pStyle w:val="Normal"/>
        <w:jc w:val="both"/>
        <w:rPr>
          <w:b/>
          <w:b/>
          <w:bCs/>
          <w:sz w:val="24"/>
        </w:rPr>
      </w:pPr>
      <w:r>
        <w:rPr>
          <w:b/>
          <w:bCs/>
          <w:sz w:val="24"/>
        </w:rPr>
      </w:r>
    </w:p>
    <w:p>
      <w:pPr>
        <w:pStyle w:val="Normal"/>
        <w:jc w:val="both"/>
        <w:rPr>
          <w:b/>
          <w:b/>
          <w:bCs/>
          <w:sz w:val="24"/>
          <w:u w:val="single"/>
        </w:rPr>
      </w:pPr>
      <w:r>
        <w:rPr>
          <w:b/>
          <w:bCs/>
          <w:sz w:val="24"/>
          <w:u w:val="single"/>
        </w:rPr>
        <w:t>IV SOLICITUD Y DOCUMENTACIÓN.</w:t>
      </w:r>
    </w:p>
    <w:p>
      <w:pPr>
        <w:pStyle w:val="Normal"/>
        <w:jc w:val="both"/>
        <w:rPr>
          <w:b/>
          <w:b/>
          <w:bCs/>
          <w:sz w:val="24"/>
          <w:u w:val="single"/>
        </w:rPr>
      </w:pPr>
      <w:r>
        <w:rPr>
          <w:b/>
          <w:bCs/>
          <w:sz w:val="24"/>
          <w:u w:val="single"/>
        </w:rPr>
      </w:r>
    </w:p>
    <w:p>
      <w:pPr>
        <w:pStyle w:val="Normal"/>
        <w:jc w:val="both"/>
        <w:rPr>
          <w:b/>
          <w:b/>
          <w:bCs/>
          <w:sz w:val="24"/>
          <w:u w:val="single"/>
        </w:rPr>
      </w:pPr>
      <w:r>
        <w:rPr>
          <w:b/>
          <w:bCs/>
          <w:sz w:val="24"/>
          <w:u w:val="single"/>
        </w:rPr>
      </w:r>
    </w:p>
    <w:p>
      <w:pPr>
        <w:pStyle w:val="Normal"/>
        <w:jc w:val="both"/>
        <w:rPr/>
      </w:pPr>
      <w:r>
        <w:rPr>
          <w:rStyle w:val="Fuentedeprrafopredeter"/>
          <w:sz w:val="24"/>
        </w:rPr>
        <w:t xml:space="preserve">1.- Las entidades interesadas en concurrir deberán entregar a través de la sede  electrónica con acceso desde nuestra web municipal </w:t>
      </w:r>
      <w:hyperlink r:id="rId2" w:tgtFrame="_top">
        <w:bookmarkStart w:id="0" w:name="OBJ_PREFIX_DWT148_com_zimbra_url1"/>
        <w:bookmarkStart w:id="1" w:name="x_OBJ_PREFIX_DWT1607_com_zimbra_url1"/>
        <w:bookmarkStart w:id="2" w:name="x_OBJ_PREFIX_DWT1593_com_zimbra_url1"/>
        <w:bookmarkEnd w:id="0"/>
        <w:bookmarkEnd w:id="1"/>
        <w:bookmarkEnd w:id="2"/>
        <w:r>
          <w:rPr>
            <w:rStyle w:val="Fuentedeprrafopredeter"/>
            <w:sz w:val="24"/>
          </w:rPr>
          <w:t>http://www.algeciras.es/es/index.html</w:t>
        </w:r>
      </w:hyperlink>
      <w:r>
        <w:rPr>
          <w:rStyle w:val="Fuentedeprrafopredeter"/>
          <w:sz w:val="24"/>
        </w:rPr>
        <w:t xml:space="preserve"> ó directamente en </w:t>
      </w:r>
      <w:hyperlink r:id="rId3" w:tgtFrame="_top">
        <w:bookmarkStart w:id="3" w:name="OBJ_PREFIX_DWT149_com_zimbra_url1"/>
        <w:bookmarkStart w:id="4" w:name="x_OBJ_PREFIX_DWT1608_com_zimbra_url1"/>
        <w:bookmarkStart w:id="5" w:name="x_OBJ_PREFIX_DWT1594_com_zimbra_url1"/>
        <w:bookmarkEnd w:id="3"/>
        <w:bookmarkEnd w:id="4"/>
        <w:bookmarkEnd w:id="5"/>
        <w:r>
          <w:rPr>
            <w:rStyle w:val="Fuentedeprrafopredeter"/>
            <w:sz w:val="24"/>
          </w:rPr>
          <w:t>https://sede.algeciras.es/opencms/opencms/sede</w:t>
        </w:r>
      </w:hyperlink>
      <w:r>
        <w:rPr>
          <w:rStyle w:val="Fuentedeprrafopredeter"/>
          <w:sz w:val="24"/>
        </w:rPr>
        <w:t xml:space="preserve"> a través de la ventanilla única, la documentación que a continuación se detalla</w:t>
      </w:r>
    </w:p>
    <w:p>
      <w:pPr>
        <w:pStyle w:val="Normal"/>
        <w:jc w:val="both"/>
        <w:rPr>
          <w:sz w:val="24"/>
        </w:rPr>
      </w:pPr>
      <w:r>
        <w:rPr>
          <w:sz w:val="24"/>
        </w:rPr>
      </w:r>
    </w:p>
    <w:p>
      <w:pPr>
        <w:pStyle w:val="Normal"/>
        <w:numPr>
          <w:ilvl w:val="0"/>
          <w:numId w:val="4"/>
        </w:numPr>
        <w:jc w:val="both"/>
        <w:rPr>
          <w:sz w:val="24"/>
        </w:rPr>
      </w:pPr>
      <w:r>
        <w:rPr>
          <w:sz w:val="24"/>
        </w:rPr>
        <w:t>Instancia de Solicitud (se entregará el proyecto con todos los conceptos, así como se autoriza al Ayuntamiento a solicitar cualquier documentación, de la Asociación y/o Entidad necesaria para el estudio de la subvención solicitada)</w:t>
      </w:r>
    </w:p>
    <w:p>
      <w:pPr>
        <w:pStyle w:val="Normal"/>
        <w:tabs>
          <w:tab w:val="clear" w:pos="709"/>
        </w:tabs>
        <w:ind w:left="101" w:hanging="365"/>
        <w:jc w:val="both"/>
        <w:rPr>
          <w:sz w:val="24"/>
        </w:rPr>
      </w:pPr>
      <w:r>
        <w:rPr>
          <w:sz w:val="24"/>
        </w:rPr>
      </w:r>
    </w:p>
    <w:p>
      <w:pPr>
        <w:pStyle w:val="Normal"/>
        <w:jc w:val="both"/>
        <w:rPr>
          <w:sz w:val="24"/>
        </w:rPr>
      </w:pPr>
      <w:r>
        <w:rPr>
          <w:sz w:val="24"/>
        </w:rPr>
        <w:t>-.Documentación :</w:t>
      </w:r>
    </w:p>
    <w:p>
      <w:pPr>
        <w:pStyle w:val="Normal"/>
        <w:jc w:val="both"/>
        <w:rPr>
          <w:sz w:val="24"/>
        </w:rPr>
      </w:pPr>
      <w:r>
        <w:rPr>
          <w:sz w:val="24"/>
        </w:rPr>
      </w:r>
    </w:p>
    <w:p>
      <w:pPr>
        <w:pStyle w:val="Normal"/>
        <w:numPr>
          <w:ilvl w:val="0"/>
          <w:numId w:val="5"/>
        </w:numPr>
        <w:tabs>
          <w:tab w:val="clear" w:pos="709"/>
          <w:tab w:val="left" w:pos="360" w:leader="none"/>
        </w:tabs>
        <w:jc w:val="both"/>
        <w:rPr>
          <w:sz w:val="24"/>
        </w:rPr>
      </w:pPr>
      <w:r>
        <w:rPr>
          <w:sz w:val="24"/>
        </w:rPr>
        <w:t xml:space="preserve"> </w:t>
      </w:r>
      <w:r>
        <w:rPr>
          <w:sz w:val="24"/>
        </w:rPr>
        <w:t>Copia del Número de Identificación Fiscal.</w:t>
      </w:r>
    </w:p>
    <w:p>
      <w:pPr>
        <w:pStyle w:val="Normal"/>
        <w:numPr>
          <w:ilvl w:val="0"/>
          <w:numId w:val="5"/>
        </w:numPr>
        <w:tabs>
          <w:tab w:val="clear" w:pos="709"/>
          <w:tab w:val="left" w:pos="360" w:leader="none"/>
        </w:tabs>
        <w:jc w:val="both"/>
        <w:rPr>
          <w:sz w:val="24"/>
        </w:rPr>
      </w:pPr>
      <w:r>
        <w:rPr>
          <w:sz w:val="24"/>
        </w:rPr>
        <w:t xml:space="preserve"> </w:t>
      </w:r>
      <w:r>
        <w:rPr>
          <w:sz w:val="24"/>
        </w:rPr>
        <w:t>Copia del D.N.I. del representante de la Entidad.</w:t>
      </w:r>
    </w:p>
    <w:p>
      <w:pPr>
        <w:pStyle w:val="Normal"/>
        <w:numPr>
          <w:ilvl w:val="0"/>
          <w:numId w:val="5"/>
        </w:numPr>
        <w:tabs>
          <w:tab w:val="clear" w:pos="709"/>
          <w:tab w:val="left" w:pos="360" w:leader="none"/>
        </w:tabs>
        <w:jc w:val="both"/>
        <w:rPr>
          <w:sz w:val="24"/>
        </w:rPr>
      </w:pPr>
      <w:r>
        <w:rPr>
          <w:sz w:val="24"/>
        </w:rPr>
        <w:t xml:space="preserve"> </w:t>
      </w:r>
      <w:r>
        <w:rPr>
          <w:sz w:val="24"/>
        </w:rPr>
        <w:t>Certificado bancario del nº de cuenta donde se ha de ingresar, si procede, la subvención solicitada.</w:t>
      </w:r>
    </w:p>
    <w:p>
      <w:pPr>
        <w:pStyle w:val="Normal"/>
        <w:numPr>
          <w:ilvl w:val="0"/>
          <w:numId w:val="5"/>
        </w:numPr>
        <w:tabs>
          <w:tab w:val="clear" w:pos="709"/>
          <w:tab w:val="left" w:pos="360" w:leader="none"/>
        </w:tabs>
        <w:jc w:val="both"/>
        <w:rPr>
          <w:sz w:val="24"/>
        </w:rPr>
      </w:pPr>
      <w:r>
        <w:rPr>
          <w:sz w:val="24"/>
        </w:rPr>
        <w:t xml:space="preserve"> </w:t>
      </w:r>
      <w:r>
        <w:rPr>
          <w:sz w:val="24"/>
        </w:rPr>
        <w:t>Proyecto mecanizado a subvencionar (con un máximo de 5 páginas a una cara) para el que se solicita la subvención, en el cual debe constar los siguientes conceptos:</w:t>
      </w:r>
    </w:p>
    <w:p>
      <w:pPr>
        <w:pStyle w:val="Normal"/>
        <w:tabs>
          <w:tab w:val="clear" w:pos="709"/>
        </w:tabs>
        <w:ind w:left="360" w:hanging="0"/>
        <w:jc w:val="both"/>
        <w:rPr>
          <w:sz w:val="24"/>
        </w:rPr>
      </w:pPr>
      <w:r>
        <w:rPr>
          <w:sz w:val="24"/>
        </w:rPr>
        <w:t>- Nombre del Proyecto.</w:t>
      </w:r>
    </w:p>
    <w:p>
      <w:pPr>
        <w:pStyle w:val="Normal"/>
        <w:tabs>
          <w:tab w:val="clear" w:pos="709"/>
        </w:tabs>
        <w:ind w:left="360" w:hanging="0"/>
        <w:jc w:val="both"/>
        <w:rPr>
          <w:sz w:val="24"/>
        </w:rPr>
      </w:pPr>
      <w:r>
        <w:rPr>
          <w:sz w:val="24"/>
        </w:rPr>
        <w:t>- Programa a ejecutar.</w:t>
      </w:r>
    </w:p>
    <w:p>
      <w:pPr>
        <w:pStyle w:val="Normal"/>
        <w:tabs>
          <w:tab w:val="clear" w:pos="709"/>
        </w:tabs>
        <w:ind w:left="360" w:hanging="0"/>
        <w:jc w:val="both"/>
        <w:rPr>
          <w:sz w:val="24"/>
        </w:rPr>
      </w:pPr>
      <w:r>
        <w:rPr>
          <w:sz w:val="24"/>
        </w:rPr>
        <w:t>- Lugar y Periodo de ejecución.</w:t>
      </w:r>
    </w:p>
    <w:p>
      <w:pPr>
        <w:pStyle w:val="Normal"/>
        <w:tabs>
          <w:tab w:val="clear" w:pos="709"/>
        </w:tabs>
        <w:ind w:left="360" w:hanging="0"/>
        <w:jc w:val="both"/>
        <w:rPr>
          <w:sz w:val="24"/>
        </w:rPr>
      </w:pPr>
      <w:r>
        <w:rPr>
          <w:sz w:val="24"/>
        </w:rPr>
        <w:t>- Calendarios de las actividades a desarrollar.</w:t>
      </w:r>
    </w:p>
    <w:p>
      <w:pPr>
        <w:pStyle w:val="Normal"/>
        <w:tabs>
          <w:tab w:val="clear" w:pos="709"/>
        </w:tabs>
        <w:ind w:left="360" w:hanging="0"/>
        <w:jc w:val="both"/>
        <w:rPr>
          <w:sz w:val="24"/>
        </w:rPr>
      </w:pPr>
      <w:r>
        <w:rPr>
          <w:sz w:val="24"/>
        </w:rPr>
        <w:t>- Destinatarios y Nº de participantes.</w:t>
      </w:r>
    </w:p>
    <w:p>
      <w:pPr>
        <w:pStyle w:val="Normal"/>
        <w:tabs>
          <w:tab w:val="clear" w:pos="709"/>
        </w:tabs>
        <w:ind w:left="360" w:hanging="0"/>
        <w:jc w:val="both"/>
        <w:rPr>
          <w:sz w:val="24"/>
        </w:rPr>
      </w:pPr>
      <w:r>
        <w:rPr>
          <w:sz w:val="24"/>
        </w:rPr>
        <w:t>- Personal</w:t>
      </w:r>
    </w:p>
    <w:p>
      <w:pPr>
        <w:pStyle w:val="Normal"/>
        <w:tabs>
          <w:tab w:val="clear" w:pos="709"/>
        </w:tabs>
        <w:ind w:left="360" w:hanging="0"/>
        <w:jc w:val="both"/>
        <w:rPr>
          <w:sz w:val="24"/>
        </w:rPr>
      </w:pPr>
      <w:r>
        <w:rPr>
          <w:sz w:val="24"/>
        </w:rPr>
        <w:t>- Voluntariado.</w:t>
      </w:r>
    </w:p>
    <w:p>
      <w:pPr>
        <w:pStyle w:val="Normal"/>
        <w:tabs>
          <w:tab w:val="clear" w:pos="709"/>
        </w:tabs>
        <w:ind w:left="360" w:hanging="0"/>
        <w:jc w:val="both"/>
        <w:rPr>
          <w:sz w:val="24"/>
        </w:rPr>
      </w:pPr>
      <w:r>
        <w:rPr>
          <w:sz w:val="24"/>
        </w:rPr>
        <w:t>- Cuantía solicitada.</w:t>
      </w:r>
    </w:p>
    <w:p>
      <w:pPr>
        <w:pStyle w:val="Normal"/>
        <w:tabs>
          <w:tab w:val="clear" w:pos="709"/>
        </w:tabs>
        <w:ind w:left="360" w:hanging="0"/>
        <w:jc w:val="both"/>
        <w:rPr>
          <w:sz w:val="24"/>
        </w:rPr>
      </w:pPr>
      <w:r>
        <w:rPr>
          <w:sz w:val="24"/>
        </w:rPr>
        <w:t>- Desglose de gastos e ingresos.</w:t>
      </w:r>
    </w:p>
    <w:p>
      <w:pPr>
        <w:pStyle w:val="Normal"/>
        <w:numPr>
          <w:ilvl w:val="0"/>
          <w:numId w:val="5"/>
        </w:numPr>
        <w:tabs>
          <w:tab w:val="clear" w:pos="709"/>
          <w:tab w:val="left" w:pos="360" w:leader="none"/>
        </w:tabs>
        <w:jc w:val="both"/>
        <w:rPr>
          <w:sz w:val="24"/>
        </w:rPr>
      </w:pPr>
      <w:r>
        <w:rPr>
          <w:sz w:val="24"/>
        </w:rPr>
        <w:t xml:space="preserve"> </w:t>
      </w:r>
      <w:r>
        <w:rPr>
          <w:sz w:val="24"/>
        </w:rPr>
        <w:t>Certificado de estar al corriente con las obligaciones de la Agencia Tributaria, Seguridad Social</w:t>
      </w:r>
    </w:p>
    <w:p>
      <w:pPr>
        <w:pStyle w:val="Normal"/>
        <w:numPr>
          <w:ilvl w:val="0"/>
          <w:numId w:val="5"/>
        </w:numPr>
        <w:tabs>
          <w:tab w:val="clear" w:pos="709"/>
          <w:tab w:val="left" w:pos="360" w:leader="none"/>
        </w:tabs>
        <w:jc w:val="both"/>
        <w:rPr>
          <w:sz w:val="24"/>
        </w:rPr>
      </w:pPr>
      <w:r>
        <w:rPr>
          <w:sz w:val="24"/>
        </w:rPr>
        <w:t xml:space="preserve"> </w:t>
      </w:r>
      <w:r>
        <w:rPr>
          <w:sz w:val="24"/>
        </w:rPr>
        <w:t>Estar al corriente con las obligaciones de la Tesorería Municipal del Ayuntamiento de Algeciras.</w:t>
      </w:r>
    </w:p>
    <w:p>
      <w:pPr>
        <w:pStyle w:val="Normal"/>
        <w:numPr>
          <w:ilvl w:val="0"/>
          <w:numId w:val="5"/>
        </w:numPr>
        <w:tabs>
          <w:tab w:val="clear" w:pos="709"/>
          <w:tab w:val="left" w:pos="360" w:leader="none"/>
        </w:tabs>
        <w:jc w:val="both"/>
        <w:rPr>
          <w:sz w:val="24"/>
        </w:rPr>
      </w:pPr>
      <w:r>
        <w:rPr>
          <w:sz w:val="24"/>
        </w:rPr>
        <w:t xml:space="preserve"> </w:t>
      </w:r>
      <w:r>
        <w:rPr>
          <w:sz w:val="24"/>
        </w:rPr>
        <w:t>Certificado actualizado de estar inscrita en el Registro Municipal de Asociaciones; o en el caso de no tener forma jurídica asociativa, en el registro que corresponda.</w:t>
      </w:r>
    </w:p>
    <w:p>
      <w:pPr>
        <w:pStyle w:val="Normal"/>
        <w:numPr>
          <w:ilvl w:val="0"/>
          <w:numId w:val="5"/>
        </w:numPr>
        <w:tabs>
          <w:tab w:val="clear" w:pos="709"/>
          <w:tab w:val="left" w:pos="360" w:leader="none"/>
        </w:tabs>
        <w:jc w:val="both"/>
        <w:rPr>
          <w:sz w:val="24"/>
        </w:rPr>
      </w:pPr>
      <w:r>
        <w:rPr>
          <w:sz w:val="24"/>
        </w:rPr>
        <w:t xml:space="preserve"> </w:t>
      </w:r>
      <w:r>
        <w:rPr>
          <w:sz w:val="24"/>
        </w:rPr>
        <w:t>Declaración expresa responsable, de que la entidad no está incursa en las prohibiciones recogidas en los apartados 2 y 3 del art. 13 de la Ley 38/2003, de 17 de noviembre, de la Ley General de Subvenciones, para obtener la condición de beneficiario de la subvención a otorgar por el Ayuntamiento de Algeciras (se adjunta modelo).</w:t>
      </w:r>
    </w:p>
    <w:p>
      <w:pPr>
        <w:pStyle w:val="Normal"/>
        <w:jc w:val="both"/>
        <w:rPr>
          <w:sz w:val="24"/>
        </w:rPr>
      </w:pPr>
      <w:r>
        <w:rPr>
          <w:sz w:val="24"/>
        </w:rPr>
      </w:r>
    </w:p>
    <w:p>
      <w:pPr>
        <w:pStyle w:val="Normal"/>
        <w:jc w:val="both"/>
        <w:rPr>
          <w:sz w:val="24"/>
        </w:rPr>
      </w:pPr>
      <w:r>
        <w:rPr>
          <w:sz w:val="24"/>
        </w:rPr>
        <w:tab/>
        <w:t>La Delegación podrá requerir la aportación de otra documentación acreditativa del cumplimiento de los requisitos para complementar la información facilitada por los solicitantes para una mejor valoración de los proyectos.</w:t>
      </w:r>
    </w:p>
    <w:p>
      <w:pPr>
        <w:pStyle w:val="Normal"/>
        <w:jc w:val="both"/>
        <w:rPr>
          <w:sz w:val="24"/>
        </w:rPr>
      </w:pPr>
      <w:r>
        <w:rPr>
          <w:sz w:val="24"/>
        </w:rPr>
      </w:r>
    </w:p>
    <w:p>
      <w:pPr>
        <w:pStyle w:val="Normal"/>
        <w:jc w:val="both"/>
        <w:rPr>
          <w:sz w:val="24"/>
        </w:rPr>
      </w:pPr>
      <w:r>
        <w:rPr>
          <w:sz w:val="24"/>
        </w:rPr>
        <w:t xml:space="preserve"> </w:t>
      </w:r>
    </w:p>
    <w:p>
      <w:pPr>
        <w:pStyle w:val="Normal"/>
        <w:jc w:val="both"/>
        <w:rPr>
          <w:b/>
          <w:b/>
          <w:bCs/>
          <w:sz w:val="24"/>
          <w:u w:val="single"/>
        </w:rPr>
      </w:pPr>
      <w:r>
        <w:rPr>
          <w:b/>
          <w:bCs/>
          <w:sz w:val="24"/>
          <w:u w:val="single"/>
        </w:rPr>
        <w:t>V.- LUGAR Y PLAZO DE PRESENTACIÓN DE LAS SOLICITUDES.</w:t>
      </w:r>
    </w:p>
    <w:p>
      <w:pPr>
        <w:pStyle w:val="Normal"/>
        <w:jc w:val="both"/>
        <w:rPr>
          <w:sz w:val="24"/>
        </w:rPr>
      </w:pPr>
      <w:r>
        <w:rPr>
          <w:sz w:val="24"/>
        </w:rPr>
      </w:r>
    </w:p>
    <w:p>
      <w:pPr>
        <w:pStyle w:val="Normal"/>
        <w:jc w:val="both"/>
        <w:rPr>
          <w:sz w:val="24"/>
        </w:rPr>
      </w:pPr>
      <w:r>
        <w:rPr>
          <w:sz w:val="24"/>
        </w:rPr>
        <w:tab/>
        <w:t>1.- La solicitud, acompañada de la documentación complementaria correspondiente, de acuerdo con lo establecido en las bases, deberán presentarse telemáticamente a través de la sede electrónica del Ayuntamiento de Algeciras.</w:t>
      </w:r>
    </w:p>
    <w:p>
      <w:pPr>
        <w:pStyle w:val="Normal"/>
        <w:jc w:val="both"/>
        <w:rPr>
          <w:sz w:val="24"/>
        </w:rPr>
      </w:pPr>
      <w:r>
        <w:rPr>
          <w:sz w:val="24"/>
        </w:rPr>
      </w:r>
    </w:p>
    <w:p>
      <w:pPr>
        <w:pStyle w:val="Normal"/>
        <w:jc w:val="both"/>
        <w:rPr>
          <w:sz w:val="24"/>
        </w:rPr>
      </w:pPr>
      <w:r>
        <w:rPr>
          <w:sz w:val="24"/>
        </w:rPr>
        <w:tab/>
        <w:t>Para ello deben de estar de Alta en la Sede digital del Ayuntamiento de Algeciras.</w:t>
      </w:r>
    </w:p>
    <w:p>
      <w:pPr>
        <w:pStyle w:val="Normal"/>
        <w:jc w:val="both"/>
        <w:rPr>
          <w:sz w:val="24"/>
        </w:rPr>
      </w:pPr>
      <w:r>
        <w:rPr>
          <w:sz w:val="24"/>
        </w:rPr>
      </w:r>
    </w:p>
    <w:p>
      <w:pPr>
        <w:pStyle w:val="Normal"/>
        <w:jc w:val="both"/>
        <w:rPr>
          <w:sz w:val="24"/>
        </w:rPr>
      </w:pPr>
      <w:r>
        <w:rPr>
          <w:sz w:val="24"/>
        </w:rPr>
        <w:tab/>
        <w:t>2.- El plazo de presentación de solicitudes será de 30 días naturales, contados a partir del día siguiente hábil de la publicación de la presente convocatoria en la Base de Datos Nacional de Subvenciones.</w:t>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r>
    </w:p>
    <w:p>
      <w:pPr>
        <w:pStyle w:val="Normal"/>
        <w:jc w:val="both"/>
        <w:rPr>
          <w:b/>
          <w:b/>
          <w:bCs/>
          <w:sz w:val="24"/>
          <w:u w:val="single"/>
        </w:rPr>
      </w:pPr>
      <w:r>
        <w:rPr>
          <w:b/>
          <w:bCs/>
          <w:sz w:val="24"/>
          <w:u w:val="single"/>
        </w:rPr>
        <w:t>VI.- TRAMITACIÓN Y VALORACIÓN DE LAS SOLICITUDES.</w:t>
      </w:r>
    </w:p>
    <w:p>
      <w:pPr>
        <w:pStyle w:val="Normal"/>
        <w:jc w:val="both"/>
        <w:rPr>
          <w:sz w:val="24"/>
        </w:rPr>
      </w:pPr>
      <w:r>
        <w:rPr>
          <w:sz w:val="24"/>
        </w:rPr>
      </w:r>
    </w:p>
    <w:p>
      <w:pPr>
        <w:pStyle w:val="Normal"/>
        <w:jc w:val="both"/>
        <w:rPr>
          <w:sz w:val="24"/>
        </w:rPr>
      </w:pPr>
      <w:r>
        <w:rPr>
          <w:sz w:val="24"/>
        </w:rPr>
        <w:tab/>
        <w:t>La Delegación de Igualdad y Bienestar Social, revisará los expedientes de solicitud y verificará la documentación exigida.</w:t>
      </w:r>
    </w:p>
    <w:p>
      <w:pPr>
        <w:pStyle w:val="Normal"/>
        <w:jc w:val="both"/>
        <w:rPr>
          <w:sz w:val="24"/>
        </w:rPr>
      </w:pPr>
      <w:r>
        <w:rPr>
          <w:sz w:val="24"/>
        </w:rPr>
      </w:r>
    </w:p>
    <w:p>
      <w:pPr>
        <w:pStyle w:val="Normal"/>
        <w:jc w:val="both"/>
        <w:rPr/>
      </w:pPr>
      <w:r>
        <w:rPr>
          <w:rStyle w:val="Fuentedeprrafopredeter"/>
          <w:sz w:val="24"/>
        </w:rPr>
        <w:tab/>
        <w:t xml:space="preserve">Si resulta que la documentación está incompleta o defectuosa, se requerirá a la entidad solicitante para que, en el plazo máximo de </w:t>
      </w:r>
      <w:r>
        <w:rPr>
          <w:rStyle w:val="Fuentedeprrafopredeter"/>
          <w:b/>
          <w:bCs/>
          <w:sz w:val="24"/>
        </w:rPr>
        <w:t>DIEZ DÍAS</w:t>
      </w:r>
      <w:r>
        <w:rPr>
          <w:rStyle w:val="Fuentedeprrafopredeter"/>
          <w:sz w:val="24"/>
        </w:rPr>
        <w:t>, aporte la documentación necesaria o subsane los defectos observados, haciéndole saber que, en caso contrario, se le tendrá por desistido de su petición, previa Resolución que será dictada en los términos del artículo 21 de la Ley 39/2015, de 1 de octubre, del Procedimiento Administrativo Común de las Administraciones Públicas, que será notificada al solicitante.</w:t>
      </w:r>
    </w:p>
    <w:p>
      <w:pPr>
        <w:pStyle w:val="Normal"/>
        <w:jc w:val="both"/>
        <w:rPr>
          <w:sz w:val="24"/>
        </w:rPr>
      </w:pPr>
      <w:r>
        <w:rPr>
          <w:sz w:val="24"/>
        </w:rPr>
      </w:r>
    </w:p>
    <w:p>
      <w:pPr>
        <w:pStyle w:val="Normal"/>
        <w:jc w:val="both"/>
        <w:rPr>
          <w:sz w:val="24"/>
        </w:rPr>
      </w:pPr>
      <w:r>
        <w:rPr>
          <w:sz w:val="24"/>
        </w:rPr>
        <w:tab/>
        <w:t>Por la Delegación de Igualdad y Bienestar Social, se podrá disponer que se efectué las comprobaciones oportunas sobre la veracidad de los datos aportados por las entidades peticionarias, pudiendo requerir los informes técnicos o de otra naturaleza que se consideren necesarios, para una mejor valoración de las mismas.</w:t>
      </w:r>
    </w:p>
    <w:p>
      <w:pPr>
        <w:pStyle w:val="Normal"/>
        <w:jc w:val="both"/>
        <w:rPr>
          <w:sz w:val="24"/>
        </w:rPr>
      </w:pPr>
      <w:r>
        <w:rPr>
          <w:sz w:val="24"/>
        </w:rPr>
      </w:r>
    </w:p>
    <w:p>
      <w:pPr>
        <w:pStyle w:val="Normal"/>
        <w:jc w:val="both"/>
        <w:rPr>
          <w:sz w:val="24"/>
        </w:rPr>
      </w:pPr>
      <w:r>
        <w:rPr>
          <w:sz w:val="24"/>
        </w:rPr>
        <w:tab/>
        <w:t>La Delegación de Igualdad y Bienestar Social, procederá a evaluar las solicitudes, teniendo en cuenta, el cumplimiento de los requisitos de carácter administrativo impuestas por las normas reguladoras, así como los criterios que a continuación se detallan:</w:t>
      </w:r>
    </w:p>
    <w:p>
      <w:pPr>
        <w:pStyle w:val="Normal"/>
        <w:jc w:val="both"/>
        <w:rPr>
          <w:sz w:val="24"/>
        </w:rPr>
      </w:pPr>
      <w:r>
        <w:rPr>
          <w:sz w:val="24"/>
        </w:rPr>
      </w:r>
    </w:p>
    <w:p>
      <w:pPr>
        <w:pStyle w:val="Normal"/>
        <w:jc w:val="both"/>
        <w:rPr>
          <w:sz w:val="24"/>
        </w:rPr>
      </w:pPr>
      <w:r>
        <w:rPr>
          <w:sz w:val="24"/>
        </w:rPr>
        <w:tab/>
        <w:t>a) Calidad técnica del proyecto incluyendo una justificación cualitativa de la necesidad de la realización del proyecto.</w:t>
      </w:r>
    </w:p>
    <w:p>
      <w:pPr>
        <w:pStyle w:val="Normal"/>
        <w:jc w:val="both"/>
        <w:rPr>
          <w:sz w:val="24"/>
        </w:rPr>
      </w:pPr>
      <w:r>
        <w:rPr>
          <w:sz w:val="24"/>
        </w:rPr>
      </w:r>
    </w:p>
    <w:p>
      <w:pPr>
        <w:pStyle w:val="Normal"/>
        <w:jc w:val="both"/>
        <w:rPr>
          <w:sz w:val="24"/>
        </w:rPr>
      </w:pPr>
      <w:r>
        <w:rPr>
          <w:sz w:val="24"/>
        </w:rPr>
        <w:tab/>
        <w:t>b) Se valorará la coordinación con otras asociaciones, entidades y/o administraciones públicas para el desarrollo de los programas y actividades propuestos, el grado de adecuación, los contenidos, las actividades, los planes, programas...</w:t>
      </w:r>
    </w:p>
    <w:p>
      <w:pPr>
        <w:pStyle w:val="Normal"/>
        <w:jc w:val="both"/>
        <w:rPr>
          <w:sz w:val="24"/>
        </w:rPr>
      </w:pPr>
      <w:r>
        <w:rPr>
          <w:sz w:val="24"/>
        </w:rPr>
      </w:r>
    </w:p>
    <w:p>
      <w:pPr>
        <w:pStyle w:val="Normal"/>
        <w:jc w:val="both"/>
        <w:rPr>
          <w:sz w:val="24"/>
        </w:rPr>
      </w:pPr>
      <w:r>
        <w:rPr>
          <w:sz w:val="24"/>
        </w:rPr>
        <w:tab/>
        <w:t>c) El enfoque de género de los proyectos presentados y las intervenciones o actuaciones dirigidas a favorecer la igualdad de oportunidades y una participación equilibrada entre mujeres y hombres.</w:t>
      </w:r>
    </w:p>
    <w:p>
      <w:pPr>
        <w:pStyle w:val="Normal"/>
        <w:jc w:val="both"/>
        <w:rPr>
          <w:sz w:val="24"/>
        </w:rPr>
      </w:pPr>
      <w:r>
        <w:rPr>
          <w:sz w:val="24"/>
        </w:rPr>
      </w:r>
    </w:p>
    <w:p>
      <w:pPr>
        <w:pStyle w:val="Normal"/>
        <w:jc w:val="both"/>
        <w:rPr>
          <w:sz w:val="24"/>
        </w:rPr>
      </w:pPr>
      <w:r>
        <w:rPr>
          <w:sz w:val="24"/>
        </w:rPr>
        <w:tab/>
        <w:t>d) El coste y la viabilidad económica del programa y/o actividades.</w:t>
      </w:r>
    </w:p>
    <w:p>
      <w:pPr>
        <w:pStyle w:val="Normal"/>
        <w:jc w:val="both"/>
        <w:rPr>
          <w:sz w:val="24"/>
        </w:rPr>
      </w:pPr>
      <w:r>
        <w:rPr>
          <w:sz w:val="24"/>
        </w:rPr>
      </w:r>
    </w:p>
    <w:p>
      <w:pPr>
        <w:pStyle w:val="Normal"/>
        <w:jc w:val="both"/>
        <w:rPr>
          <w:sz w:val="24"/>
        </w:rPr>
      </w:pPr>
      <w:r>
        <w:rPr>
          <w:sz w:val="24"/>
        </w:rPr>
        <w:tab/>
        <w:t>e) Se valorará los proyectos que más beneficien a la población de Algeciras.</w:t>
      </w:r>
    </w:p>
    <w:p>
      <w:pPr>
        <w:pStyle w:val="Normal"/>
        <w:jc w:val="both"/>
        <w:rPr>
          <w:sz w:val="24"/>
        </w:rPr>
      </w:pPr>
      <w:r>
        <w:rPr>
          <w:sz w:val="24"/>
        </w:rPr>
      </w:r>
    </w:p>
    <w:p>
      <w:pPr>
        <w:pStyle w:val="Normal"/>
        <w:jc w:val="both"/>
        <w:rPr>
          <w:sz w:val="24"/>
        </w:rPr>
      </w:pPr>
      <w:r>
        <w:rPr>
          <w:sz w:val="24"/>
        </w:rPr>
      </w:r>
    </w:p>
    <w:p>
      <w:pPr>
        <w:pStyle w:val="Normal"/>
        <w:jc w:val="both"/>
        <w:rPr>
          <w:sz w:val="24"/>
        </w:rPr>
      </w:pPr>
      <w:r>
        <w:rPr>
          <w:sz w:val="24"/>
        </w:rPr>
        <w:tab/>
        <w:t>La Delegación de Igualdad y Bienestar Social, emitirá los informes correspondientes de aprobación o denegación de la propuesta de subvención, de acuerdo con los criterios anteriormente descritos; así como la valoración económica propuesta.</w:t>
      </w:r>
    </w:p>
    <w:p>
      <w:pPr>
        <w:pStyle w:val="Normal"/>
        <w:ind w:firstLine="709"/>
        <w:jc w:val="both"/>
        <w:rPr>
          <w:sz w:val="24"/>
        </w:rPr>
      </w:pPr>
      <w:r>
        <w:rPr>
          <w:sz w:val="24"/>
        </w:rPr>
        <w:t>Además, se podrá incluir una relación ordenada de todas las solicitudes que, cumpliendo con las condiciones administrativas y técnicas establecidas en estas bases para adquirir la condición de beneficiario/a, no haya sido estimadas por rebasar la cuantía máxima del crédito fijado en la convocatoria.</w:t>
      </w:r>
    </w:p>
    <w:p>
      <w:pPr>
        <w:pStyle w:val="Normal"/>
        <w:jc w:val="both"/>
        <w:rPr>
          <w:sz w:val="24"/>
        </w:rPr>
      </w:pPr>
      <w:r>
        <w:rPr>
          <w:sz w:val="24"/>
        </w:rPr>
      </w:r>
    </w:p>
    <w:p>
      <w:pPr>
        <w:pStyle w:val="Normal"/>
        <w:jc w:val="both"/>
        <w:rPr>
          <w:sz w:val="24"/>
        </w:rPr>
      </w:pPr>
      <w:r>
        <w:rPr>
          <w:sz w:val="24"/>
        </w:rPr>
        <w:tab/>
        <w:t>Las solicitudes se valorarán con arreglo a la documentación aportada en el plazo establecido, a los informes emitidos y a las limitaciones presupuestarias y a los criterios que se especifican.</w:t>
      </w:r>
    </w:p>
    <w:p>
      <w:pPr>
        <w:pStyle w:val="Normal"/>
        <w:jc w:val="both"/>
        <w:rPr>
          <w:sz w:val="24"/>
        </w:rPr>
      </w:pPr>
      <w:r>
        <w:rPr>
          <w:sz w:val="24"/>
        </w:rPr>
        <w:tab/>
      </w:r>
    </w:p>
    <w:p>
      <w:pPr>
        <w:pStyle w:val="Normal"/>
        <w:jc w:val="both"/>
        <w:rPr>
          <w:sz w:val="24"/>
        </w:rPr>
      </w:pPr>
      <w:r>
        <w:rPr>
          <w:sz w:val="24"/>
        </w:rPr>
        <w:tab/>
        <w:t>El Órgano competente para la ordenación e instrucción del procedimiento de concesión será la Delegación de Igualdad y Bienestar Social</w:t>
      </w:r>
    </w:p>
    <w:p>
      <w:pPr>
        <w:pStyle w:val="Normal"/>
        <w:jc w:val="both"/>
        <w:rPr>
          <w:sz w:val="24"/>
        </w:rPr>
      </w:pPr>
      <w:r>
        <w:rPr>
          <w:sz w:val="24"/>
        </w:rPr>
      </w:r>
    </w:p>
    <w:p>
      <w:pPr>
        <w:pStyle w:val="Normal"/>
        <w:jc w:val="both"/>
        <w:rPr>
          <w:sz w:val="24"/>
        </w:rPr>
      </w:pPr>
      <w:r>
        <w:rPr>
          <w:sz w:val="24"/>
        </w:rPr>
        <w:tab/>
        <w:t>El Órgano competente para la resolución de la concesión de subvenciones será la Junta de Gobierno Local del Ayuntamiento de Algeciras</w:t>
      </w:r>
    </w:p>
    <w:p>
      <w:pPr>
        <w:pStyle w:val="Normal"/>
        <w:jc w:val="both"/>
        <w:rPr>
          <w:b/>
          <w:b/>
          <w:bCs/>
          <w:sz w:val="24"/>
        </w:rPr>
      </w:pPr>
      <w:r>
        <w:rPr>
          <w:b/>
          <w:bCs/>
          <w:sz w:val="24"/>
        </w:rPr>
      </w:r>
    </w:p>
    <w:p>
      <w:pPr>
        <w:pStyle w:val="Normal"/>
        <w:jc w:val="both"/>
        <w:rPr>
          <w:b/>
          <w:b/>
          <w:bCs/>
          <w:sz w:val="24"/>
        </w:rPr>
      </w:pPr>
      <w:r>
        <w:rPr>
          <w:b/>
          <w:bCs/>
          <w:sz w:val="24"/>
        </w:rPr>
      </w:r>
    </w:p>
    <w:p>
      <w:pPr>
        <w:pStyle w:val="Normal"/>
        <w:jc w:val="both"/>
        <w:rPr>
          <w:b/>
          <w:b/>
          <w:bCs/>
          <w:sz w:val="24"/>
          <w:u w:val="single"/>
        </w:rPr>
      </w:pPr>
      <w:r>
        <w:rPr>
          <w:b/>
          <w:bCs/>
          <w:sz w:val="24"/>
          <w:u w:val="single"/>
        </w:rPr>
        <w:t>VII.- RESOLUCIÓN DE CONCESIÓN DE SUBVENCIONES.</w:t>
      </w:r>
    </w:p>
    <w:p>
      <w:pPr>
        <w:pStyle w:val="Normal"/>
        <w:jc w:val="both"/>
        <w:rPr>
          <w:sz w:val="24"/>
        </w:rPr>
      </w:pPr>
      <w:r>
        <w:rPr>
          <w:sz w:val="24"/>
        </w:rPr>
      </w:r>
    </w:p>
    <w:p>
      <w:pPr>
        <w:pStyle w:val="Normal"/>
        <w:jc w:val="both"/>
        <w:rPr>
          <w:sz w:val="24"/>
        </w:rPr>
      </w:pPr>
      <w:r>
        <w:rPr>
          <w:sz w:val="24"/>
        </w:rPr>
        <w:tab/>
        <w:t>La Resolución por la que se concedan o denieguen las subvenciones, se adaptará en el plazo máximo de seis meses contados a partir de la fecha de la publicación de la convocatoria, transcurrido el plazo máximo para resolver el procedimiento, si no se ha dictado Resolución, se entenderá que la subvención ha sido desestimada.</w:t>
      </w:r>
    </w:p>
    <w:p>
      <w:pPr>
        <w:pStyle w:val="Normal"/>
        <w:jc w:val="both"/>
        <w:rPr>
          <w:sz w:val="24"/>
        </w:rPr>
      </w:pPr>
      <w:r>
        <w:rPr>
          <w:sz w:val="24"/>
        </w:rPr>
      </w:r>
    </w:p>
    <w:p>
      <w:pPr>
        <w:pStyle w:val="Normal"/>
        <w:jc w:val="both"/>
        <w:rPr>
          <w:b/>
          <w:b/>
          <w:bCs/>
          <w:sz w:val="24"/>
          <w:u w:val="single"/>
        </w:rPr>
      </w:pPr>
      <w:r>
        <w:rPr>
          <w:b/>
          <w:bCs/>
          <w:sz w:val="24"/>
          <w:u w:val="single"/>
        </w:rPr>
      </w:r>
    </w:p>
    <w:p>
      <w:pPr>
        <w:pStyle w:val="Normal"/>
        <w:jc w:val="both"/>
        <w:rPr>
          <w:b/>
          <w:b/>
          <w:bCs/>
          <w:sz w:val="24"/>
          <w:u w:val="single"/>
        </w:rPr>
      </w:pPr>
      <w:r>
        <w:rPr>
          <w:b/>
          <w:bCs/>
          <w:sz w:val="24"/>
          <w:u w:val="single"/>
        </w:rPr>
        <w:t>VIII.- CUANTIA Y APLICACIÓN PRESUPUESTARIA</w:t>
      </w:r>
    </w:p>
    <w:p>
      <w:pPr>
        <w:pStyle w:val="Normal"/>
        <w:jc w:val="both"/>
        <w:rPr>
          <w:b/>
          <w:b/>
          <w:bCs/>
          <w:sz w:val="24"/>
          <w:u w:val="single"/>
        </w:rPr>
      </w:pPr>
      <w:r>
        <w:rPr>
          <w:b/>
          <w:bCs/>
          <w:sz w:val="24"/>
          <w:u w:val="single"/>
        </w:rPr>
      </w:r>
    </w:p>
    <w:p>
      <w:pPr>
        <w:pStyle w:val="Normal"/>
        <w:jc w:val="both"/>
        <w:rPr>
          <w:sz w:val="24"/>
        </w:rPr>
      </w:pPr>
      <w:r>
        <w:rPr>
          <w:sz w:val="24"/>
        </w:rPr>
        <w:tab/>
        <w:t>La cuantía de las subvenciones, en total, no podrá superar la cantidad aprobada en el presupuesto municipal de Servicios Sociales para tal fin</w:t>
      </w:r>
    </w:p>
    <w:p>
      <w:pPr>
        <w:pStyle w:val="Normal"/>
        <w:jc w:val="both"/>
        <w:rPr>
          <w:sz w:val="24"/>
        </w:rPr>
      </w:pPr>
      <w:r>
        <w:rPr>
          <w:sz w:val="24"/>
        </w:rPr>
      </w:r>
    </w:p>
    <w:p>
      <w:pPr>
        <w:pStyle w:val="Normal"/>
        <w:jc w:val="both"/>
        <w:rPr>
          <w:sz w:val="24"/>
        </w:rPr>
      </w:pPr>
      <w:r>
        <w:rPr>
          <w:sz w:val="24"/>
        </w:rPr>
        <w:tab/>
        <w:t>La subvención concedida a cada entidad beneficiaria no podrá ser superior a la cuantía total del proyecto presentado</w:t>
      </w:r>
    </w:p>
    <w:p>
      <w:pPr>
        <w:pStyle w:val="Normal"/>
        <w:jc w:val="both"/>
        <w:rPr>
          <w:b/>
          <w:b/>
          <w:bCs/>
          <w:sz w:val="24"/>
          <w:u w:val="single"/>
        </w:rPr>
      </w:pPr>
      <w:r>
        <w:rPr>
          <w:b/>
          <w:bCs/>
          <w:sz w:val="24"/>
          <w:u w:val="single"/>
        </w:rPr>
      </w:r>
    </w:p>
    <w:p>
      <w:pPr>
        <w:pStyle w:val="Normal"/>
        <w:jc w:val="both"/>
        <w:rPr>
          <w:b/>
          <w:b/>
          <w:bCs/>
          <w:sz w:val="24"/>
          <w:u w:val="single"/>
        </w:rPr>
      </w:pPr>
      <w:r>
        <w:rPr>
          <w:b/>
          <w:bCs/>
          <w:sz w:val="24"/>
          <w:u w:val="single"/>
        </w:rPr>
      </w:r>
    </w:p>
    <w:p>
      <w:pPr>
        <w:pStyle w:val="Normal"/>
        <w:jc w:val="both"/>
        <w:rPr>
          <w:b/>
          <w:b/>
          <w:bCs/>
          <w:sz w:val="24"/>
          <w:u w:val="single"/>
        </w:rPr>
      </w:pPr>
      <w:r>
        <w:rPr>
          <w:b/>
          <w:bCs/>
          <w:sz w:val="24"/>
          <w:u w:val="single"/>
        </w:rPr>
        <w:t>IX.- JUSTIFICACIÓN DE LAS SUBVENCIONES.</w:t>
      </w:r>
    </w:p>
    <w:p>
      <w:pPr>
        <w:pStyle w:val="Normal"/>
        <w:jc w:val="both"/>
        <w:rPr>
          <w:sz w:val="24"/>
        </w:rPr>
      </w:pPr>
      <w:r>
        <w:rPr>
          <w:sz w:val="24"/>
        </w:rPr>
      </w:r>
    </w:p>
    <w:p>
      <w:pPr>
        <w:pStyle w:val="Normal"/>
        <w:jc w:val="both"/>
        <w:rPr>
          <w:sz w:val="24"/>
        </w:rPr>
      </w:pPr>
      <w:r>
        <w:rPr>
          <w:sz w:val="24"/>
        </w:rPr>
        <w:tab/>
        <w:t xml:space="preserve">Las entidades beneficiarias de las subvenciones o ayudas vendrán obligadas a justificar documentalmente el cumplimiento de la finalidad que motivó su concesión y, en su caso, el destino dado a la aportación recibida del acuerdo en el artículo 30 de la Ley 38/2003, General de Subvenciones  </w:t>
      </w:r>
    </w:p>
    <w:p>
      <w:pPr>
        <w:pStyle w:val="Normal"/>
        <w:jc w:val="both"/>
        <w:rPr>
          <w:sz w:val="24"/>
        </w:rPr>
      </w:pPr>
      <w:r>
        <w:rPr>
          <w:sz w:val="24"/>
        </w:rPr>
      </w:r>
    </w:p>
    <w:p>
      <w:pPr>
        <w:pStyle w:val="Normal"/>
        <w:jc w:val="both"/>
        <w:rPr/>
      </w:pPr>
      <w:r>
        <w:rPr>
          <w:rStyle w:val="Fuentedeprrafopredeter"/>
          <w:sz w:val="24"/>
        </w:rPr>
        <w:tab/>
        <w:t xml:space="preserve">La presentación de los documentos justificativos ser realizará a través de la sede electrónica con acceso desde nuestra web municipal </w:t>
      </w:r>
      <w:hyperlink r:id="rId4" w:tgtFrame="_top">
        <w:bookmarkStart w:id="6" w:name="OBJ_PREFIX_DWT148_com_zimbra_url"/>
        <w:bookmarkStart w:id="7" w:name="x_OBJ_PREFIX_DWT1607_com_zimbra_url"/>
        <w:bookmarkStart w:id="8" w:name="x_OBJ_PREFIX_DWT1593_com_zimbra_url"/>
        <w:bookmarkEnd w:id="6"/>
        <w:bookmarkEnd w:id="7"/>
        <w:bookmarkEnd w:id="8"/>
        <w:r>
          <w:rPr>
            <w:rStyle w:val="EnlacedeInternet"/>
          </w:rPr>
          <w:t>http://www.algeciras.es/es/index.html</w:t>
        </w:r>
      </w:hyperlink>
      <w:r>
        <w:rPr/>
        <w:t xml:space="preserve"> ó directamente en </w:t>
      </w:r>
      <w:hyperlink r:id="rId5" w:tgtFrame="_top">
        <w:bookmarkStart w:id="9" w:name="OBJ_PREFIX_DWT149_com_zimbra_url"/>
        <w:bookmarkStart w:id="10" w:name="x_OBJ_PREFIX_DWT1608_com_zimbra_url"/>
        <w:bookmarkStart w:id="11" w:name="x_OBJ_PREFIX_DWT1594_com_zimbra_url"/>
        <w:bookmarkEnd w:id="9"/>
        <w:bookmarkEnd w:id="10"/>
        <w:bookmarkEnd w:id="11"/>
        <w:r>
          <w:rPr>
            <w:rStyle w:val="EnlacedeInternet"/>
          </w:rPr>
          <w:t>https://sede.algeciras.es/opencms/opencms/sede</w:t>
        </w:r>
      </w:hyperlink>
      <w:r>
        <w:rPr/>
        <w:t xml:space="preserve"> </w:t>
      </w:r>
      <w:r>
        <w:rPr>
          <w:rStyle w:val="Fuentedeprrafopredeter"/>
          <w:sz w:val="24"/>
        </w:rPr>
        <w:t>a través de la ventanilla única, , en un plazo máximo de Tres meses desde la finalización del año en curso aprobado para la realización de las  actividades subvencionadas</w:t>
      </w:r>
    </w:p>
    <w:p>
      <w:pPr>
        <w:pStyle w:val="Normal"/>
        <w:jc w:val="both"/>
        <w:rPr/>
      </w:pPr>
      <w:r>
        <w:rPr/>
      </w:r>
    </w:p>
    <w:p>
      <w:pPr>
        <w:pStyle w:val="Normal"/>
        <w:jc w:val="both"/>
        <w:rPr>
          <w:sz w:val="24"/>
        </w:rPr>
      </w:pPr>
      <w:r>
        <w:rPr>
          <w:sz w:val="24"/>
        </w:rPr>
        <w:tab/>
        <w:t>La justificación de la subvención concedida constará de:</w:t>
      </w:r>
    </w:p>
    <w:p>
      <w:pPr>
        <w:pStyle w:val="Normal"/>
        <w:jc w:val="both"/>
        <w:rPr>
          <w:sz w:val="24"/>
        </w:rPr>
      </w:pPr>
      <w:r>
        <w:rPr>
          <w:sz w:val="24"/>
        </w:rPr>
      </w:r>
    </w:p>
    <w:p>
      <w:pPr>
        <w:pStyle w:val="Normal"/>
        <w:jc w:val="both"/>
        <w:rPr>
          <w:sz w:val="24"/>
        </w:rPr>
      </w:pPr>
      <w:r>
        <w:rPr>
          <w:sz w:val="24"/>
        </w:rPr>
        <w:tab/>
        <w:t>1.- Una memoria de actuación justificativa del cumplimiento de las obligaciones impuestas en la concesión de la subvención con indicación de las actividades realizadas y de los resultados obtenidos.</w:t>
      </w:r>
    </w:p>
    <w:p>
      <w:pPr>
        <w:pStyle w:val="Normal"/>
        <w:jc w:val="both"/>
        <w:rPr>
          <w:sz w:val="24"/>
        </w:rPr>
      </w:pPr>
      <w:r>
        <w:rPr>
          <w:sz w:val="24"/>
        </w:rPr>
      </w:r>
    </w:p>
    <w:p>
      <w:pPr>
        <w:pStyle w:val="Normal"/>
        <w:jc w:val="both"/>
        <w:rPr/>
      </w:pPr>
      <w:r>
        <w:rPr>
          <w:rStyle w:val="Fuentedeprrafopredeter"/>
          <w:sz w:val="24"/>
        </w:rPr>
        <w:tab/>
        <w:t>2.- Memoria económica justificativa del coste de las actividades realizas</w:t>
      </w:r>
      <w:r>
        <w:rPr>
          <w:rStyle w:val="Fuentedeprrafopredeter"/>
          <w:b/>
          <w:bCs/>
          <w:sz w:val="24"/>
        </w:rPr>
        <w:t>,</w:t>
      </w:r>
      <w:r>
        <w:rPr>
          <w:rStyle w:val="Fuentedeprrafopredeter"/>
          <w:sz w:val="24"/>
        </w:rPr>
        <w:t xml:space="preserve"> que contendrá:</w:t>
      </w:r>
    </w:p>
    <w:p>
      <w:pPr>
        <w:pStyle w:val="Normal"/>
        <w:jc w:val="both"/>
        <w:rPr>
          <w:sz w:val="24"/>
        </w:rPr>
      </w:pPr>
      <w:r>
        <w:rPr>
          <w:sz w:val="24"/>
        </w:rPr>
      </w:r>
    </w:p>
    <w:p>
      <w:pPr>
        <w:pStyle w:val="Normal"/>
        <w:jc w:val="both"/>
        <w:rPr>
          <w:sz w:val="24"/>
        </w:rPr>
      </w:pPr>
      <w:r>
        <w:rPr>
          <w:sz w:val="24"/>
        </w:rPr>
        <w:tab/>
        <w:tab/>
        <w:t xml:space="preserve">a) Relación de todos los gastos de la actividad, con identificación del acreedor y del documento, su </w:t>
        <w:tab/>
        <w:t>importe su fecha de emisión, ...</w:t>
      </w:r>
    </w:p>
    <w:p>
      <w:pPr>
        <w:pStyle w:val="Normal"/>
        <w:jc w:val="both"/>
        <w:rPr>
          <w:sz w:val="24"/>
        </w:rPr>
      </w:pPr>
      <w:r>
        <w:rPr>
          <w:sz w:val="24"/>
        </w:rPr>
        <w:tab/>
        <w:tab/>
        <w:t>b) Facturas y demás documentos de valor probatorio</w:t>
      </w:r>
    </w:p>
    <w:p>
      <w:pPr>
        <w:pStyle w:val="Normal"/>
        <w:jc w:val="both"/>
        <w:rPr>
          <w:sz w:val="24"/>
        </w:rPr>
      </w:pPr>
      <w:r>
        <w:rPr>
          <w:sz w:val="24"/>
        </w:rPr>
        <w:tab/>
        <w:tab/>
        <w:t>c) Si por parte del Ayuntamiento competente en la comprobación de la subvención apreciase defectos subsanables en la justificación presentada por el beneficiario, lo pondrá en su conocimiento concediéndole un plazo de 10 días para su corrección.</w:t>
      </w:r>
    </w:p>
    <w:p>
      <w:pPr>
        <w:pStyle w:val="Normal"/>
        <w:jc w:val="both"/>
        <w:rPr>
          <w:sz w:val="24"/>
        </w:rPr>
      </w:pPr>
      <w:r>
        <w:rPr>
          <w:sz w:val="24"/>
        </w:rPr>
        <w:tab/>
        <w:tab/>
        <w:t>d) Transcurrido el plazo establecido de justificación sin haberse presentado la misma ante el órgano administrativo competente, este requerirá a la entidad beneficiaria para que en el plazo improrrogable de quince días sea presentada.</w:t>
      </w:r>
    </w:p>
    <w:p>
      <w:pPr>
        <w:pStyle w:val="Normal"/>
        <w:jc w:val="both"/>
        <w:rPr>
          <w:sz w:val="24"/>
        </w:rPr>
      </w:pPr>
      <w:r>
        <w:rPr>
          <w:sz w:val="24"/>
        </w:rPr>
      </w:r>
    </w:p>
    <w:p>
      <w:pPr>
        <w:pStyle w:val="Normal"/>
        <w:ind w:firstLine="1144"/>
        <w:jc w:val="both"/>
        <w:rPr>
          <w:sz w:val="24"/>
        </w:rPr>
      </w:pPr>
      <w:r>
        <w:rPr>
          <w:sz w:val="24"/>
        </w:rPr>
        <w:t>La falta de presentación de la justificación en el plazo establecido lleva consigo la exigencia de reintegro y demás responsabilidades establecidas en la Ley General de Subvenciones.</w:t>
      </w:r>
    </w:p>
    <w:p>
      <w:pPr>
        <w:pStyle w:val="Normal"/>
        <w:ind w:firstLine="1144"/>
        <w:jc w:val="both"/>
        <w:rPr>
          <w:sz w:val="24"/>
        </w:rPr>
      </w:pPr>
      <w:r>
        <w:rPr>
          <w:sz w:val="24"/>
        </w:rPr>
      </w:r>
    </w:p>
    <w:p>
      <w:pPr>
        <w:pStyle w:val="Normal"/>
        <w:ind w:firstLine="1144"/>
        <w:jc w:val="both"/>
        <w:rPr>
          <w:b/>
          <w:b/>
          <w:bCs/>
          <w:sz w:val="24"/>
        </w:rPr>
      </w:pPr>
      <w:r>
        <w:rPr>
          <w:b/>
          <w:bCs/>
          <w:sz w:val="24"/>
        </w:rPr>
      </w:r>
    </w:p>
    <w:p>
      <w:pPr>
        <w:pStyle w:val="Normal"/>
        <w:jc w:val="both"/>
        <w:rPr>
          <w:b/>
          <w:b/>
          <w:bCs/>
          <w:sz w:val="24"/>
          <w:u w:val="single"/>
        </w:rPr>
      </w:pPr>
      <w:r>
        <w:rPr>
          <w:b/>
          <w:bCs/>
          <w:sz w:val="24"/>
          <w:u w:val="single"/>
        </w:rPr>
        <w:t>X.- INFRACCIONES Y SANCIONES</w:t>
      </w:r>
    </w:p>
    <w:p>
      <w:pPr>
        <w:pStyle w:val="Normal"/>
        <w:jc w:val="both"/>
        <w:rPr>
          <w:sz w:val="24"/>
        </w:rPr>
      </w:pPr>
      <w:r>
        <w:rPr>
          <w:sz w:val="24"/>
        </w:rPr>
      </w:r>
    </w:p>
    <w:p>
      <w:pPr>
        <w:pStyle w:val="Normal"/>
        <w:jc w:val="both"/>
        <w:rPr>
          <w:sz w:val="24"/>
        </w:rPr>
      </w:pPr>
      <w:r>
        <w:rPr>
          <w:sz w:val="24"/>
        </w:rPr>
        <w:t xml:space="preserve">        </w:t>
      </w:r>
      <w:r>
        <w:rPr>
          <w:sz w:val="24"/>
        </w:rPr>
        <w:t>Constituirán infracciones administrativas en materia de las subvenciones reguladas en las presentes bases reguladoras, las tipificadas en el Titulo IV de la Ley 38/2003, siendo igualmente de aplicación en lo referente a graduación de sanciones, plazos de prescripción, competencia, procedimiento, responsables y extinción de responsabilidad</w:t>
      </w:r>
    </w:p>
    <w:p>
      <w:pPr>
        <w:pStyle w:val="Normal"/>
        <w:jc w:val="both"/>
        <w:rPr>
          <w:b/>
          <w:b/>
          <w:bCs/>
          <w:sz w:val="24"/>
        </w:rPr>
      </w:pPr>
      <w:r>
        <w:rPr>
          <w:b/>
          <w:bCs/>
          <w:sz w:val="24"/>
        </w:rPr>
      </w:r>
    </w:p>
    <w:p>
      <w:pPr>
        <w:pStyle w:val="Normal"/>
        <w:jc w:val="both"/>
        <w:rPr>
          <w:b/>
          <w:b/>
          <w:bCs/>
          <w:sz w:val="24"/>
        </w:rPr>
      </w:pPr>
      <w:r>
        <w:rPr>
          <w:b/>
          <w:bCs/>
          <w:sz w:val="24"/>
        </w:rPr>
      </w:r>
    </w:p>
    <w:p>
      <w:pPr>
        <w:pStyle w:val="Normal"/>
        <w:jc w:val="both"/>
        <w:rPr>
          <w:b/>
          <w:b/>
          <w:bCs/>
          <w:sz w:val="24"/>
        </w:rPr>
      </w:pPr>
      <w:r>
        <w:rPr>
          <w:b/>
          <w:bCs/>
          <w:sz w:val="24"/>
        </w:rPr>
      </w:r>
    </w:p>
    <w:p>
      <w:pPr>
        <w:pStyle w:val="Normal"/>
        <w:jc w:val="both"/>
        <w:rPr/>
      </w:pPr>
      <w:r>
        <w:rPr>
          <w:rStyle w:val="Fuentedeprrafopredeter"/>
          <w:b/>
          <w:bCs/>
          <w:sz w:val="24"/>
          <w:u w:val="single"/>
        </w:rPr>
        <w:t>XI.-OBLIGACIONES DE LAS ENTIDADES BENEFICIARIAS.</w:t>
      </w:r>
    </w:p>
    <w:p>
      <w:pPr>
        <w:pStyle w:val="Normal"/>
        <w:jc w:val="both"/>
        <w:rPr>
          <w:sz w:val="24"/>
        </w:rPr>
      </w:pPr>
      <w:r>
        <w:rPr>
          <w:sz w:val="24"/>
        </w:rPr>
      </w:r>
    </w:p>
    <w:p>
      <w:pPr>
        <w:pStyle w:val="Normal"/>
        <w:jc w:val="both"/>
        <w:rPr>
          <w:sz w:val="24"/>
        </w:rPr>
      </w:pPr>
      <w:r>
        <w:rPr>
          <w:sz w:val="24"/>
        </w:rPr>
        <w:tab/>
        <w:t>Las entidades beneficiarias de las ayudas adquieren las siguientes obligaciones:</w:t>
      </w:r>
    </w:p>
    <w:p>
      <w:pPr>
        <w:pStyle w:val="Normal"/>
        <w:jc w:val="both"/>
        <w:rPr>
          <w:sz w:val="24"/>
        </w:rPr>
      </w:pPr>
      <w:r>
        <w:rPr>
          <w:sz w:val="24"/>
        </w:rPr>
      </w:r>
    </w:p>
    <w:p>
      <w:pPr>
        <w:pStyle w:val="Normal"/>
        <w:jc w:val="both"/>
        <w:rPr>
          <w:sz w:val="24"/>
        </w:rPr>
      </w:pPr>
      <w:r>
        <w:rPr>
          <w:sz w:val="24"/>
        </w:rPr>
        <w:tab/>
        <w:t>- Realizar la actividad o ejecutar el proyecto, o cumplir el fin o propósito que fundamenta la concesión de la subvención o ayuda.</w:t>
      </w:r>
    </w:p>
    <w:p>
      <w:pPr>
        <w:pStyle w:val="Normal"/>
        <w:jc w:val="both"/>
        <w:rPr>
          <w:sz w:val="24"/>
        </w:rPr>
      </w:pPr>
      <w:r>
        <w:rPr>
          <w:sz w:val="24"/>
        </w:rPr>
        <w:tab/>
        <w:t>- Justificar documentalmente ante el Departamento de Intervención de Fondos del Excmo. Ayuntamiento de Algeciras, la realización de la actividad o proyecto y el cumplimiento de la finalidad que motivó la concesión de la subvención, así como la aplicación de los fondos recibidos.</w:t>
      </w:r>
    </w:p>
    <w:p>
      <w:pPr>
        <w:pStyle w:val="Normal"/>
        <w:jc w:val="both"/>
        <w:rPr>
          <w:sz w:val="24"/>
        </w:rPr>
      </w:pPr>
      <w:r>
        <w:rPr>
          <w:sz w:val="24"/>
        </w:rPr>
        <w:tab/>
        <w:t>- En la presentación y desarrollo de los proyectos, programas o actividades a subvencionar se velará por la utilización de un lenguaje no sexista, en relación con la aplicación práctica del principio de igualdad de oportunidades entre mujeres y hombres.</w:t>
      </w:r>
    </w:p>
    <w:p>
      <w:pPr>
        <w:pStyle w:val="Normal"/>
        <w:jc w:val="both"/>
        <w:rPr>
          <w:sz w:val="24"/>
        </w:rPr>
      </w:pPr>
      <w:r>
        <w:rPr>
          <w:sz w:val="24"/>
        </w:rPr>
        <w:tab/>
        <w:t>- Cumplir las condiciones que se determinen en estas bases y en la concesión de la subvención o ayuda.</w:t>
      </w:r>
    </w:p>
    <w:p>
      <w:pPr>
        <w:pStyle w:val="Normal"/>
        <w:jc w:val="both"/>
        <w:rPr>
          <w:sz w:val="24"/>
        </w:rPr>
      </w:pPr>
      <w:r>
        <w:rPr>
          <w:sz w:val="24"/>
        </w:rPr>
        <w:tab/>
        <w:t>- Someterse a las actuaciones de comprobación de los servicios correspondientes por razón de la materia y a las de control financiero que correspondan a la Intervención General del Ayuntamiento de Algeciras.</w:t>
      </w:r>
    </w:p>
    <w:p>
      <w:pPr>
        <w:pStyle w:val="Normal"/>
        <w:jc w:val="both"/>
        <w:rPr>
          <w:sz w:val="24"/>
        </w:rPr>
      </w:pPr>
      <w:r>
        <w:rPr>
          <w:sz w:val="24"/>
        </w:rPr>
        <w:tab/>
        <w:t>- Comunicar a la Delegación de Igualdad y Bienestar Social, la obtención de otras subvenciones, ayudas o ingresos que financien las actividades subvencionadas.</w:t>
      </w:r>
    </w:p>
    <w:p>
      <w:pPr>
        <w:pStyle w:val="Normal"/>
        <w:jc w:val="both"/>
        <w:rPr>
          <w:sz w:val="24"/>
        </w:rPr>
      </w:pPr>
      <w:r>
        <w:rPr>
          <w:sz w:val="24"/>
        </w:rPr>
        <w:tab/>
        <w:t>- Hacer constar en toda información o publicidad que se efectúe de las actividades o proyectos que los mismos están subvencionadas por la Delegación de Igualdad y Bienestar Social.</w:t>
      </w:r>
    </w:p>
    <w:p>
      <w:pPr>
        <w:pStyle w:val="Normal"/>
        <w:jc w:val="both"/>
        <w:rPr>
          <w:sz w:val="24"/>
        </w:rPr>
      </w:pPr>
      <w:r>
        <w:rPr>
          <w:sz w:val="24"/>
        </w:rPr>
        <w:tab/>
        <w:t>- Proceder al reintegro de los fondos percibidos en los supuestos contemplados en el art.º 37 de la Ley General de Subvenciones.</w:t>
      </w:r>
    </w:p>
    <w:p>
      <w:pPr>
        <w:pStyle w:val="Normal"/>
        <w:jc w:val="both"/>
        <w:rPr>
          <w:sz w:val="24"/>
        </w:rPr>
      </w:pPr>
      <w:r>
        <w:rPr>
          <w:sz w:val="24"/>
        </w:rPr>
      </w:r>
    </w:p>
    <w:p>
      <w:pPr>
        <w:pStyle w:val="Normal"/>
        <w:jc w:val="both"/>
        <w:rPr>
          <w:sz w:val="24"/>
        </w:rPr>
      </w:pPr>
      <w:r>
        <w:rPr>
          <w:sz w:val="24"/>
        </w:rPr>
        <w:tab/>
      </w:r>
    </w:p>
    <w:p>
      <w:pPr>
        <w:pStyle w:val="Normal"/>
        <w:jc w:val="both"/>
        <w:rPr>
          <w:sz w:val="24"/>
        </w:rPr>
      </w:pPr>
      <w:r>
        <w:rPr>
          <w:sz w:val="24"/>
        </w:rPr>
      </w:r>
    </w:p>
    <w:p>
      <w:pPr>
        <w:pStyle w:val="Normal"/>
        <w:jc w:val="both"/>
        <w:rPr>
          <w:sz w:val="24"/>
        </w:rPr>
      </w:pPr>
      <w:r>
        <w:rPr>
          <w:sz w:val="24"/>
        </w:rPr>
      </w:r>
    </w:p>
    <w:p>
      <w:pPr>
        <w:pStyle w:val="Normal"/>
        <w:jc w:val="center"/>
        <w:rPr>
          <w:sz w:val="24"/>
        </w:rPr>
      </w:pPr>
      <w:r>
        <w:rPr>
          <w:sz w:val="24"/>
        </w:rPr>
      </w:r>
    </w:p>
    <w:sectPr>
      <w:headerReference w:type="default" r:id="rId6"/>
      <w:footerReference w:type="default" r:id="rId7"/>
      <w:type w:val="nextPage"/>
      <w:pgSz w:w="11906" w:h="16838"/>
      <w:pgMar w:left="1701" w:right="1134" w:header="709" w:top="2552" w:footer="709" w:bottom="1418" w:gutter="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auto"/>
    <w:pitch w:val="variable"/>
  </w:font>
  <w:font w:name="OpenSymbol">
    <w:altName w:val="Arial Unicode MS"/>
    <w:charset w:val="00"/>
    <w:family w:val="auto"/>
    <w:pitch w:val="variable"/>
  </w:font>
  <w:font w:name="Courier New">
    <w:charset w:val="00"/>
    <w:family w:val="modern"/>
    <w:pitch w:val="fixed"/>
  </w:font>
  <w:font w:name="Wingdings">
    <w:charset w:val="02"/>
    <w:family w:val="auto"/>
    <w:pitch w:val="variable"/>
  </w:font>
  <w:font w:name="Symbol">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tabs>
        <w:tab w:val="clear" w:pos="8504"/>
        <w:tab w:val="center" w:pos="4252" w:leader="none"/>
        <w:tab w:val="right" w:pos="8478" w:leader="none"/>
        <w:tab w:val="left" w:pos="8496" w:leader="none"/>
      </w:tabs>
      <w:rPr>
        <w:rStyle w:val="Fuentedeprrafopredeter"/>
        <w:rFonts w:eastAsia="Times New Roman"/>
        <w:lang w:eastAsia="es-ES" w:bidi="es-ES"/>
      </w:rPr>
    </w:pPr>
    <w:r>
      <w:rPr/>
      <w:drawing>
        <wp:anchor behindDoc="1" distT="0" distB="0" distL="0" distR="0" simplePos="0" locked="0" layoutInCell="1" allowOverlap="1" relativeHeight="49">
          <wp:simplePos x="0" y="0"/>
          <wp:positionH relativeFrom="column">
            <wp:posOffset>-548005</wp:posOffset>
          </wp:positionH>
          <wp:positionV relativeFrom="page">
            <wp:posOffset>10033635</wp:posOffset>
          </wp:positionV>
          <wp:extent cx="1312545" cy="298450"/>
          <wp:effectExtent l="0" t="0" r="0" b="0"/>
          <wp:wrapNone/>
          <wp:docPr id="5" name="gráficos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s1" descr=""/>
                  <pic:cNvPicPr>
                    <a:picLocks noChangeAspect="1" noChangeArrowheads="1"/>
                  </pic:cNvPicPr>
                </pic:nvPicPr>
                <pic:blipFill>
                  <a:blip r:embed="rId1"/>
                  <a:stretch>
                    <a:fillRect/>
                  </a:stretch>
                </pic:blipFill>
                <pic:spPr bwMode="auto">
                  <a:xfrm>
                    <a:off x="0" y="0"/>
                    <a:ext cx="1312545" cy="298450"/>
                  </a:xfrm>
                  <a:prstGeom prst="rect">
                    <a:avLst/>
                  </a:prstGeom>
                </pic:spPr>
              </pic:pic>
            </a:graphicData>
          </a:graphic>
        </wp:anchor>
      </w:drawing>
    </w:r>
    <w:r>
      <mc:AlternateContent>
        <mc:Choice Requires="wps">
          <w:drawing>
            <wp:anchor behindDoc="0" distT="0" distB="0" distL="0" distR="0" simplePos="0" locked="0" layoutInCell="1" allowOverlap="1" relativeHeight="41">
              <wp:simplePos x="0" y="0"/>
              <wp:positionH relativeFrom="column">
                <wp:posOffset>1433830</wp:posOffset>
              </wp:positionH>
              <wp:positionV relativeFrom="paragraph">
                <wp:posOffset>-136525</wp:posOffset>
              </wp:positionV>
              <wp:extent cx="2226945" cy="685165"/>
              <wp:effectExtent l="0" t="0" r="0" b="0"/>
              <wp:wrapSquare wrapText="bothSides"/>
              <wp:docPr id="6" name="Marco1"/>
              <a:graphic xmlns:a="http://schemas.openxmlformats.org/drawingml/2006/main">
                <a:graphicData uri="http://schemas.microsoft.com/office/word/2010/wordprocessingShape">
                  <wps:wsp>
                    <wps:cNvSpPr txBox="1"/>
                    <wps:spPr>
                      <a:xfrm>
                        <a:off x="0" y="0"/>
                        <a:ext cx="2226945" cy="685165"/>
                      </a:xfrm>
                      <a:prstGeom prst="rect"/>
                    </wps:spPr>
                    <wps:txbx>
                      <w:txbxContent>
                        <w:p>
                          <w:pPr>
                            <w:pStyle w:val="Normal"/>
                            <w:tabs>
                              <w:tab w:val="clear" w:pos="709"/>
                              <w:tab w:val="left" w:pos="708" w:leader="none"/>
                              <w:tab w:val="left" w:pos="1416" w:leader="none"/>
                              <w:tab w:val="left" w:pos="2124" w:leader="none"/>
                              <w:tab w:val="left" w:pos="2832" w:leader="none"/>
                              <w:tab w:val="left" w:pos="3540" w:leader="none"/>
                            </w:tabs>
                            <w:rPr>
                              <w:rFonts w:ascii="Arial" w:hAnsi="Arial"/>
                              <w:sz w:val="16"/>
                            </w:rPr>
                          </w:pPr>
                          <w:r>
                            <w:rPr>
                              <w:rFonts w:ascii="Arial" w:hAnsi="Arial"/>
                              <w:sz w:val="16"/>
                            </w:rPr>
                            <w:t>Delegación de Igualdad y Bienestar Social</w:t>
                          </w:r>
                        </w:p>
                        <w:p>
                          <w:pPr>
                            <w:pStyle w:val="Normal"/>
                            <w:tabs>
                              <w:tab w:val="clear" w:pos="709"/>
                              <w:tab w:val="left" w:pos="708" w:leader="none"/>
                              <w:tab w:val="left" w:pos="1416" w:leader="none"/>
                              <w:tab w:val="left" w:pos="2124" w:leader="none"/>
                              <w:tab w:val="left" w:pos="2832" w:leader="none"/>
                              <w:tab w:val="left" w:pos="3540" w:leader="none"/>
                            </w:tabs>
                            <w:rPr>
                              <w:rFonts w:ascii="Arial" w:hAnsi="Arial" w:cs="Arial"/>
                              <w:sz w:val="16"/>
                            </w:rPr>
                          </w:pPr>
                          <w:r>
                            <w:rPr>
                              <w:rFonts w:cs="Arial" w:ascii="Arial" w:hAnsi="Arial"/>
                              <w:sz w:val="16"/>
                            </w:rPr>
                            <w:t>C/ Emilio Burgos, S/N</w:t>
                          </w:r>
                        </w:p>
                        <w:p>
                          <w:pPr>
                            <w:pStyle w:val="NormalWeb"/>
                            <w:shd w:fill="FFFFFF" w:val="clear"/>
                            <w:spacing w:lineRule="auto" w:line="240"/>
                            <w:rPr>
                              <w:sz w:val="16"/>
                            </w:rPr>
                          </w:pPr>
                          <w:r>
                            <w:rPr>
                              <w:sz w:val="16"/>
                            </w:rPr>
                            <w:t>Tel. 956 67 27 29</w:t>
                          </w:r>
                        </w:p>
                      </w:txbxContent>
                    </wps:txbx>
                    <wps:bodyPr anchor="t" lIns="0" tIns="0" rIns="0" bIns="0">
                      <a:noAutofit/>
                    </wps:bodyPr>
                  </wps:wsp>
                </a:graphicData>
              </a:graphic>
            </wp:anchor>
          </w:drawing>
        </mc:Choice>
        <mc:Fallback>
          <w:pict>
            <v:rect style="position:absolute;rotation:0;width:175.35pt;height:53.95pt;mso-wrap-distance-left:0pt;mso-wrap-distance-right:0pt;mso-wrap-distance-top:0pt;mso-wrap-distance-bottom:0pt;margin-top:-10.75pt;mso-position-vertical-relative:text;margin-left:112.9pt;mso-position-horizontal-relative:text">
              <v:textbox inset="0in,0in,0in,0in">
                <w:txbxContent>
                  <w:p>
                    <w:pPr>
                      <w:pStyle w:val="Normal"/>
                      <w:tabs>
                        <w:tab w:val="clear" w:pos="709"/>
                        <w:tab w:val="left" w:pos="708" w:leader="none"/>
                        <w:tab w:val="left" w:pos="1416" w:leader="none"/>
                        <w:tab w:val="left" w:pos="2124" w:leader="none"/>
                        <w:tab w:val="left" w:pos="2832" w:leader="none"/>
                        <w:tab w:val="left" w:pos="3540" w:leader="none"/>
                      </w:tabs>
                      <w:rPr>
                        <w:rFonts w:ascii="Arial" w:hAnsi="Arial"/>
                        <w:sz w:val="16"/>
                      </w:rPr>
                    </w:pPr>
                    <w:r>
                      <w:rPr>
                        <w:rFonts w:ascii="Arial" w:hAnsi="Arial"/>
                        <w:sz w:val="16"/>
                      </w:rPr>
                      <w:t>Delegación de Igualdad y Bienestar Social</w:t>
                    </w:r>
                  </w:p>
                  <w:p>
                    <w:pPr>
                      <w:pStyle w:val="Normal"/>
                      <w:tabs>
                        <w:tab w:val="clear" w:pos="709"/>
                        <w:tab w:val="left" w:pos="708" w:leader="none"/>
                        <w:tab w:val="left" w:pos="1416" w:leader="none"/>
                        <w:tab w:val="left" w:pos="2124" w:leader="none"/>
                        <w:tab w:val="left" w:pos="2832" w:leader="none"/>
                        <w:tab w:val="left" w:pos="3540" w:leader="none"/>
                      </w:tabs>
                      <w:rPr>
                        <w:rFonts w:ascii="Arial" w:hAnsi="Arial" w:cs="Arial"/>
                        <w:sz w:val="16"/>
                      </w:rPr>
                    </w:pPr>
                    <w:r>
                      <w:rPr>
                        <w:rFonts w:cs="Arial" w:ascii="Arial" w:hAnsi="Arial"/>
                        <w:sz w:val="16"/>
                      </w:rPr>
                      <w:t>C/ Emilio Burgos, S/N</w:t>
                    </w:r>
                  </w:p>
                  <w:p>
                    <w:pPr>
                      <w:pStyle w:val="NormalWeb"/>
                      <w:shd w:fill="FFFFFF" w:val="clear"/>
                      <w:spacing w:lineRule="auto" w:line="240"/>
                      <w:rPr>
                        <w:sz w:val="16"/>
                      </w:rPr>
                    </w:pPr>
                    <w:r>
                      <w:rPr>
                        <w:sz w:val="16"/>
                      </w:rPr>
                      <w:t>Tel. 956 67 27 29</w:t>
                    </w:r>
                  </w:p>
                </w:txbxContent>
              </v:textbox>
              <w10:wrap type="squar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
      <w:tabs>
        <w:tab w:val="clear" w:pos="8504"/>
        <w:tab w:val="center" w:pos="4252" w:leader="none"/>
        <w:tab w:val="right" w:pos="8478" w:leader="none"/>
        <w:tab w:val="left" w:pos="8496" w:leader="none"/>
      </w:tabs>
      <w:rPr/>
    </w:pPr>
    <w:r>
      <mc:AlternateContent>
        <mc:Choice Requires="wps">
          <w:drawing>
            <wp:anchor behindDoc="1" distT="0" distB="0" distL="0" distR="0" simplePos="0" locked="0" layoutInCell="1" allowOverlap="1" relativeHeight="17">
              <wp:simplePos x="0" y="0"/>
              <wp:positionH relativeFrom="page">
                <wp:posOffset>0</wp:posOffset>
              </wp:positionH>
              <wp:positionV relativeFrom="page">
                <wp:posOffset>3599180</wp:posOffset>
              </wp:positionV>
              <wp:extent cx="36830" cy="36830"/>
              <wp:effectExtent l="0" t="0" r="0" b="0"/>
              <wp:wrapNone/>
              <wp:docPr id="1" name="Conector recto 1"/>
              <a:graphic xmlns:a="http://schemas.openxmlformats.org/drawingml/2006/main">
                <a:graphicData uri="http://schemas.microsoft.com/office/word/2010/wordprocessingShape">
                  <wps:cxnSp>
                    <wps:nvCxnSpPr>
                      <wps:cNvPr id="0" name="Line 1"/>
                      <wps:cNvCxnSpPr/>
                      <wps:nvPr/>
                    </wps:nvCxnSpPr>
                    <wps:spPr>
                      <a:xfrm>
                        <a:off x="0" y="0"/>
                        <a:ext cx="359640" cy="360"/>
                      </a:xfrm>
                      <a:prstGeom prst="straightConnector1">
                        <a:avLst/>
                      </a:prstGeom>
                      <a:ln w="3240">
                        <a:solidFill>
                          <a:srgbClr val="bfbfbf"/>
                        </a:solidFill>
                        <a:miter/>
                      </a:ln>
                    </wps:spPr>
                    <wps:bodyPr/>
                  </wps:cxnSp>
                </a:graphicData>
              </a:graphic>
            </wp:anchor>
          </w:drawing>
        </mc:Choice>
        <mc:Fallback>
          <w:pict>
            <v:shapetype id="shapetype_32" coordsize="21600,21600" o:spt="32" path="m,l21600,21600nfe">
              <v:stroke joinstyle="miter"/>
              <v:path gradientshapeok="t" o:connecttype="rect" textboxrect="0,0,21600,21600"/>
            </v:shapetype>
            <v:shape id="shape_0" ID="Conector recto 1" stroked="t" style="position:absolute;margin-left:-85pt;margin-top:247.95pt;width:28.25pt;height:0pt;mso-position-horizontal-relative:page;mso-position-vertical-relative:page" type="shapetype_32">
              <v:stroke color="#bfbfbf" weight="3240" joinstyle="miter" endcap="flat"/>
              <v:fill o:detectmouseclick="t" on="false"/>
            </v:shape>
          </w:pict>
        </mc:Fallback>
      </mc:AlternateContent>
      <mc:AlternateContent>
        <mc:Choice Requires="wps">
          <w:drawing>
            <wp:anchor behindDoc="1" distT="0" distB="0" distL="0" distR="0" simplePos="0" locked="0" layoutInCell="1" allowOverlap="1" relativeHeight="25">
              <wp:simplePos x="0" y="0"/>
              <wp:positionH relativeFrom="column">
                <wp:posOffset>994410</wp:posOffset>
              </wp:positionH>
              <wp:positionV relativeFrom="paragraph">
                <wp:posOffset>532765</wp:posOffset>
              </wp:positionV>
              <wp:extent cx="36830" cy="36830"/>
              <wp:effectExtent l="0" t="0" r="0" b="0"/>
              <wp:wrapSquare wrapText="bothSides"/>
              <wp:docPr id="2" name="Conector recto 2"/>
              <a:graphic xmlns:a="http://schemas.openxmlformats.org/drawingml/2006/main">
                <a:graphicData uri="http://schemas.microsoft.com/office/word/2010/wordprocessingShape">
                  <wps:cxnSp>
                    <wps:nvCxnSpPr>
                      <wps:cNvPr id="1" name="Line 1"/>
                      <wps:cNvCxnSpPr/>
                      <wps:nvPr/>
                    </wps:nvCxnSpPr>
                    <wps:spPr>
                      <a:xfrm>
                        <a:off x="0" y="0"/>
                        <a:ext cx="360" cy="227160"/>
                      </a:xfrm>
                      <a:prstGeom prst="straightConnector1">
                        <a:avLst/>
                      </a:prstGeom>
                      <a:ln w="6480">
                        <a:solidFill>
                          <a:srgbClr val="000000"/>
                        </a:solidFill>
                        <a:miter/>
                      </a:ln>
                    </wps:spPr>
                    <wps:bodyPr/>
                  </wps:cxnSp>
                </a:graphicData>
              </a:graphic>
            </wp:anchor>
          </w:drawing>
        </mc:Choice>
        <mc:Fallback>
          <w:pict>
            <v:shape id="shape_0" ID="Conector recto 2" stroked="t" style="position:absolute;margin-left:78.3pt;margin-top:41.95pt;width:0pt;height:17.85pt" type="shapetype_32">
              <v:stroke color="black" weight="6480" joinstyle="miter" endcap="flat"/>
              <v:fill o:detectmouseclick="t" on="false"/>
            </v:shape>
          </w:pict>
        </mc:Fallback>
      </mc:AlternateContent>
      <w:drawing>
        <wp:anchor behindDoc="1" distT="0" distB="0" distL="0" distR="0" simplePos="0" locked="0" layoutInCell="1" allowOverlap="1" relativeHeight="33">
          <wp:simplePos x="0" y="0"/>
          <wp:positionH relativeFrom="column">
            <wp:posOffset>-548005</wp:posOffset>
          </wp:positionH>
          <wp:positionV relativeFrom="paragraph">
            <wp:posOffset>191135</wp:posOffset>
          </wp:positionV>
          <wp:extent cx="1322070" cy="706120"/>
          <wp:effectExtent l="0" t="0" r="0" b="0"/>
          <wp:wrapNone/>
          <wp:docPr id="3" name="gráficos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áficos2" descr=""/>
                  <pic:cNvPicPr>
                    <a:picLocks noChangeAspect="1" noChangeArrowheads="1"/>
                  </pic:cNvPicPr>
                </pic:nvPicPr>
                <pic:blipFill>
                  <a:blip r:embed="rId1"/>
                  <a:stretch>
                    <a:fillRect/>
                  </a:stretch>
                </pic:blipFill>
                <pic:spPr bwMode="auto">
                  <a:xfrm>
                    <a:off x="0" y="0"/>
                    <a:ext cx="1322070" cy="706120"/>
                  </a:xfrm>
                  <a:prstGeom prst="rect">
                    <a:avLst/>
                  </a:prstGeom>
                </pic:spPr>
              </pic:pic>
            </a:graphicData>
          </a:graphic>
        </wp:anchor>
      </w:drawing>
    </w:r>
    <w:r>
      <w:rPr/>
      <w:br/>
    </w:r>
    <w:r>
      <mc:AlternateContent>
        <mc:Choice Requires="wps">
          <w:drawing>
            <wp:anchor behindDoc="1" distT="0" distB="0" distL="0" distR="0" simplePos="0" locked="0" layoutInCell="1" allowOverlap="1" relativeHeight="9">
              <wp:simplePos x="0" y="0"/>
              <wp:positionH relativeFrom="page">
                <wp:posOffset>2304415</wp:posOffset>
              </wp:positionH>
              <wp:positionV relativeFrom="page">
                <wp:posOffset>918210</wp:posOffset>
              </wp:positionV>
              <wp:extent cx="1854200" cy="355600"/>
              <wp:effectExtent l="0" t="0" r="0" b="0"/>
              <wp:wrapNone/>
              <wp:docPr id="4" name="Marco3"/>
              <a:graphic xmlns:a="http://schemas.openxmlformats.org/drawingml/2006/main">
                <a:graphicData uri="http://schemas.microsoft.com/office/word/2010/wordprocessingShape">
                  <wps:wsp>
                    <wps:cNvSpPr txBox="1"/>
                    <wps:spPr>
                      <a:xfrm>
                        <a:off x="0" y="0"/>
                        <a:ext cx="1854200" cy="355600"/>
                      </a:xfrm>
                      <a:prstGeom prst="rect"/>
                    </wps:spPr>
                    <wps:txbx>
                      <w:txbxContent>
                        <w:p>
                          <w:pPr>
                            <w:pStyle w:val="Normal"/>
                            <w:tabs>
                              <w:tab w:val="clear" w:pos="709"/>
                              <w:tab w:val="left" w:pos="708" w:leader="none"/>
                              <w:tab w:val="left" w:pos="1416" w:leader="none"/>
                              <w:tab w:val="left" w:pos="2124" w:leader="none"/>
                              <w:tab w:val="left" w:pos="2832" w:leader="none"/>
                            </w:tabs>
                            <w:rPr>
                              <w:rFonts w:ascii="Arial" w:hAnsi="Arial" w:cs="Arial"/>
                              <w:b/>
                              <w:b/>
                              <w:bCs/>
                              <w:sz w:val="18"/>
                            </w:rPr>
                          </w:pPr>
                          <w:r>
                            <w:rPr>
                              <w:rFonts w:cs="Arial" w:ascii="Arial" w:hAnsi="Arial"/>
                              <w:b/>
                              <w:bCs/>
                              <w:sz w:val="18"/>
                            </w:rPr>
                            <w:t>Delegación Municipal de Igualdad y Bienestar Social</w:t>
                          </w:r>
                        </w:p>
                      </w:txbxContent>
                    </wps:txbx>
                    <wps:bodyPr anchor="t" lIns="0" tIns="0" rIns="0" bIns="0">
                      <a:noAutofit/>
                    </wps:bodyPr>
                  </wps:wsp>
                </a:graphicData>
              </a:graphic>
            </wp:anchor>
          </w:drawing>
        </mc:Choice>
        <mc:Fallback>
          <w:pict>
            <v:rect style="position:absolute;rotation:0;width:146pt;height:28pt;mso-wrap-distance-left:0pt;mso-wrap-distance-right:0pt;mso-wrap-distance-top:0pt;mso-wrap-distance-bottom:0pt;margin-top:72.3pt;mso-position-vertical-relative:page;margin-left:181.45pt;mso-position-horizontal-relative:page">
              <v:textbox inset="0in,0in,0in,0in">
                <w:txbxContent>
                  <w:p>
                    <w:pPr>
                      <w:pStyle w:val="Normal"/>
                      <w:tabs>
                        <w:tab w:val="clear" w:pos="709"/>
                        <w:tab w:val="left" w:pos="708" w:leader="none"/>
                        <w:tab w:val="left" w:pos="1416" w:leader="none"/>
                        <w:tab w:val="left" w:pos="2124" w:leader="none"/>
                        <w:tab w:val="left" w:pos="2832" w:leader="none"/>
                      </w:tabs>
                      <w:rPr>
                        <w:rFonts w:ascii="Arial" w:hAnsi="Arial" w:cs="Arial"/>
                        <w:b/>
                        <w:b/>
                        <w:bCs/>
                        <w:sz w:val="18"/>
                      </w:rPr>
                    </w:pPr>
                    <w:r>
                      <w:rPr>
                        <w:rFonts w:cs="Arial" w:ascii="Arial" w:hAnsi="Arial"/>
                        <w:b/>
                        <w:bCs/>
                        <w:sz w:val="18"/>
                      </w:rPr>
                      <w:t>Delegación Municipal de Igualdad y Bienestar Social</w:t>
                    </w:r>
                  </w:p>
                </w:txbxContent>
              </v:textbox>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pStyle w:val="Ttulo6"/>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lowerLetter"/>
      <w:lvlText w:val="%1)"/>
      <w:lvlJc w:val="left"/>
      <w:pPr>
        <w:ind w:left="0" w:hanging="0"/>
      </w:pPr>
    </w:lvl>
    <w:lvl w:ilvl="1">
      <w:start w:val="1"/>
      <w:numFmt w:val="decimal"/>
      <w:lvlText w:val="%2."/>
      <w:lvlJc w:val="left"/>
      <w:pPr>
        <w:ind w:left="0" w:hanging="0"/>
      </w:pPr>
    </w:lvl>
    <w:lvl w:ilvl="2">
      <w:start w:val="1"/>
      <w:numFmt w:val="decimal"/>
      <w:lvlText w:val="%3."/>
      <w:lvlJc w:val="left"/>
      <w:pPr>
        <w:ind w:left="0" w:hanging="0"/>
      </w:pPr>
    </w:lvl>
    <w:lvl w:ilvl="3">
      <w:start w:val="1"/>
      <w:numFmt w:val="decimal"/>
      <w:lvlText w:val="%4."/>
      <w:lvlJc w:val="left"/>
      <w:pPr>
        <w:ind w:left="0" w:hanging="0"/>
      </w:pPr>
    </w:lvl>
    <w:lvl w:ilvl="4">
      <w:start w:val="1"/>
      <w:numFmt w:val="decimal"/>
      <w:lvlText w:val="%5."/>
      <w:lvlJc w:val="left"/>
      <w:pPr>
        <w:ind w:left="0" w:hanging="0"/>
      </w:pPr>
    </w:lvl>
    <w:lvl w:ilvl="5">
      <w:start w:val="1"/>
      <w:numFmt w:val="decimal"/>
      <w:lvlText w:val="%6."/>
      <w:lvlJc w:val="left"/>
      <w:pPr>
        <w:ind w:left="0" w:hanging="0"/>
      </w:pPr>
    </w:lvl>
    <w:lvl w:ilvl="6">
      <w:start w:val="1"/>
      <w:numFmt w:val="decimal"/>
      <w:lvlText w:val="%7."/>
      <w:lvlJc w:val="left"/>
      <w:pPr>
        <w:ind w:left="0" w:hanging="0"/>
      </w:pPr>
    </w:lvl>
    <w:lvl w:ilvl="7">
      <w:start w:val="1"/>
      <w:numFmt w:val="decimal"/>
      <w:lvlText w:val="%8."/>
      <w:lvlJc w:val="left"/>
      <w:pPr>
        <w:ind w:left="0" w:hanging="0"/>
      </w:pPr>
    </w:lvl>
    <w:lvl w:ilvl="8">
      <w:start w:val="1"/>
      <w:numFmt w:val="decimal"/>
      <w:lvlText w:val="%9."/>
      <w:lvlJc w:val="left"/>
      <w:pPr>
        <w:ind w:left="0" w:hanging="0"/>
      </w:pPr>
    </w:lvl>
  </w:abstractNum>
  <w:abstractNum w:abstractNumId="3">
    <w:lvl w:ilvl="0">
      <w:start w:val="1"/>
      <w:numFmt w:val="bullet"/>
      <w:lvlText w:val=""/>
      <w:lvlJc w:val="left"/>
      <w:pPr>
        <w:ind w:left="720" w:hanging="360"/>
      </w:pPr>
      <w:rPr>
        <w:rFonts w:ascii="Symbol" w:hAnsi="Symbol" w:cs="Symbol" w:hint="default"/>
        <w:rFonts w:cs="OpenSymbol"/>
      </w:rPr>
    </w:lvl>
    <w:lvl w:ilvl="1">
      <w:start w:val="1"/>
      <w:numFmt w:val="bullet"/>
      <w:lvlText w:val=""/>
      <w:lvlJc w:val="left"/>
      <w:pPr>
        <w:ind w:left="1080" w:hanging="360"/>
      </w:pPr>
      <w:rPr>
        <w:rFonts w:ascii="Symbol" w:hAnsi="Symbol" w:cs="Symbol" w:hint="default"/>
        <w:rFonts w:cs="OpenSymbol"/>
      </w:rPr>
    </w:lvl>
    <w:lvl w:ilvl="2">
      <w:start w:val="1"/>
      <w:numFmt w:val="bullet"/>
      <w:lvlText w:val=""/>
      <w:lvlJc w:val="left"/>
      <w:pPr>
        <w:ind w:left="1440" w:hanging="360"/>
      </w:pPr>
      <w:rPr>
        <w:rFonts w:ascii="Symbol" w:hAnsi="Symbol" w:cs="Symbol" w:hint="default"/>
        <w:rFonts w:cs="OpenSymbol"/>
      </w:rPr>
    </w:lvl>
    <w:lvl w:ilvl="3">
      <w:start w:val="1"/>
      <w:numFmt w:val="bullet"/>
      <w:lvlText w:val=""/>
      <w:lvlJc w:val="left"/>
      <w:pPr>
        <w:ind w:left="1800" w:hanging="360"/>
      </w:pPr>
      <w:rPr>
        <w:rFonts w:ascii="Symbol" w:hAnsi="Symbol" w:cs="Symbol" w:hint="default"/>
        <w:rFonts w:cs="OpenSymbol"/>
      </w:rPr>
    </w:lvl>
    <w:lvl w:ilvl="4">
      <w:start w:val="1"/>
      <w:numFmt w:val="bullet"/>
      <w:lvlText w:val=""/>
      <w:lvlJc w:val="left"/>
      <w:pPr>
        <w:ind w:left="2160" w:hanging="360"/>
      </w:pPr>
      <w:rPr>
        <w:rFonts w:ascii="Symbol" w:hAnsi="Symbol" w:cs="Symbol" w:hint="default"/>
        <w:rFonts w:cs="OpenSymbol"/>
      </w:rPr>
    </w:lvl>
    <w:lvl w:ilvl="5">
      <w:start w:val="1"/>
      <w:numFmt w:val="bullet"/>
      <w:lvlText w:val=""/>
      <w:lvlJc w:val="left"/>
      <w:pPr>
        <w:ind w:left="2520" w:hanging="360"/>
      </w:pPr>
      <w:rPr>
        <w:rFonts w:ascii="Symbol" w:hAnsi="Symbol" w:cs="Symbol" w:hint="default"/>
        <w:rFonts w:cs="OpenSymbol"/>
      </w:rPr>
    </w:lvl>
    <w:lvl w:ilvl="6">
      <w:start w:val="1"/>
      <w:numFmt w:val="bullet"/>
      <w:lvlText w:val=""/>
      <w:lvlJc w:val="left"/>
      <w:pPr>
        <w:ind w:left="2880" w:hanging="360"/>
      </w:pPr>
      <w:rPr>
        <w:rFonts w:ascii="Symbol" w:hAnsi="Symbol" w:cs="Symbol" w:hint="default"/>
        <w:rFonts w:cs="OpenSymbol"/>
      </w:rPr>
    </w:lvl>
    <w:lvl w:ilvl="7">
      <w:start w:val="1"/>
      <w:numFmt w:val="bullet"/>
      <w:lvlText w:val=""/>
      <w:lvlJc w:val="left"/>
      <w:pPr>
        <w:ind w:left="3240" w:hanging="360"/>
      </w:pPr>
      <w:rPr>
        <w:rFonts w:ascii="Symbol" w:hAnsi="Symbol" w:cs="Symbol" w:hint="default"/>
        <w:rFonts w:cs="OpenSymbol"/>
      </w:rPr>
    </w:lvl>
    <w:lvl w:ilvl="8">
      <w:start w:val="1"/>
      <w:numFmt w:val="bullet"/>
      <w:lvlText w:val=""/>
      <w:lvlJc w:val="left"/>
      <w:pPr>
        <w:ind w:left="3600" w:hanging="360"/>
      </w:pPr>
      <w:rPr>
        <w:rFonts w:ascii="Symbol" w:hAnsi="Symbol" w:cs="Symbol" w:hint="default"/>
        <w:rFonts w:cs="OpenSymbol"/>
      </w:rPr>
    </w:lvl>
  </w:abstractNum>
  <w:abstractNum w:abstractNumId="4">
    <w:lvl w:ilvl="0">
      <w:start w:val="1"/>
      <w:numFmt w:val="bullet"/>
      <w:lvlText w:val="-"/>
      <w:lvlJc w:val="left"/>
      <w:pPr>
        <w:ind w:left="174" w:hanging="360"/>
      </w:pPr>
      <w:rPr>
        <w:rFonts w:ascii="Times New Roman" w:hAnsi="Times New Roman" w:cs="Times New Roman" w:hint="default"/>
        <w:rFonts w:cs="Times New Roman"/>
      </w:rPr>
    </w:lvl>
    <w:lvl w:ilvl="1">
      <w:start w:val="1"/>
      <w:numFmt w:val="bullet"/>
      <w:lvlText w:val="o"/>
      <w:lvlJc w:val="left"/>
      <w:pPr>
        <w:ind w:left="894" w:hanging="360"/>
      </w:pPr>
      <w:rPr>
        <w:rFonts w:ascii="Courier New" w:hAnsi="Courier New" w:cs="Courier New" w:hint="default"/>
        <w:rFonts w:cs="Courier New"/>
      </w:rPr>
    </w:lvl>
    <w:lvl w:ilvl="2">
      <w:start w:val="1"/>
      <w:numFmt w:val="bullet"/>
      <w:lvlText w:val=""/>
      <w:lvlJc w:val="left"/>
      <w:pPr>
        <w:ind w:left="1614" w:hanging="360"/>
      </w:pPr>
      <w:rPr>
        <w:rFonts w:ascii="Wingdings" w:hAnsi="Wingdings" w:cs="Wingdings" w:hint="default"/>
      </w:rPr>
    </w:lvl>
    <w:lvl w:ilvl="3">
      <w:start w:val="1"/>
      <w:numFmt w:val="bullet"/>
      <w:lvlText w:val=""/>
      <w:lvlJc w:val="left"/>
      <w:pPr>
        <w:ind w:left="2334" w:hanging="360"/>
      </w:pPr>
      <w:rPr>
        <w:rFonts w:ascii="Symbol" w:hAnsi="Symbol" w:cs="Symbol" w:hint="default"/>
      </w:rPr>
    </w:lvl>
    <w:lvl w:ilvl="4">
      <w:start w:val="1"/>
      <w:numFmt w:val="bullet"/>
      <w:lvlText w:val="o"/>
      <w:lvlJc w:val="left"/>
      <w:pPr>
        <w:ind w:left="3054" w:hanging="360"/>
      </w:pPr>
      <w:rPr>
        <w:rFonts w:ascii="Courier New" w:hAnsi="Courier New" w:cs="Courier New" w:hint="default"/>
        <w:rFonts w:cs="Courier New"/>
      </w:rPr>
    </w:lvl>
    <w:lvl w:ilvl="5">
      <w:start w:val="1"/>
      <w:numFmt w:val="bullet"/>
      <w:lvlText w:val=""/>
      <w:lvlJc w:val="left"/>
      <w:pPr>
        <w:ind w:left="3774" w:hanging="360"/>
      </w:pPr>
      <w:rPr>
        <w:rFonts w:ascii="Wingdings" w:hAnsi="Wingdings" w:cs="Wingdings" w:hint="default"/>
      </w:rPr>
    </w:lvl>
    <w:lvl w:ilvl="6">
      <w:start w:val="1"/>
      <w:numFmt w:val="bullet"/>
      <w:lvlText w:val=""/>
      <w:lvlJc w:val="left"/>
      <w:pPr>
        <w:ind w:left="4494" w:hanging="360"/>
      </w:pPr>
      <w:rPr>
        <w:rFonts w:ascii="Symbol" w:hAnsi="Symbol" w:cs="Symbol" w:hint="default"/>
      </w:rPr>
    </w:lvl>
    <w:lvl w:ilvl="7">
      <w:start w:val="1"/>
      <w:numFmt w:val="bullet"/>
      <w:lvlText w:val="o"/>
      <w:lvlJc w:val="left"/>
      <w:pPr>
        <w:ind w:left="5214" w:hanging="360"/>
      </w:pPr>
      <w:rPr>
        <w:rFonts w:ascii="Courier New" w:hAnsi="Courier New" w:cs="Courier New" w:hint="default"/>
        <w:rFonts w:cs="Courier New"/>
      </w:rPr>
    </w:lvl>
    <w:lvl w:ilvl="8">
      <w:start w:val="1"/>
      <w:numFmt w:val="bullet"/>
      <w:lvlText w:val=""/>
      <w:lvlJc w:val="left"/>
      <w:pPr>
        <w:ind w:left="5934" w:hanging="360"/>
      </w:pPr>
      <w:rPr>
        <w:rFonts w:ascii="Wingdings" w:hAnsi="Wingdings" w:cs="Wingdings" w:hint="default"/>
      </w:rPr>
    </w:lvl>
  </w:abstractNum>
  <w:abstractNum w:abstractNumId="5">
    <w:lvl w:ilvl="0">
      <w:start w:val="1"/>
      <w:numFmt w:val="lowerLetter"/>
      <w:lvlText w:val="%1)"/>
      <w:lvlJc w:val="left"/>
      <w:pPr>
        <w:ind w:left="0" w:hanging="0"/>
      </w:pPr>
    </w:lvl>
    <w:lvl w:ilvl="1">
      <w:start w:val="1"/>
      <w:numFmt w:val="decimal"/>
      <w:lvlText w:val="%2."/>
      <w:lvlJc w:val="left"/>
      <w:pPr>
        <w:ind w:left="0" w:hanging="0"/>
      </w:pPr>
    </w:lvl>
    <w:lvl w:ilvl="2">
      <w:start w:val="1"/>
      <w:numFmt w:val="decimal"/>
      <w:lvlText w:val="%3."/>
      <w:lvlJc w:val="left"/>
      <w:pPr>
        <w:ind w:left="0" w:hanging="0"/>
      </w:pPr>
    </w:lvl>
    <w:lvl w:ilvl="3">
      <w:start w:val="1"/>
      <w:numFmt w:val="decimal"/>
      <w:lvlText w:val="%4."/>
      <w:lvlJc w:val="left"/>
      <w:pPr>
        <w:ind w:left="0" w:hanging="0"/>
      </w:pPr>
    </w:lvl>
    <w:lvl w:ilvl="4">
      <w:start w:val="1"/>
      <w:numFmt w:val="decimal"/>
      <w:lvlText w:val="%5."/>
      <w:lvlJc w:val="left"/>
      <w:pPr>
        <w:ind w:left="0" w:hanging="0"/>
      </w:pPr>
    </w:lvl>
    <w:lvl w:ilvl="5">
      <w:start w:val="1"/>
      <w:numFmt w:val="decimal"/>
      <w:lvlText w:val="%6."/>
      <w:lvlJc w:val="left"/>
      <w:pPr>
        <w:ind w:left="0" w:hanging="0"/>
      </w:pPr>
    </w:lvl>
    <w:lvl w:ilvl="6">
      <w:start w:val="1"/>
      <w:numFmt w:val="decimal"/>
      <w:lvlText w:val="%7."/>
      <w:lvlJc w:val="left"/>
      <w:pPr>
        <w:ind w:left="0" w:hanging="0"/>
      </w:pPr>
    </w:lvl>
    <w:lvl w:ilvl="7">
      <w:start w:val="1"/>
      <w:numFmt w:val="decimal"/>
      <w:lvlText w:val="%8."/>
      <w:lvlJc w:val="left"/>
      <w:pPr>
        <w:ind w:left="0" w:hanging="0"/>
      </w:pPr>
    </w:lvl>
    <w:lvl w:ilvl="8">
      <w:start w:val="1"/>
      <w:numFmt w:val="decimal"/>
      <w:lvlText w:val="%9."/>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Lucida Sans Unicode" w:cs="Mangal"/>
        <w:kern w:val="2"/>
        <w:sz w:val="24"/>
        <w:szCs w:val="24"/>
        <w:lang w:val="es-ES" w:eastAsia="zh-CN" w:bidi="hi-IN"/>
      </w:rPr>
    </w:rPrDefault>
    <w:pPrDefault>
      <w:pPr>
        <w:suppressAutoHyphens w:val="false"/>
        <w:textAlignment w:val="baseline"/>
      </w:pPr>
    </w:pPrDefault>
  </w:docDefaults>
  <w:style w:type="paragraph" w:styleId="Normal">
    <w:name w:val="Normal"/>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textAlignment w:val="baseline"/>
    </w:pPr>
    <w:rPr>
      <w:rFonts w:eastAsia="ヒラギノ角ゴ Pro W3" w:cs="Times New Roman" w:ascii="Times New Roman" w:hAnsi="Times New Roman"/>
      <w:b w:val="false"/>
      <w:bCs w:val="false"/>
      <w:i w:val="false"/>
      <w:iCs w:val="false"/>
      <w:caps w:val="false"/>
      <w:smallCaps w:val="false"/>
      <w:strike w:val="false"/>
      <w:dstrike w:val="false"/>
      <w:outline w:val="false"/>
      <w:emboss w:val="false"/>
      <w:imprint w:val="false"/>
      <w:color w:val="000000"/>
      <w:spacing w:val="0"/>
      <w:w w:val="100"/>
      <w:kern w:val="2"/>
      <w:position w:val="0"/>
      <w:sz w:val="20"/>
      <w:sz w:val="20"/>
      <w:szCs w:val="24"/>
      <w:u w:val="none"/>
      <w:vertAlign w:val="baseline"/>
      <w:em w:val="none"/>
      <w:lang w:eastAsia="es-ES" w:bidi="ar-SA" w:val="es-ES"/>
    </w:rPr>
  </w:style>
  <w:style w:type="paragraph" w:styleId="Ttulo1">
    <w:name w:val="Heading 1"/>
    <w:basedOn w:val="Normal"/>
    <w:next w:val="Normal"/>
    <w:qFormat/>
    <w:pPr>
      <w:keepNext w:val="true"/>
      <w:numPr>
        <w:ilvl w:val="0"/>
        <w:numId w:val="1"/>
      </w:numPr>
      <w:suppressAutoHyphens w:val="true"/>
      <w:spacing w:lineRule="exact" w:line="260"/>
      <w:jc w:val="center"/>
      <w:outlineLvl w:val="0"/>
    </w:pPr>
    <w:rPr>
      <w:rFonts w:ascii="Arial" w:hAnsi="Arial" w:cs="Arial"/>
      <w:i/>
      <w:iCs/>
    </w:rPr>
  </w:style>
  <w:style w:type="paragraph" w:styleId="Ttulo6">
    <w:name w:val="Heading 6"/>
    <w:next w:val="Normal"/>
    <w:qFormat/>
    <w:pPr>
      <w:keepNext w:val="true"/>
      <w:keepLines w:val="false"/>
      <w:pageBreakBefore w:val="false"/>
      <w:widowControl/>
      <w:numPr>
        <w:ilvl w:val="5"/>
        <w:numId w:val="1"/>
      </w:numPr>
      <w:pBdr/>
      <w:shd w:fill="auto" w:val="clear"/>
      <w:tabs>
        <w:tab w:val="clear" w:pos="709"/>
        <w:tab w:val="left" w:pos="0" w:leader="none"/>
      </w:tabs>
      <w:suppressAutoHyphens w:val="true"/>
      <w:kinsoku w:val="true"/>
      <w:overflowPunct w:val="true"/>
      <w:autoSpaceDE w:val="true"/>
      <w:bidi w:val="0"/>
      <w:snapToGrid w:val="true"/>
      <w:spacing w:lineRule="auto" w:line="360"/>
      <w:jc w:val="both"/>
      <w:textAlignment w:val="baseline"/>
      <w:outlineLvl w:val="5"/>
    </w:pPr>
    <w:rPr>
      <w:rFonts w:ascii="Times" w:hAnsi="Times" w:eastAsia="ヒラギノ角ゴ Pro W3" w:cs="Times New Roman"/>
      <w:b w:val="false"/>
      <w:bCs w:val="false"/>
      <w:i w:val="false"/>
      <w:iCs w:val="false"/>
      <w:caps w:val="false"/>
      <w:smallCaps w:val="false"/>
      <w:strike w:val="false"/>
      <w:dstrike w:val="false"/>
      <w:outline w:val="false"/>
      <w:emboss w:val="false"/>
      <w:imprint w:val="false"/>
      <w:color w:val="000000"/>
      <w:spacing w:val="0"/>
      <w:w w:val="100"/>
      <w:kern w:val="2"/>
      <w:position w:val="0"/>
      <w:sz w:val="24"/>
      <w:sz w:val="24"/>
      <w:szCs w:val="20"/>
      <w:u w:val="none"/>
      <w:vertAlign w:val="baseline"/>
      <w:em w:val="none"/>
      <w:lang w:bidi="ar-SA" w:val="es-ES" w:eastAsia="zh-CN"/>
    </w:rPr>
  </w:style>
  <w:style w:type="character" w:styleId="Fuentedeprrafopredeter">
    <w:name w:val="Fuente de párrafo predeter."/>
    <w:qFormat/>
    <w:rPr/>
  </w:style>
  <w:style w:type="character" w:styleId="Smbolosdenumeracin">
    <w:name w:val="Símbolos de numeración"/>
    <w:qFormat/>
    <w:rPr/>
  </w:style>
  <w:style w:type="character" w:styleId="EnlacedeInternet">
    <w:name w:val="Enlace de Internet"/>
    <w:rPr>
      <w:color w:val="000080"/>
      <w:u w:val="single"/>
    </w:rPr>
  </w:style>
  <w:style w:type="character" w:styleId="Sangra2detdecuerpoCar">
    <w:name w:val="Sangría 2 de t. de cuerpo Car"/>
    <w:qFormat/>
    <w:rPr>
      <w:rFonts w:ascii="Arial" w:hAnsi="Arial" w:eastAsia="ヒラギノ角ゴ Pro W3" w:cs="Arial"/>
      <w:color w:val="000000"/>
      <w:sz w:val="24"/>
      <w:szCs w:val="28"/>
      <w:lang w:val="es-ES" w:eastAsia="es-ES"/>
    </w:rPr>
  </w:style>
  <w:style w:type="character" w:styleId="Vietas">
    <w:name w:val="Viñetas"/>
    <w:qFormat/>
    <w:rPr>
      <w:rFonts w:ascii="OpenSymbol" w:hAnsi="OpenSymbol" w:eastAsia="OpenSymbol" w:cs="OpenSymbol"/>
    </w:rPr>
  </w:style>
  <w:style w:type="character" w:styleId="WWCharLFO2LVL1">
    <w:name w:val="WW_CharLFO2LVL1"/>
    <w:qFormat/>
    <w:rPr>
      <w:rFonts w:ascii="OpenSymbol" w:hAnsi="OpenSymbol" w:eastAsia="OpenSymbol" w:cs="OpenSymbol"/>
    </w:rPr>
  </w:style>
  <w:style w:type="character" w:styleId="WWCharLFO2LVL2">
    <w:name w:val="WW_CharLFO2LVL2"/>
    <w:qFormat/>
    <w:rPr>
      <w:rFonts w:ascii="OpenSymbol" w:hAnsi="OpenSymbol" w:eastAsia="OpenSymbol" w:cs="OpenSymbol"/>
    </w:rPr>
  </w:style>
  <w:style w:type="character" w:styleId="WWCharLFO2LVL3">
    <w:name w:val="WW_CharLFO2LVL3"/>
    <w:qFormat/>
    <w:rPr>
      <w:rFonts w:ascii="OpenSymbol" w:hAnsi="OpenSymbol" w:eastAsia="OpenSymbol" w:cs="OpenSymbol"/>
    </w:rPr>
  </w:style>
  <w:style w:type="character" w:styleId="WWCharLFO2LVL4">
    <w:name w:val="WW_CharLFO2LVL4"/>
    <w:qFormat/>
    <w:rPr>
      <w:rFonts w:ascii="OpenSymbol" w:hAnsi="OpenSymbol" w:eastAsia="OpenSymbol" w:cs="OpenSymbol"/>
    </w:rPr>
  </w:style>
  <w:style w:type="character" w:styleId="WWCharLFO2LVL5">
    <w:name w:val="WW_CharLFO2LVL5"/>
    <w:qFormat/>
    <w:rPr>
      <w:rFonts w:ascii="OpenSymbol" w:hAnsi="OpenSymbol" w:eastAsia="OpenSymbol" w:cs="OpenSymbol"/>
    </w:rPr>
  </w:style>
  <w:style w:type="character" w:styleId="WWCharLFO2LVL6">
    <w:name w:val="WW_CharLFO2LVL6"/>
    <w:qFormat/>
    <w:rPr>
      <w:rFonts w:ascii="OpenSymbol" w:hAnsi="OpenSymbol" w:eastAsia="OpenSymbol" w:cs="OpenSymbol"/>
    </w:rPr>
  </w:style>
  <w:style w:type="character" w:styleId="WWCharLFO2LVL7">
    <w:name w:val="WW_CharLFO2LVL7"/>
    <w:qFormat/>
    <w:rPr>
      <w:rFonts w:ascii="OpenSymbol" w:hAnsi="OpenSymbol" w:eastAsia="OpenSymbol" w:cs="OpenSymbol"/>
    </w:rPr>
  </w:style>
  <w:style w:type="character" w:styleId="WWCharLFO2LVL8">
    <w:name w:val="WW_CharLFO2LVL8"/>
    <w:qFormat/>
    <w:rPr>
      <w:rFonts w:ascii="OpenSymbol" w:hAnsi="OpenSymbol" w:eastAsia="OpenSymbol" w:cs="OpenSymbol"/>
    </w:rPr>
  </w:style>
  <w:style w:type="character" w:styleId="WWCharLFO2LVL9">
    <w:name w:val="WW_CharLFO2LVL9"/>
    <w:qFormat/>
    <w:rPr>
      <w:rFonts w:ascii="OpenSymbol" w:hAnsi="OpenSymbol" w:eastAsia="OpenSymbol" w:cs="OpenSymbol"/>
    </w:rPr>
  </w:style>
  <w:style w:type="character" w:styleId="WWCharLFO3LVL1">
    <w:name w:val="WW_CharLFO3LVL1"/>
    <w:qFormat/>
    <w:rPr>
      <w:rFonts w:ascii="Times New Roman" w:hAnsi="Times New Roman" w:eastAsia="ヒラギノ角ゴ Pro W3" w:cs="Times New Roman"/>
    </w:rPr>
  </w:style>
  <w:style w:type="character" w:styleId="WWCharLFO3LVL2">
    <w:name w:val="WW_CharLFO3LVL2"/>
    <w:qFormat/>
    <w:rPr>
      <w:rFonts w:ascii="Courier New" w:hAnsi="Courier New" w:cs="Courier New"/>
    </w:rPr>
  </w:style>
  <w:style w:type="character" w:styleId="WWCharLFO3LVL3">
    <w:name w:val="WW_CharLFO3LVL3"/>
    <w:qFormat/>
    <w:rPr>
      <w:rFonts w:ascii="Wingdings" w:hAnsi="Wingdings"/>
    </w:rPr>
  </w:style>
  <w:style w:type="character" w:styleId="WWCharLFO3LVL4">
    <w:name w:val="WW_CharLFO3LVL4"/>
    <w:qFormat/>
    <w:rPr>
      <w:rFonts w:ascii="Symbol" w:hAnsi="Symbol"/>
    </w:rPr>
  </w:style>
  <w:style w:type="character" w:styleId="WWCharLFO3LVL5">
    <w:name w:val="WW_CharLFO3LVL5"/>
    <w:qFormat/>
    <w:rPr>
      <w:rFonts w:ascii="Courier New" w:hAnsi="Courier New" w:cs="Courier New"/>
    </w:rPr>
  </w:style>
  <w:style w:type="character" w:styleId="WWCharLFO3LVL6">
    <w:name w:val="WW_CharLFO3LVL6"/>
    <w:qFormat/>
    <w:rPr>
      <w:rFonts w:ascii="Wingdings" w:hAnsi="Wingdings"/>
    </w:rPr>
  </w:style>
  <w:style w:type="character" w:styleId="WWCharLFO3LVL7">
    <w:name w:val="WW_CharLFO3LVL7"/>
    <w:qFormat/>
    <w:rPr>
      <w:rFonts w:ascii="Symbol" w:hAnsi="Symbol"/>
    </w:rPr>
  </w:style>
  <w:style w:type="character" w:styleId="WWCharLFO3LVL8">
    <w:name w:val="WW_CharLFO3LVL8"/>
    <w:qFormat/>
    <w:rPr>
      <w:rFonts w:ascii="Courier New" w:hAnsi="Courier New" w:cs="Courier New"/>
    </w:rPr>
  </w:style>
  <w:style w:type="character" w:styleId="WWCharLFO3LVL9">
    <w:name w:val="WW_CharLFO3LVL9"/>
    <w:qFormat/>
    <w:rPr>
      <w:rFonts w:ascii="Wingdings" w:hAnsi="Wingdings"/>
    </w:rPr>
  </w:style>
  <w:style w:type="paragraph" w:styleId="Ttulo">
    <w:name w:val="Título"/>
    <w:basedOn w:val="Normal"/>
    <w:next w:val="Cuerpodetexto"/>
    <w:qFormat/>
    <w:pPr>
      <w:tabs>
        <w:tab w:val="clear" w:pos="709"/>
        <w:tab w:val="center" w:pos="4252" w:leader="none"/>
        <w:tab w:val="right" w:pos="8504" w:leader="none"/>
      </w:tabs>
      <w:suppressAutoHyphens w:val="true"/>
    </w:pPr>
    <w:rPr/>
  </w:style>
  <w:style w:type="paragraph" w:styleId="Cuerpodetexto">
    <w:name w:val="Body Text"/>
    <w:basedOn w:val="Normal"/>
    <w:pPr>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s>
      <w:suppressAutoHyphens w:val="true"/>
      <w:spacing w:lineRule="auto" w:line="360"/>
      <w:jc w:val="both"/>
    </w:pPr>
    <w:rPr>
      <w:rFonts w:ascii="Arial" w:hAnsi="Arial"/>
      <w:sz w:val="22"/>
    </w:rPr>
  </w:style>
  <w:style w:type="paragraph" w:styleId="Normal1">
    <w:name w:val="LO-Normal"/>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textAlignment w:val="baseline"/>
    </w:pPr>
    <w:rPr>
      <w:rFonts w:ascii="Times New Roman" w:hAnsi="Times New Roman" w:eastAsia="Lucida Sans Unicode" w:cs="Mangal"/>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vertAlign w:val="baseline"/>
      <w:em w:val="none"/>
      <w:lang w:val="es-ES" w:eastAsia="zh-CN" w:bidi="hi-IN"/>
    </w:rPr>
  </w:style>
  <w:style w:type="paragraph" w:styleId="Cuerpodetextoconsangra">
    <w:name w:val="Body Text Indent"/>
    <w:basedOn w:val="Normal"/>
    <w:pPr>
      <w:tabs>
        <w:tab w:val="clear" w:pos="709"/>
      </w:tabs>
      <w:suppressAutoHyphens w:val="true"/>
      <w:spacing w:before="0" w:after="120"/>
      <w:ind w:left="283" w:hanging="0"/>
    </w:pPr>
    <w:rPr/>
  </w:style>
  <w:style w:type="paragraph" w:styleId="Lista">
    <w:name w:val="List"/>
    <w:basedOn w:val="Cuerpodetexto"/>
    <w:pPr>
      <w:suppressAutoHyphens w:val="true"/>
    </w:pPr>
    <w:rPr>
      <w:rFonts w:cs="Mangal"/>
    </w:rPr>
  </w:style>
  <w:style w:type="paragraph" w:styleId="Encabezado">
    <w:name w:val="Encabezado"/>
    <w:qFormat/>
    <w:pPr>
      <w:keepNext w:val="false"/>
      <w:keepLines w:val="false"/>
      <w:pageBreakBefore w:val="false"/>
      <w:widowControl/>
      <w:pBdr/>
      <w:shd w:fill="auto" w:val="clear"/>
      <w:tabs>
        <w:tab w:val="clear" w:pos="709"/>
        <w:tab w:val="center" w:pos="4252" w:leader="none"/>
        <w:tab w:val="right" w:pos="8504" w:leader="none"/>
      </w:tabs>
      <w:suppressAutoHyphens w:val="true"/>
      <w:kinsoku w:val="true"/>
      <w:overflowPunct w:val="true"/>
      <w:autoSpaceDE w:val="true"/>
      <w:bidi w:val="0"/>
      <w:snapToGrid w:val="true"/>
      <w:spacing w:lineRule="auto" w:line="240"/>
      <w:jc w:val="left"/>
      <w:textAlignment w:val="baseline"/>
    </w:pPr>
    <w:rPr>
      <w:rFonts w:eastAsia="ヒラギノ角ゴ Pro W3" w:cs="Times New Roman" w:ascii="Times New Roman" w:hAnsi="Times New Roman"/>
      <w:b w:val="false"/>
      <w:bCs w:val="false"/>
      <w:i w:val="false"/>
      <w:iCs w:val="false"/>
      <w:caps w:val="false"/>
      <w:smallCaps w:val="false"/>
      <w:strike w:val="false"/>
      <w:dstrike w:val="false"/>
      <w:outline w:val="false"/>
      <w:emboss w:val="false"/>
      <w:imprint w:val="false"/>
      <w:color w:val="000000"/>
      <w:spacing w:val="0"/>
      <w:w w:val="100"/>
      <w:kern w:val="2"/>
      <w:position w:val="0"/>
      <w:sz w:val="20"/>
      <w:sz w:val="20"/>
      <w:szCs w:val="20"/>
      <w:u w:val="none"/>
      <w:vertAlign w:val="baseline"/>
      <w:em w:val="none"/>
      <w:lang w:bidi="ar-SA" w:val="es-ES" w:eastAsia="zh-CN"/>
    </w:rPr>
  </w:style>
  <w:style w:type="paragraph" w:styleId="Piedepgina">
    <w:name w:val="Footer"/>
    <w:pPr>
      <w:keepNext w:val="false"/>
      <w:keepLines w:val="false"/>
      <w:pageBreakBefore w:val="false"/>
      <w:widowControl/>
      <w:pBdr/>
      <w:shd w:fill="auto" w:val="clear"/>
      <w:tabs>
        <w:tab w:val="clear" w:pos="709"/>
        <w:tab w:val="center" w:pos="4252" w:leader="none"/>
        <w:tab w:val="right" w:pos="8504" w:leader="none"/>
      </w:tabs>
      <w:suppressAutoHyphens w:val="true"/>
      <w:kinsoku w:val="true"/>
      <w:overflowPunct w:val="true"/>
      <w:autoSpaceDE w:val="true"/>
      <w:bidi w:val="0"/>
      <w:snapToGrid w:val="true"/>
      <w:spacing w:lineRule="auto" w:line="240"/>
      <w:jc w:val="left"/>
      <w:textAlignment w:val="baseline"/>
    </w:pPr>
    <w:rPr>
      <w:rFonts w:eastAsia="ヒラギノ角ゴ Pro W3" w:cs="Times New Roman" w:ascii="Times New Roman" w:hAnsi="Times New Roman"/>
      <w:b w:val="false"/>
      <w:bCs w:val="false"/>
      <w:i w:val="false"/>
      <w:iCs w:val="false"/>
      <w:caps w:val="false"/>
      <w:smallCaps w:val="false"/>
      <w:strike w:val="false"/>
      <w:dstrike w:val="false"/>
      <w:outline w:val="false"/>
      <w:emboss w:val="false"/>
      <w:imprint w:val="false"/>
      <w:color w:val="000000"/>
      <w:spacing w:val="0"/>
      <w:w w:val="100"/>
      <w:kern w:val="2"/>
      <w:position w:val="0"/>
      <w:sz w:val="20"/>
      <w:sz w:val="20"/>
      <w:szCs w:val="20"/>
      <w:u w:val="none"/>
      <w:vertAlign w:val="baseline"/>
      <w:em w:val="none"/>
      <w:lang w:bidi="ar-SA" w:val="es-ES" w:eastAsia="zh-CN"/>
    </w:rPr>
  </w:style>
  <w:style w:type="paragraph" w:styleId="Contenidodelatabla">
    <w:name w:val="Contenido de la tabla"/>
    <w:basedOn w:val="Normal"/>
    <w:qFormat/>
    <w:pPr>
      <w:suppressLineNumbers/>
      <w:suppressAutoHyphens w:val="true"/>
    </w:pPr>
    <w:rPr/>
  </w:style>
  <w:style w:type="paragraph" w:styleId="Descripcin">
    <w:name w:val="Descripción"/>
    <w:basedOn w:val="Normal"/>
    <w:qFormat/>
    <w:pPr>
      <w:suppressLineNumbers/>
      <w:suppressAutoHyphens w:val="true"/>
      <w:spacing w:before="120" w:after="120"/>
    </w:pPr>
    <w:rPr>
      <w:rFonts w:cs="Mangal"/>
      <w:i/>
      <w:iCs/>
      <w:sz w:val="24"/>
    </w:rPr>
  </w:style>
  <w:style w:type="paragraph" w:styleId="Contenidodelmarco">
    <w:name w:val="Contenido del marco"/>
    <w:basedOn w:val="Cuerpodetexto"/>
    <w:qFormat/>
    <w:pPr>
      <w:suppressAutoHyphens w:val="true"/>
    </w:pPr>
    <w:rPr/>
  </w:style>
  <w:style w:type="paragraph" w:styleId="Ndice">
    <w:name w:val="Índice"/>
    <w:basedOn w:val="Normal"/>
    <w:qFormat/>
    <w:pPr>
      <w:suppressLineNumbers/>
      <w:suppressAutoHyphens w:val="true"/>
    </w:pPr>
    <w:rPr>
      <w:rFonts w:cs="Mangal"/>
    </w:rPr>
  </w:style>
  <w:style w:type="paragraph" w:styleId="WWPiedepgina">
    <w:name w:val="WW-Pie de página"/>
    <w:basedOn w:val="Normal"/>
    <w:qFormat/>
    <w:pPr>
      <w:tabs>
        <w:tab w:val="clear" w:pos="709"/>
        <w:tab w:val="center" w:pos="4252" w:leader="none"/>
        <w:tab w:val="right" w:pos="8504" w:leader="none"/>
      </w:tabs>
      <w:suppressAutoHyphens w:val="true"/>
    </w:pPr>
    <w:rPr/>
  </w:style>
  <w:style w:type="paragraph" w:styleId="Sangranormal">
    <w:name w:val="Sangría normal"/>
    <w:basedOn w:val="Normal"/>
    <w:qFormat/>
    <w:pPr>
      <w:tabs>
        <w:tab w:val="clear" w:pos="709"/>
      </w:tabs>
      <w:suppressAutoHyphens w:val="true"/>
      <w:ind w:left="708" w:hanging="0"/>
    </w:pPr>
    <w:rPr/>
  </w:style>
  <w:style w:type="paragraph" w:styleId="Textodecuerpo2">
    <w:name w:val="Texto de cuerpo 2"/>
    <w:basedOn w:val="Normal"/>
    <w:qFormat/>
    <w:pPr>
      <w:tabs>
        <w:tab w:val="clear" w:pos="709"/>
        <w:tab w:val="left" w:pos="708" w:leader="none"/>
        <w:tab w:val="left" w:pos="1416" w:leader="none"/>
        <w:tab w:val="left" w:pos="2124" w:leader="none"/>
        <w:tab w:val="left" w:pos="2832" w:leader="none"/>
        <w:tab w:val="left" w:pos="3540" w:leader="none"/>
      </w:tabs>
      <w:suppressAutoHyphens w:val="true"/>
    </w:pPr>
    <w:rPr>
      <w:rFonts w:ascii="Arial" w:hAnsi="Arial" w:cs="Arial"/>
      <w:sz w:val="16"/>
    </w:rPr>
  </w:style>
  <w:style w:type="paragraph" w:styleId="NormalWeb">
    <w:name w:val="Normal (Web)"/>
    <w:basedOn w:val="Normal"/>
    <w:qFormat/>
    <w:pPr>
      <w:suppressAutoHyphens w:val="false"/>
      <w:spacing w:lineRule="auto" w:line="288"/>
    </w:pPr>
    <w:rPr>
      <w:rFonts w:ascii="Arial" w:hAnsi="Arial" w:eastAsia="Times New Roman" w:cs="Arial"/>
      <w:color w:val="333333"/>
      <w:sz w:val="15"/>
      <w:szCs w:val="15"/>
    </w:rPr>
  </w:style>
  <w:style w:type="paragraph" w:styleId="Sangra2detdecuerpo">
    <w:name w:val="Sangría 2 de t. de cuerpo"/>
    <w:basedOn w:val="Normal"/>
    <w:qFormat/>
    <w:pPr>
      <w:suppressAutoHyphens w:val="true"/>
      <w:spacing w:lineRule="auto" w:line="360"/>
      <w:ind w:firstLine="709"/>
      <w:jc w:val="both"/>
    </w:pPr>
    <w:rPr>
      <w:rFonts w:ascii="Arial" w:hAnsi="Arial" w:cs="Arial"/>
      <w:sz w:val="24"/>
      <w:szCs w:val="28"/>
    </w:rPr>
  </w:style>
  <w:style w:type="paragraph" w:styleId="Cabecera">
    <w:name w:val="Header"/>
    <w:basedOn w:val="Normal"/>
    <w:pPr>
      <w:suppressLineNumbers/>
      <w:tabs>
        <w:tab w:val="clear" w:pos="709"/>
        <w:tab w:val="center" w:pos="4819" w:leader="none"/>
        <w:tab w:val="right" w:pos="9638"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algeciras.es/es/index.html" TargetMode="External"/><Relationship Id="rId3" Type="http://schemas.openxmlformats.org/officeDocument/2006/relationships/hyperlink" Target="https://sede.algeciras.es/opencms/opencms/sede" TargetMode="External"/><Relationship Id="rId4" Type="http://schemas.openxmlformats.org/officeDocument/2006/relationships/hyperlink" Target="http://www.algeciras.es/es/index.html" TargetMode="External"/><Relationship Id="rId5" Type="http://schemas.openxmlformats.org/officeDocument/2006/relationships/hyperlink" Target="https://sede.algeciras.es/opencms/opencms/sede"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0</TotalTime>
  <Application>LibreOffice/6.1.5.2$Windows_X86_64 LibreOffice_project/90f8dcf33c87b3705e78202e3df5142b201bd805</Application>
  <Pages>8</Pages>
  <Words>2510</Words>
  <CharactersWithSpaces>16285</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2021-03-03T09:51:00Z</dcterms:created>
  <dc:creator>JUVATO</dc:creator>
  <dc:description/>
  <dc:language>es-ES</dc:language>
  <cp:lastModifiedBy>DPTO PERSONAL  RECURSOS</cp:lastModifiedBy>
  <cp:lastPrinted>2015-01-21T13:36:00Z</cp:lastPrinted>
  <dcterms:modified xsi:type="dcterms:W3CDTF">2021-03-03T09:51:00Z</dcterms:modified>
  <cp:revision>2</cp:revision>
  <dc:subject/>
  <dc:title>En la tarde de ayer viernes tuvo lugar la inauguración de la exposición “Imaginería y esculturas” que en la Fundación Municipa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