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506" w:rsidRDefault="006E2506">
      <w:pPr>
        <w:jc w:val="right"/>
        <w:rPr>
          <w:color w:val="5B9BD5"/>
        </w:rPr>
      </w:pPr>
    </w:p>
    <w:p w:rsidR="006E2506" w:rsidRDefault="006E2506">
      <w:pPr>
        <w:jc w:val="right"/>
        <w:rPr>
          <w:color w:val="CC0000"/>
          <w:sz w:val="32"/>
          <w:szCs w:val="32"/>
        </w:rPr>
      </w:pPr>
    </w:p>
    <w:p w:rsidR="006E2506" w:rsidRDefault="006E2506">
      <w:pPr>
        <w:jc w:val="right"/>
        <w:rPr>
          <w:color w:val="CC0000"/>
          <w:sz w:val="32"/>
          <w:szCs w:val="32"/>
        </w:rPr>
      </w:pPr>
    </w:p>
    <w:p w:rsidR="006E2506" w:rsidRDefault="00D8126E">
      <w:pPr>
        <w:jc w:val="right"/>
        <w:rPr>
          <w:color w:val="CC0000"/>
          <w:sz w:val="32"/>
          <w:szCs w:val="32"/>
        </w:rPr>
      </w:pPr>
      <w:r>
        <w:rPr>
          <w:color w:val="CC0000"/>
          <w:sz w:val="32"/>
          <w:szCs w:val="32"/>
        </w:rPr>
        <w:t>Anexo 09</w:t>
      </w:r>
    </w:p>
    <w:p w:rsidR="006E2506" w:rsidRDefault="00D8126E">
      <w:pPr>
        <w:jc w:val="right"/>
        <w:rPr>
          <w:color w:val="CC0000"/>
          <w:sz w:val="32"/>
          <w:szCs w:val="32"/>
        </w:rPr>
      </w:pPr>
      <w:r>
        <w:rPr>
          <w:color w:val="CC0000"/>
          <w:sz w:val="32"/>
          <w:szCs w:val="32"/>
        </w:rPr>
        <w:t>Anexo II de la convocatoria</w:t>
      </w:r>
    </w:p>
    <w:p w:rsidR="006E2506" w:rsidRDefault="00D8126E">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Calibri" w:eastAsia="Calibri" w:hAnsi="Calibri" w:cs="Calibri"/>
          <w:noProof/>
          <w:color w:val="000000"/>
          <w:sz w:val="22"/>
          <w:szCs w:val="22"/>
        </w:rPr>
        <w:drawing>
          <wp:inline distT="0" distB="0" distL="0" distR="0">
            <wp:extent cx="4733925" cy="1028700"/>
            <wp:effectExtent l="0" t="0" r="0" b="0"/>
            <wp:docPr id="11" name="image1.jpg" descr="Ciberseguridad soluciones COVID"/>
            <wp:cNvGraphicFramePr/>
            <a:graphic xmlns:a="http://schemas.openxmlformats.org/drawingml/2006/main">
              <a:graphicData uri="http://schemas.openxmlformats.org/drawingml/2006/picture">
                <pic:pic xmlns:pic="http://schemas.openxmlformats.org/drawingml/2006/picture">
                  <pic:nvPicPr>
                    <pic:cNvPr id="0" name="image1.jpg" descr="Ciberseguridad soluciones COVID"/>
                    <pic:cNvPicPr preferRelativeResize="0"/>
                  </pic:nvPicPr>
                  <pic:blipFill>
                    <a:blip r:embed="rId9"/>
                    <a:srcRect/>
                    <a:stretch>
                      <a:fillRect/>
                    </a:stretch>
                  </pic:blipFill>
                  <pic:spPr>
                    <a:xfrm>
                      <a:off x="0" y="0"/>
                      <a:ext cx="4733925" cy="1028700"/>
                    </a:xfrm>
                    <a:prstGeom prst="rect">
                      <a:avLst/>
                    </a:prstGeom>
                    <a:ln/>
                  </pic:spPr>
                </pic:pic>
              </a:graphicData>
            </a:graphic>
          </wp:inline>
        </w:drawing>
      </w:r>
    </w:p>
    <w:p w:rsidR="006E2506" w:rsidRDefault="00D8126E">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9 Rectángulo"/>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rsidR="006E2506" w:rsidRDefault="00D8126E">
                            <w:pPr>
                              <w:spacing w:line="240" w:lineRule="auto"/>
                              <w:jc w:val="center"/>
                              <w:textDirection w:val="btLr"/>
                            </w:pPr>
                            <w:r>
                              <w:rPr>
                                <w:rFonts w:ascii="Calibri" w:eastAsia="Calibri" w:hAnsi="Calibri" w:cs="Calibri"/>
                                <w:color w:val="FFFFFF"/>
                                <w:sz w:val="40"/>
                              </w:rPr>
                              <w:t>DECLARACIONES RESPONSABLES</w:t>
                            </w:r>
                          </w:p>
                          <w:p w:rsidR="006E2506" w:rsidRDefault="00D8126E">
                            <w:pPr>
                              <w:spacing w:line="240" w:lineRule="auto"/>
                              <w:jc w:val="center"/>
                              <w:textDirection w:val="btLr"/>
                            </w:pPr>
                            <w:r>
                              <w:rPr>
                                <w:rFonts w:ascii="Calibri" w:eastAsia="Calibri" w:hAnsi="Calibri" w:cs="Calibri"/>
                                <w:color w:val="FFFFFF"/>
                                <w:sz w:val="36"/>
                              </w:rPr>
                              <w:t xml:space="preserve">Condiciones de participación </w:t>
                            </w:r>
                          </w:p>
                          <w:p w:rsidR="006E2506" w:rsidRDefault="00D8126E">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rsidR="006E2506" w:rsidRDefault="00D8126E">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9"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7537376" cy="1323975"/>
                        </a:xfrm>
                        <a:prstGeom prst="rect"/>
                        <a:ln/>
                      </pic:spPr>
                    </pic:pic>
                  </a:graphicData>
                </a:graphic>
              </wp:anchor>
            </w:drawing>
          </mc:Fallback>
        </mc:AlternateContent>
      </w:r>
    </w:p>
    <w:p w:rsidR="006E2506" w:rsidRDefault="00D8126E">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rsidR="006E2506" w:rsidRDefault="00D8126E">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rsidR="006E2506" w:rsidRDefault="00D8126E">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DECLARACIÓN JURADA DEL CUMPLIMIENTO DE LAS CONDICIONES DE PARTICIPACIÓN </w:t>
      </w:r>
    </w:p>
    <w:p w:rsidR="006E2506" w:rsidRDefault="006E2506">
      <w:pPr>
        <w:widowControl/>
        <w:pBdr>
          <w:top w:val="nil"/>
          <w:left w:val="nil"/>
          <w:bottom w:val="nil"/>
          <w:right w:val="nil"/>
          <w:between w:val="nil"/>
        </w:pBdr>
        <w:spacing w:before="120" w:after="120" w:line="240" w:lineRule="auto"/>
        <w:ind w:left="357" w:right="284"/>
        <w:rPr>
          <w:rFonts w:ascii="Calibri" w:eastAsia="Calibri" w:hAnsi="Calibri" w:cs="Calibri"/>
          <w:color w:val="FFFFFF"/>
          <w:sz w:val="22"/>
          <w:szCs w:val="22"/>
        </w:rPr>
      </w:pPr>
    </w:p>
    <w:p w:rsidR="006E2506" w:rsidRDefault="00D8126E">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rsidR="006E2506" w:rsidRDefault="00D8126E">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w:t>
      </w:r>
      <w:r>
        <w:rPr>
          <w:rFonts w:ascii="Calibri" w:eastAsia="Calibri" w:hAnsi="Calibri" w:cs="Calibri"/>
          <w:color w:val="000000"/>
          <w:sz w:val="22"/>
          <w:szCs w:val="22"/>
        </w:rPr>
        <w:t>es, o normativa aplicable en la materia propia de la Comunidad Autónoma correspondiente.</w:t>
      </w:r>
    </w:p>
    <w:p w:rsidR="006E2506" w:rsidRDefault="00D8126E">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alta en el Censo del IAE en el epígrafe nº</w:t>
      </w:r>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w:t>
      </w:r>
      <w:r>
        <w:rPr>
          <w:rFonts w:ascii="Calibri" w:eastAsia="Calibri" w:hAnsi="Calibri" w:cs="Calibri"/>
          <w:color w:val="000000"/>
          <w:sz w:val="22"/>
          <w:szCs w:val="22"/>
        </w:rPr>
        <w:t xml:space="preserve">exigir el Certificado de Actividades Económicas que acredite este extremo. </w:t>
      </w:r>
    </w:p>
    <w:p w:rsidR="006E2506" w:rsidRDefault="00D8126E">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xml:space="preserve">, según lo dispuesto en el Reglamento (UE) Nº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6E2506">
        <w:trPr>
          <w:trHeight w:val="445"/>
        </w:trPr>
        <w:tc>
          <w:tcPr>
            <w:tcW w:w="992" w:type="dxa"/>
          </w:tcPr>
          <w:p w:rsidR="006E2506" w:rsidRDefault="006E2506">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rsidR="006E2506" w:rsidRDefault="00D8126E">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w:t>
            </w:r>
            <w:r>
              <w:rPr>
                <w:rFonts w:ascii="Calibri" w:eastAsia="Calibri" w:hAnsi="Calibri" w:cs="Calibri"/>
                <w:b/>
                <w:i/>
                <w:sz w:val="22"/>
                <w:szCs w:val="22"/>
              </w:rPr>
              <w:t>das de minimis</w:t>
            </w:r>
            <w:r>
              <w:rPr>
                <w:rFonts w:ascii="Calibri" w:eastAsia="Calibri" w:hAnsi="Calibri" w:cs="Calibri"/>
                <w:sz w:val="22"/>
                <w:szCs w:val="22"/>
              </w:rPr>
              <w:t xml:space="preserve"> en los tres últimos años.</w:t>
            </w:r>
          </w:p>
        </w:tc>
      </w:tr>
      <w:tr w:rsidR="006E2506">
        <w:tc>
          <w:tcPr>
            <w:tcW w:w="992" w:type="dxa"/>
          </w:tcPr>
          <w:p w:rsidR="006E2506" w:rsidRDefault="006E2506">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rsidR="006E2506" w:rsidRDefault="00D8126E">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rsidR="006E2506" w:rsidRDefault="006E2506">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6E2506">
        <w:trPr>
          <w:trHeight w:val="437"/>
        </w:trPr>
        <w:tc>
          <w:tcPr>
            <w:tcW w:w="2125"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6E2506">
        <w:tc>
          <w:tcPr>
            <w:tcW w:w="2125" w:type="dxa"/>
            <w:shd w:val="clear" w:color="auto" w:fill="auto"/>
            <w:vAlign w:val="center"/>
          </w:tcPr>
          <w:p w:rsidR="006E2506" w:rsidRDefault="006E2506"/>
        </w:tc>
        <w:tc>
          <w:tcPr>
            <w:tcW w:w="1131" w:type="dxa"/>
          </w:tcPr>
          <w:p w:rsidR="006E2506" w:rsidRDefault="006E2506">
            <w:pPr>
              <w:jc w:val="center"/>
            </w:pPr>
          </w:p>
        </w:tc>
        <w:tc>
          <w:tcPr>
            <w:tcW w:w="1848" w:type="dxa"/>
          </w:tcPr>
          <w:p w:rsidR="006E2506" w:rsidRDefault="006E2506"/>
        </w:tc>
        <w:tc>
          <w:tcPr>
            <w:tcW w:w="1449" w:type="dxa"/>
            <w:shd w:val="clear" w:color="auto" w:fill="auto"/>
            <w:vAlign w:val="center"/>
          </w:tcPr>
          <w:p w:rsidR="006E2506" w:rsidRDefault="006E2506"/>
        </w:tc>
        <w:tc>
          <w:tcPr>
            <w:tcW w:w="2241" w:type="dxa"/>
            <w:shd w:val="clear" w:color="auto" w:fill="auto"/>
            <w:vAlign w:val="center"/>
          </w:tcPr>
          <w:p w:rsidR="006E2506" w:rsidRDefault="006E2506"/>
        </w:tc>
      </w:tr>
      <w:tr w:rsidR="006E2506">
        <w:tc>
          <w:tcPr>
            <w:tcW w:w="2125" w:type="dxa"/>
            <w:shd w:val="clear" w:color="auto" w:fill="auto"/>
            <w:vAlign w:val="center"/>
          </w:tcPr>
          <w:p w:rsidR="006E2506" w:rsidRDefault="006E2506"/>
        </w:tc>
        <w:tc>
          <w:tcPr>
            <w:tcW w:w="1131" w:type="dxa"/>
          </w:tcPr>
          <w:p w:rsidR="006E2506" w:rsidRDefault="006E2506">
            <w:pPr>
              <w:jc w:val="center"/>
            </w:pPr>
          </w:p>
        </w:tc>
        <w:tc>
          <w:tcPr>
            <w:tcW w:w="1848" w:type="dxa"/>
          </w:tcPr>
          <w:p w:rsidR="006E2506" w:rsidRDefault="006E2506"/>
        </w:tc>
        <w:tc>
          <w:tcPr>
            <w:tcW w:w="1449" w:type="dxa"/>
            <w:shd w:val="clear" w:color="auto" w:fill="auto"/>
            <w:vAlign w:val="center"/>
          </w:tcPr>
          <w:p w:rsidR="006E2506" w:rsidRDefault="006E2506"/>
        </w:tc>
        <w:tc>
          <w:tcPr>
            <w:tcW w:w="2241" w:type="dxa"/>
            <w:shd w:val="clear" w:color="auto" w:fill="auto"/>
            <w:vAlign w:val="center"/>
          </w:tcPr>
          <w:p w:rsidR="006E2506" w:rsidRDefault="006E2506"/>
        </w:tc>
      </w:tr>
      <w:tr w:rsidR="006E2506">
        <w:tc>
          <w:tcPr>
            <w:tcW w:w="2125" w:type="dxa"/>
            <w:shd w:val="clear" w:color="auto" w:fill="auto"/>
            <w:vAlign w:val="center"/>
          </w:tcPr>
          <w:p w:rsidR="006E2506" w:rsidRDefault="006E2506"/>
        </w:tc>
        <w:tc>
          <w:tcPr>
            <w:tcW w:w="1131" w:type="dxa"/>
          </w:tcPr>
          <w:p w:rsidR="006E2506" w:rsidRDefault="006E2506"/>
        </w:tc>
        <w:tc>
          <w:tcPr>
            <w:tcW w:w="1848" w:type="dxa"/>
          </w:tcPr>
          <w:p w:rsidR="006E2506" w:rsidRDefault="006E2506"/>
        </w:tc>
        <w:tc>
          <w:tcPr>
            <w:tcW w:w="1449" w:type="dxa"/>
            <w:shd w:val="clear" w:color="auto" w:fill="auto"/>
            <w:vAlign w:val="center"/>
          </w:tcPr>
          <w:p w:rsidR="006E2506" w:rsidRDefault="006E2506"/>
        </w:tc>
        <w:tc>
          <w:tcPr>
            <w:tcW w:w="2241" w:type="dxa"/>
            <w:shd w:val="clear" w:color="auto" w:fill="auto"/>
            <w:vAlign w:val="center"/>
          </w:tcPr>
          <w:p w:rsidR="006E2506" w:rsidRDefault="006E2506"/>
        </w:tc>
      </w:tr>
    </w:tbl>
    <w:p w:rsidR="006E2506" w:rsidRDefault="00D8126E">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el caso de que se produzca cualquier alteración de la información proporcionada en relación con las ayudas recibidas, el beneficiario se compromete a suministrársela a la entidad concedente de la presente ayuda.</w:t>
      </w:r>
    </w:p>
    <w:p w:rsidR="006E2506" w:rsidRDefault="00D8126E">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 DECLARACIÓN JURADA DE AYUDAS RECIBIDAS P</w:t>
      </w:r>
      <w:r>
        <w:rPr>
          <w:rFonts w:ascii="Calibri" w:eastAsia="Calibri" w:hAnsi="Calibri" w:cs="Calibri"/>
          <w:b/>
          <w:color w:val="FFFFFF"/>
          <w:sz w:val="24"/>
          <w:szCs w:val="24"/>
        </w:rPr>
        <w:t>ARA LA OPERACIÓN DE REFERENCIA</w:t>
      </w:r>
    </w:p>
    <w:p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FFFFFF"/>
          <w:sz w:val="12"/>
          <w:szCs w:val="12"/>
        </w:rPr>
      </w:pPr>
      <w:r>
        <w:rPr>
          <w:rFonts w:ascii="Calibri" w:eastAsia="Calibri" w:hAnsi="Calibri" w:cs="Calibri"/>
          <w:color w:val="000000"/>
          <w:sz w:val="22"/>
          <w:szCs w:val="22"/>
        </w:rPr>
        <w:t xml:space="preserve">Declaro que las operaciones que sean financiadas en el marco del Programa Ciberseguridad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6E2506">
        <w:trPr>
          <w:trHeight w:val="329"/>
        </w:trPr>
        <w:tc>
          <w:tcPr>
            <w:tcW w:w="988" w:type="dxa"/>
            <w:tcBorders>
              <w:right w:val="single" w:sz="4" w:space="0" w:color="000000"/>
            </w:tcBorders>
          </w:tcPr>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rsidR="006E2506" w:rsidRDefault="00D8126E">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6E2506">
        <w:trPr>
          <w:trHeight w:val="377"/>
        </w:trPr>
        <w:tc>
          <w:tcPr>
            <w:tcW w:w="988" w:type="dxa"/>
            <w:tcBorders>
              <w:right w:val="single" w:sz="4" w:space="0" w:color="000000"/>
            </w:tcBorders>
          </w:tcPr>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rsidR="006E2506" w:rsidRDefault="00D8126E">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6E2506">
        <w:trPr>
          <w:trHeight w:val="430"/>
        </w:trPr>
        <w:tc>
          <w:tcPr>
            <w:tcW w:w="2209"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rsidR="006E2506" w:rsidRDefault="00D8126E">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6E2506">
        <w:trPr>
          <w:trHeight w:val="20"/>
        </w:trPr>
        <w:tc>
          <w:tcPr>
            <w:tcW w:w="2209" w:type="dxa"/>
            <w:shd w:val="clear" w:color="auto" w:fill="auto"/>
            <w:vAlign w:val="center"/>
          </w:tcPr>
          <w:p w:rsidR="006E2506" w:rsidRDefault="006E2506">
            <w:pPr>
              <w:rPr>
                <w:sz w:val="22"/>
                <w:szCs w:val="22"/>
              </w:rPr>
            </w:pPr>
          </w:p>
        </w:tc>
        <w:tc>
          <w:tcPr>
            <w:tcW w:w="1472" w:type="dxa"/>
          </w:tcPr>
          <w:p w:rsidR="006E2506" w:rsidRDefault="006E2506">
            <w:pPr>
              <w:rPr>
                <w:sz w:val="22"/>
                <w:szCs w:val="22"/>
              </w:rPr>
            </w:pPr>
          </w:p>
        </w:tc>
        <w:tc>
          <w:tcPr>
            <w:tcW w:w="1559" w:type="dxa"/>
          </w:tcPr>
          <w:p w:rsidR="006E2506" w:rsidRDefault="006E2506">
            <w:pPr>
              <w:rPr>
                <w:sz w:val="22"/>
                <w:szCs w:val="22"/>
              </w:rPr>
            </w:pPr>
          </w:p>
        </w:tc>
        <w:tc>
          <w:tcPr>
            <w:tcW w:w="1843" w:type="dxa"/>
            <w:shd w:val="clear" w:color="auto" w:fill="auto"/>
            <w:vAlign w:val="center"/>
          </w:tcPr>
          <w:p w:rsidR="006E2506" w:rsidRDefault="006E2506">
            <w:pPr>
              <w:rPr>
                <w:sz w:val="22"/>
                <w:szCs w:val="22"/>
              </w:rPr>
            </w:pPr>
          </w:p>
        </w:tc>
        <w:tc>
          <w:tcPr>
            <w:tcW w:w="1984" w:type="dxa"/>
            <w:shd w:val="clear" w:color="auto" w:fill="auto"/>
            <w:vAlign w:val="center"/>
          </w:tcPr>
          <w:p w:rsidR="006E2506" w:rsidRDefault="006E2506">
            <w:pPr>
              <w:rPr>
                <w:sz w:val="22"/>
                <w:szCs w:val="22"/>
              </w:rPr>
            </w:pPr>
          </w:p>
        </w:tc>
      </w:tr>
      <w:tr w:rsidR="006E2506">
        <w:trPr>
          <w:trHeight w:val="20"/>
        </w:trPr>
        <w:tc>
          <w:tcPr>
            <w:tcW w:w="2209" w:type="dxa"/>
            <w:shd w:val="clear" w:color="auto" w:fill="auto"/>
            <w:vAlign w:val="center"/>
          </w:tcPr>
          <w:p w:rsidR="006E2506" w:rsidRDefault="006E2506">
            <w:pPr>
              <w:rPr>
                <w:sz w:val="22"/>
                <w:szCs w:val="22"/>
              </w:rPr>
            </w:pPr>
          </w:p>
        </w:tc>
        <w:tc>
          <w:tcPr>
            <w:tcW w:w="1472" w:type="dxa"/>
          </w:tcPr>
          <w:p w:rsidR="006E2506" w:rsidRDefault="006E2506">
            <w:pPr>
              <w:rPr>
                <w:sz w:val="22"/>
                <w:szCs w:val="22"/>
              </w:rPr>
            </w:pPr>
          </w:p>
        </w:tc>
        <w:tc>
          <w:tcPr>
            <w:tcW w:w="1559" w:type="dxa"/>
          </w:tcPr>
          <w:p w:rsidR="006E2506" w:rsidRDefault="006E2506">
            <w:pPr>
              <w:rPr>
                <w:sz w:val="22"/>
                <w:szCs w:val="22"/>
              </w:rPr>
            </w:pPr>
          </w:p>
        </w:tc>
        <w:tc>
          <w:tcPr>
            <w:tcW w:w="1843" w:type="dxa"/>
            <w:shd w:val="clear" w:color="auto" w:fill="auto"/>
            <w:vAlign w:val="center"/>
          </w:tcPr>
          <w:p w:rsidR="006E2506" w:rsidRDefault="006E2506">
            <w:pPr>
              <w:rPr>
                <w:sz w:val="22"/>
                <w:szCs w:val="22"/>
              </w:rPr>
            </w:pPr>
          </w:p>
        </w:tc>
        <w:tc>
          <w:tcPr>
            <w:tcW w:w="1984" w:type="dxa"/>
            <w:shd w:val="clear" w:color="auto" w:fill="auto"/>
            <w:vAlign w:val="center"/>
          </w:tcPr>
          <w:p w:rsidR="006E2506" w:rsidRDefault="006E2506">
            <w:pPr>
              <w:rPr>
                <w:sz w:val="22"/>
                <w:szCs w:val="22"/>
              </w:rPr>
            </w:pPr>
          </w:p>
        </w:tc>
      </w:tr>
      <w:tr w:rsidR="006E2506">
        <w:trPr>
          <w:trHeight w:val="20"/>
        </w:trPr>
        <w:tc>
          <w:tcPr>
            <w:tcW w:w="2209" w:type="dxa"/>
            <w:shd w:val="clear" w:color="auto" w:fill="auto"/>
            <w:vAlign w:val="center"/>
          </w:tcPr>
          <w:p w:rsidR="006E2506" w:rsidRDefault="006E2506">
            <w:pPr>
              <w:rPr>
                <w:sz w:val="22"/>
                <w:szCs w:val="22"/>
              </w:rPr>
            </w:pPr>
          </w:p>
        </w:tc>
        <w:tc>
          <w:tcPr>
            <w:tcW w:w="1472" w:type="dxa"/>
          </w:tcPr>
          <w:p w:rsidR="006E2506" w:rsidRDefault="006E2506">
            <w:pPr>
              <w:rPr>
                <w:sz w:val="22"/>
                <w:szCs w:val="22"/>
              </w:rPr>
            </w:pPr>
          </w:p>
        </w:tc>
        <w:tc>
          <w:tcPr>
            <w:tcW w:w="1559" w:type="dxa"/>
          </w:tcPr>
          <w:p w:rsidR="006E2506" w:rsidRDefault="006E2506">
            <w:pPr>
              <w:rPr>
                <w:sz w:val="22"/>
                <w:szCs w:val="22"/>
              </w:rPr>
            </w:pPr>
          </w:p>
        </w:tc>
        <w:tc>
          <w:tcPr>
            <w:tcW w:w="1843" w:type="dxa"/>
            <w:shd w:val="clear" w:color="auto" w:fill="auto"/>
            <w:vAlign w:val="center"/>
          </w:tcPr>
          <w:p w:rsidR="006E2506" w:rsidRDefault="006E2506">
            <w:pPr>
              <w:rPr>
                <w:sz w:val="22"/>
                <w:szCs w:val="22"/>
              </w:rPr>
            </w:pPr>
          </w:p>
        </w:tc>
        <w:tc>
          <w:tcPr>
            <w:tcW w:w="1984" w:type="dxa"/>
            <w:shd w:val="clear" w:color="auto" w:fill="auto"/>
            <w:vAlign w:val="center"/>
          </w:tcPr>
          <w:p w:rsidR="006E2506" w:rsidRDefault="006E2506">
            <w:pPr>
              <w:rPr>
                <w:sz w:val="22"/>
                <w:szCs w:val="22"/>
              </w:rPr>
            </w:pPr>
          </w:p>
        </w:tc>
      </w:tr>
      <w:tr w:rsidR="006E2506">
        <w:trPr>
          <w:trHeight w:val="20"/>
        </w:trPr>
        <w:tc>
          <w:tcPr>
            <w:tcW w:w="2209" w:type="dxa"/>
            <w:shd w:val="clear" w:color="auto" w:fill="auto"/>
            <w:vAlign w:val="center"/>
          </w:tcPr>
          <w:p w:rsidR="006E2506" w:rsidRDefault="006E2506">
            <w:pPr>
              <w:rPr>
                <w:sz w:val="22"/>
                <w:szCs w:val="22"/>
              </w:rPr>
            </w:pPr>
          </w:p>
        </w:tc>
        <w:tc>
          <w:tcPr>
            <w:tcW w:w="1472" w:type="dxa"/>
          </w:tcPr>
          <w:p w:rsidR="006E2506" w:rsidRDefault="006E2506">
            <w:pPr>
              <w:rPr>
                <w:sz w:val="22"/>
                <w:szCs w:val="22"/>
              </w:rPr>
            </w:pPr>
          </w:p>
        </w:tc>
        <w:tc>
          <w:tcPr>
            <w:tcW w:w="1559" w:type="dxa"/>
          </w:tcPr>
          <w:p w:rsidR="006E2506" w:rsidRDefault="006E2506">
            <w:pPr>
              <w:rPr>
                <w:sz w:val="22"/>
                <w:szCs w:val="22"/>
              </w:rPr>
            </w:pPr>
          </w:p>
        </w:tc>
        <w:tc>
          <w:tcPr>
            <w:tcW w:w="1843" w:type="dxa"/>
            <w:shd w:val="clear" w:color="auto" w:fill="auto"/>
            <w:vAlign w:val="center"/>
          </w:tcPr>
          <w:p w:rsidR="006E2506" w:rsidRDefault="006E2506">
            <w:pPr>
              <w:rPr>
                <w:sz w:val="22"/>
                <w:szCs w:val="22"/>
              </w:rPr>
            </w:pPr>
          </w:p>
        </w:tc>
        <w:tc>
          <w:tcPr>
            <w:tcW w:w="1984" w:type="dxa"/>
            <w:shd w:val="clear" w:color="auto" w:fill="auto"/>
            <w:vAlign w:val="center"/>
          </w:tcPr>
          <w:p w:rsidR="006E2506" w:rsidRDefault="006E2506">
            <w:pPr>
              <w:rPr>
                <w:sz w:val="22"/>
                <w:szCs w:val="22"/>
              </w:rPr>
            </w:pPr>
          </w:p>
        </w:tc>
      </w:tr>
    </w:tbl>
    <w:p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Los gastos que sean financiados por FEDER en el marco del Programa Ciberseguridad NO han generado ingresos para dicha empresa.</w:t>
      </w:r>
    </w:p>
    <w:p w:rsidR="006E2506" w:rsidRDefault="00D8126E">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rsidR="006E2506" w:rsidRDefault="00D8126E">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6"/>
          <w:szCs w:val="16"/>
        </w:rPr>
      </w:pPr>
    </w:p>
    <w:p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nº 651/2014 de la Comisión, de 17 de junio de 2014, por el que declaran determinadas categorías de ayudas compatibles con el mercado inter</w:t>
      </w:r>
      <w:r>
        <w:rPr>
          <w:rFonts w:ascii="Calibri" w:eastAsia="Calibri" w:hAnsi="Calibri" w:cs="Calibri"/>
          <w:color w:val="000000"/>
          <w:sz w:val="22"/>
          <w:szCs w:val="22"/>
        </w:rPr>
        <w:t>ior en aplicación de los artículos 107 y 108 del Tratado de Funcionamiento de la Unión Europea  (</w:t>
      </w:r>
      <w:hyperlink r:id="rId11">
        <w:r>
          <w:rPr>
            <w:rFonts w:ascii="Calibri" w:eastAsia="Calibri" w:hAnsi="Calibri" w:cs="Calibri"/>
            <w:color w:val="0563C1"/>
            <w:sz w:val="22"/>
            <w:szCs w:val="22"/>
            <w:u w:val="single"/>
          </w:rPr>
          <w:t>h</w:t>
        </w:r>
      </w:hyperlink>
      <w:hyperlink r:id="rId12">
        <w:r>
          <w:rPr>
            <w:rFonts w:ascii="Calibri" w:eastAsia="Calibri" w:hAnsi="Calibri" w:cs="Calibri"/>
            <w:i/>
            <w:color w:val="0563C1"/>
            <w:sz w:val="22"/>
            <w:szCs w:val="22"/>
            <w:u w:val="single"/>
          </w:rPr>
          <w:t>ttp://www.boe.es/doue/2014/187/L00001-00078.pdf</w:t>
        </w:r>
      </w:hyperlink>
      <w:r>
        <w:rPr>
          <w:rFonts w:ascii="Calibri" w:eastAsia="Calibri" w:hAnsi="Calibri" w:cs="Calibri"/>
          <w:color w:val="000000"/>
          <w:sz w:val="22"/>
          <w:szCs w:val="22"/>
        </w:rPr>
        <w:t xml:space="preserve"> ) </w:t>
      </w:r>
    </w:p>
    <w:p w:rsidR="006E2506" w:rsidRDefault="006E2506">
      <w:pPr>
        <w:widowControl/>
        <w:pBdr>
          <w:top w:val="nil"/>
          <w:left w:val="nil"/>
          <w:bottom w:val="nil"/>
          <w:right w:val="nil"/>
          <w:between w:val="nil"/>
        </w:pBdr>
        <w:spacing w:line="240" w:lineRule="auto"/>
        <w:ind w:right="284"/>
        <w:rPr>
          <w:rFonts w:ascii="Calibri" w:eastAsia="Calibri" w:hAnsi="Calibri" w:cs="Calibri"/>
          <w:b/>
          <w:i/>
          <w:color w:val="C00000"/>
          <w:sz w:val="22"/>
          <w:szCs w:val="22"/>
        </w:rPr>
      </w:pPr>
    </w:p>
    <w:p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3"/>
        <w:tblW w:w="94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6"/>
        <w:gridCol w:w="1667"/>
        <w:gridCol w:w="1667"/>
        <w:gridCol w:w="1375"/>
      </w:tblGrid>
      <w:tr w:rsidR="006E2506">
        <w:trPr>
          <w:trHeight w:val="399"/>
        </w:trPr>
        <w:tc>
          <w:tcPr>
            <w:tcW w:w="4786" w:type="dxa"/>
            <w:vMerge w:val="restart"/>
            <w:shd w:val="clear" w:color="auto" w:fill="auto"/>
            <w:vAlign w:val="center"/>
          </w:tcPr>
          <w:p w:rsidR="006E2506" w:rsidRDefault="00D8126E">
            <w:pPr>
              <w:jc w:val="center"/>
              <w:rPr>
                <w:color w:val="0563C1"/>
                <w:u w:val="single"/>
              </w:rPr>
            </w:pPr>
            <w:r>
              <w:rPr>
                <w:b/>
                <w:vertAlign w:val="superscript"/>
              </w:rPr>
              <w:footnoteReference w:id="2"/>
            </w:r>
            <w:r>
              <w:rPr>
                <w:b/>
              </w:rPr>
              <w:t>Tipo de empresa</w:t>
            </w:r>
            <w:r>
              <w:rPr>
                <w:u w:val="single"/>
                <w:vertAlign w:val="superscript"/>
              </w:rPr>
              <w:footnoteReference w:id="3"/>
            </w:r>
          </w:p>
          <w:p w:rsidR="006E2506" w:rsidRDefault="00D8126E">
            <w:pPr>
              <w:jc w:val="center"/>
              <w:rPr>
                <w:i/>
                <w:color w:val="C00000"/>
              </w:rPr>
            </w:pPr>
            <w:r>
              <w:rPr>
                <w:i/>
                <w:color w:val="C00000"/>
              </w:rPr>
              <w:t>Marcar la categoría que proceda (X)</w:t>
            </w:r>
          </w:p>
        </w:tc>
        <w:tc>
          <w:tcPr>
            <w:tcW w:w="1667" w:type="dxa"/>
            <w:shd w:val="clear" w:color="auto" w:fill="auto"/>
            <w:vAlign w:val="center"/>
          </w:tcPr>
          <w:p w:rsidR="006E2506" w:rsidRDefault="00D8126E">
            <w:pPr>
              <w:jc w:val="center"/>
              <w:rPr>
                <w:b/>
              </w:rPr>
            </w:pPr>
            <w:r>
              <w:rPr>
                <w:b/>
              </w:rPr>
              <w:t>Autónoma</w:t>
            </w:r>
          </w:p>
        </w:tc>
        <w:tc>
          <w:tcPr>
            <w:tcW w:w="1667" w:type="dxa"/>
            <w:shd w:val="clear" w:color="auto" w:fill="auto"/>
            <w:vAlign w:val="center"/>
          </w:tcPr>
          <w:p w:rsidR="006E2506" w:rsidRDefault="00D8126E">
            <w:pPr>
              <w:jc w:val="center"/>
              <w:rPr>
                <w:b/>
              </w:rPr>
            </w:pPr>
            <w:r>
              <w:rPr>
                <w:b/>
              </w:rPr>
              <w:t>Asociada</w:t>
            </w:r>
          </w:p>
        </w:tc>
        <w:tc>
          <w:tcPr>
            <w:tcW w:w="1375" w:type="dxa"/>
            <w:shd w:val="clear" w:color="auto" w:fill="auto"/>
            <w:vAlign w:val="center"/>
          </w:tcPr>
          <w:p w:rsidR="006E2506" w:rsidRDefault="00D8126E">
            <w:pPr>
              <w:jc w:val="center"/>
              <w:rPr>
                <w:b/>
              </w:rPr>
            </w:pPr>
            <w:r>
              <w:rPr>
                <w:b/>
              </w:rPr>
              <w:t>Vinculada</w:t>
            </w:r>
          </w:p>
        </w:tc>
      </w:tr>
      <w:tr w:rsidR="006E2506">
        <w:trPr>
          <w:trHeight w:val="111"/>
        </w:trPr>
        <w:tc>
          <w:tcPr>
            <w:tcW w:w="4786" w:type="dxa"/>
            <w:vMerge/>
            <w:shd w:val="clear" w:color="auto" w:fill="auto"/>
            <w:vAlign w:val="center"/>
          </w:tcPr>
          <w:p w:rsidR="006E2506" w:rsidRDefault="006E2506">
            <w:pPr>
              <w:pBdr>
                <w:top w:val="nil"/>
                <w:left w:val="nil"/>
                <w:bottom w:val="nil"/>
                <w:right w:val="nil"/>
                <w:between w:val="nil"/>
              </w:pBdr>
              <w:spacing w:line="276" w:lineRule="auto"/>
              <w:jc w:val="left"/>
              <w:rPr>
                <w:b/>
              </w:rPr>
            </w:pPr>
          </w:p>
        </w:tc>
        <w:tc>
          <w:tcPr>
            <w:tcW w:w="1667" w:type="dxa"/>
            <w:shd w:val="clear" w:color="auto" w:fill="FFFFCC"/>
            <w:vAlign w:val="center"/>
          </w:tcPr>
          <w:p w:rsidR="006E2506" w:rsidRDefault="006E2506">
            <w:pPr>
              <w:jc w:val="center"/>
            </w:pPr>
          </w:p>
        </w:tc>
        <w:tc>
          <w:tcPr>
            <w:tcW w:w="1667" w:type="dxa"/>
            <w:shd w:val="clear" w:color="auto" w:fill="FFFFCC"/>
            <w:vAlign w:val="center"/>
          </w:tcPr>
          <w:p w:rsidR="006E2506" w:rsidRDefault="006E2506">
            <w:pPr>
              <w:jc w:val="center"/>
            </w:pPr>
          </w:p>
        </w:tc>
        <w:tc>
          <w:tcPr>
            <w:tcW w:w="1375" w:type="dxa"/>
            <w:shd w:val="clear" w:color="auto" w:fill="FFFFCC"/>
            <w:vAlign w:val="center"/>
          </w:tcPr>
          <w:p w:rsidR="006E2506" w:rsidRDefault="006E2506">
            <w:pPr>
              <w:jc w:val="center"/>
            </w:pPr>
          </w:p>
        </w:tc>
      </w:tr>
      <w:tr w:rsidR="006E2506">
        <w:trPr>
          <w:trHeight w:val="240"/>
        </w:trPr>
        <w:tc>
          <w:tcPr>
            <w:tcW w:w="9495" w:type="dxa"/>
            <w:gridSpan w:val="4"/>
            <w:shd w:val="clear" w:color="auto" w:fill="auto"/>
          </w:tcPr>
          <w:p w:rsidR="006E2506" w:rsidRDefault="00D8126E">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6E2506">
        <w:trPr>
          <w:trHeight w:val="1540"/>
        </w:trPr>
        <w:tc>
          <w:tcPr>
            <w:tcW w:w="9495" w:type="dxa"/>
            <w:gridSpan w:val="4"/>
            <w:shd w:val="clear" w:color="auto" w:fill="auto"/>
          </w:tcPr>
          <w:p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lastRenderedPageBreak/>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posee una participación inferior al 25 % del capital o de los derechos de voto (lo que sea mayor) en una o más emp</w:t>
            </w:r>
            <w:r>
              <w:rPr>
                <w:rFonts w:ascii="Calibri" w:eastAsia="Calibri" w:hAnsi="Calibri" w:cs="Calibri"/>
                <w:sz w:val="18"/>
                <w:szCs w:val="18"/>
              </w:rPr>
              <w:t xml:space="preserve">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w:t>
            </w:r>
            <w:r>
              <w:rPr>
                <w:rFonts w:ascii="Calibri" w:eastAsia="Calibri" w:hAnsi="Calibri" w:cs="Calibri"/>
                <w:sz w:val="18"/>
                <w:szCs w:val="18"/>
              </w:rPr>
              <w:t xml:space="preserve"> respecto a las empresas vinculadas.</w:t>
            </w:r>
          </w:p>
        </w:tc>
      </w:tr>
      <w:tr w:rsidR="006E2506">
        <w:trPr>
          <w:trHeight w:val="1028"/>
        </w:trPr>
        <w:tc>
          <w:tcPr>
            <w:tcW w:w="9495" w:type="dxa"/>
            <w:gridSpan w:val="4"/>
            <w:shd w:val="clear" w:color="auto" w:fill="auto"/>
            <w:vAlign w:val="bottom"/>
          </w:tcPr>
          <w:p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6E2506">
        <w:trPr>
          <w:trHeight w:val="1920"/>
        </w:trPr>
        <w:tc>
          <w:tcPr>
            <w:tcW w:w="9495" w:type="dxa"/>
            <w:gridSpan w:val="4"/>
            <w:shd w:val="clear" w:color="auto" w:fill="auto"/>
            <w:vAlign w:val="bottom"/>
          </w:tcPr>
          <w:p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atención al tipo de empresa y características de la empresa, procede declarar si se trata de una PYME (Mediana, Pequeña o Micro empresa) atendiendo a los efectivos de plantilla, el volumen de negocio anual y el balance general anual, teniendo en cuenta </w:t>
      </w:r>
      <w:r>
        <w:rPr>
          <w:rFonts w:ascii="Calibri" w:eastAsia="Calibri" w:hAnsi="Calibri" w:cs="Calibri"/>
          <w:color w:val="000000"/>
          <w:sz w:val="22"/>
          <w:szCs w:val="22"/>
        </w:rPr>
        <w:t>las siguientes reglas:</w:t>
      </w:r>
    </w:p>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4"/>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1"/>
      </w:tblGrid>
      <w:tr w:rsidR="006E2506">
        <w:trPr>
          <w:trHeight w:val="20"/>
        </w:trPr>
        <w:tc>
          <w:tcPr>
            <w:tcW w:w="9571" w:type="dxa"/>
          </w:tcPr>
          <w:p w:rsidR="006E2506" w:rsidRDefault="00D8126E">
            <w:pPr>
              <w:spacing w:line="240" w:lineRule="auto"/>
              <w:rPr>
                <w:rFonts w:ascii="Calibri" w:eastAsia="Calibri" w:hAnsi="Calibri" w:cs="Calibri"/>
                <w:sz w:val="18"/>
                <w:szCs w:val="18"/>
              </w:rPr>
            </w:pPr>
            <w:r>
              <w:rPr>
                <w:rFonts w:ascii="Calibri" w:eastAsia="Calibri" w:hAnsi="Calibri" w:cs="Calibri"/>
                <w:sz w:val="18"/>
                <w:szCs w:val="18"/>
              </w:rPr>
              <w:t>Los datos seleccionados para el cálculo del personal y los importes financieros (</w:t>
            </w:r>
            <w:r>
              <w:rPr>
                <w:rFonts w:ascii="Calibri" w:eastAsia="Calibri" w:hAnsi="Calibri" w:cs="Calibri"/>
                <w:b/>
                <w:sz w:val="18"/>
                <w:szCs w:val="18"/>
              </w:rPr>
              <w:t>el volumen de negocio anual</w:t>
            </w:r>
            <w:r>
              <w:rPr>
                <w:rFonts w:ascii="Calibri" w:eastAsia="Calibri" w:hAnsi="Calibri" w:cs="Calibri"/>
                <w:b/>
                <w:sz w:val="18"/>
                <w:szCs w:val="18"/>
                <w:vertAlign w:val="superscript"/>
              </w:rPr>
              <w:footnoteReference w:id="4"/>
            </w:r>
            <w:r>
              <w:rPr>
                <w:rFonts w:ascii="Calibri" w:eastAsia="Calibri" w:hAnsi="Calibri" w:cs="Calibri"/>
                <w:b/>
                <w:sz w:val="18"/>
                <w:szCs w:val="18"/>
              </w:rPr>
              <w:t xml:space="preserve"> y el balance general anual</w:t>
            </w:r>
            <w:r>
              <w:rPr>
                <w:rFonts w:ascii="Calibri" w:eastAsia="Calibri" w:hAnsi="Calibri" w:cs="Calibri"/>
                <w:b/>
                <w:sz w:val="18"/>
                <w:szCs w:val="18"/>
                <w:vertAlign w:val="superscript"/>
              </w:rPr>
              <w:footnoteReference w:id="5"/>
            </w:r>
            <w:r>
              <w:rPr>
                <w:rFonts w:ascii="Calibri" w:eastAsia="Calibri" w:hAnsi="Calibri" w:cs="Calibri"/>
                <w:b/>
                <w:sz w:val="18"/>
                <w:szCs w:val="18"/>
              </w:rPr>
              <w:t>)</w:t>
            </w:r>
            <w:r>
              <w:rPr>
                <w:rFonts w:ascii="Calibri" w:eastAsia="Calibri" w:hAnsi="Calibri" w:cs="Calibri"/>
                <w:sz w:val="18"/>
                <w:szCs w:val="18"/>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sz w:val="18"/>
                <w:szCs w:val="18"/>
              </w:rPr>
              <w:t>cuentas</w:t>
            </w:r>
            <w:r>
              <w:rPr>
                <w:sz w:val="18"/>
                <w:szCs w:val="18"/>
                <w:vertAlign w:val="superscript"/>
              </w:rPr>
              <w:footnoteReference w:id="6"/>
            </w:r>
            <w:r>
              <w:rPr>
                <w:rFonts w:ascii="Calibri" w:eastAsia="Calibri" w:hAnsi="Calibri" w:cs="Calibri"/>
                <w:sz w:val="18"/>
                <w:szCs w:val="18"/>
              </w:rPr>
              <w:t xml:space="preserve">. El total de volumen de negocios se calculará sin el impuesto sobre el valor </w:t>
            </w:r>
            <w:r>
              <w:rPr>
                <w:rFonts w:ascii="Calibri" w:eastAsia="Calibri" w:hAnsi="Calibri" w:cs="Calibri"/>
                <w:sz w:val="18"/>
                <w:szCs w:val="18"/>
              </w:rPr>
              <w:t>añadido (IVA) ni tributos indirectos (art. 4.1 Anexo I de la Recomendación 2003/361/CE de la Comisión).</w:t>
            </w:r>
          </w:p>
        </w:tc>
      </w:tr>
      <w:tr w:rsidR="006E2506">
        <w:trPr>
          <w:trHeight w:val="20"/>
        </w:trPr>
        <w:tc>
          <w:tcPr>
            <w:tcW w:w="9571" w:type="dxa"/>
          </w:tcPr>
          <w:p w:rsidR="006E2506" w:rsidRDefault="00D8126E">
            <w:pPr>
              <w:spacing w:line="240" w:lineRule="auto"/>
              <w:rPr>
                <w:rFonts w:ascii="Calibri" w:eastAsia="Calibri" w:hAnsi="Calibri" w:cs="Calibri"/>
                <w:sz w:val="18"/>
                <w:szCs w:val="18"/>
              </w:rPr>
            </w:pPr>
            <w:r>
              <w:rPr>
                <w:rFonts w:ascii="Calibri" w:eastAsia="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w:t>
            </w:r>
            <w:r>
              <w:rPr>
                <w:rFonts w:ascii="Calibri" w:eastAsia="Calibri" w:hAnsi="Calibri" w:cs="Calibri"/>
                <w:sz w:val="18"/>
                <w:szCs w:val="18"/>
              </w:rPr>
              <w:t>a empresa, o de microempresa, si este exceso se produce en dos ejercicios consecutivos. (art. 4.2 Anexo I de la Recomendación 2003/361/CE de la Comisión).</w:t>
            </w:r>
          </w:p>
        </w:tc>
      </w:tr>
      <w:tr w:rsidR="006E2506">
        <w:trPr>
          <w:trHeight w:val="20"/>
        </w:trPr>
        <w:tc>
          <w:tcPr>
            <w:tcW w:w="9571" w:type="dxa"/>
          </w:tcPr>
          <w:p w:rsidR="006E2506" w:rsidRDefault="00D8126E">
            <w:pPr>
              <w:spacing w:line="240" w:lineRule="auto"/>
              <w:rPr>
                <w:rFonts w:ascii="Calibri" w:eastAsia="Calibri" w:hAnsi="Calibri" w:cs="Calibri"/>
                <w:sz w:val="18"/>
                <w:szCs w:val="18"/>
              </w:rPr>
            </w:pPr>
            <w:r>
              <w:rPr>
                <w:rFonts w:ascii="Calibri" w:eastAsia="Calibri" w:hAnsi="Calibri" w:cs="Calibri"/>
                <w:sz w:val="18"/>
                <w:szCs w:val="18"/>
              </w:rPr>
              <w:t>En empresas de nueva creación que no hayan cerrado aún sus cuentas, se utilizarán datos basados en e</w:t>
            </w:r>
            <w:r>
              <w:rPr>
                <w:rFonts w:ascii="Calibri" w:eastAsia="Calibri" w:hAnsi="Calibri" w:cs="Calibri"/>
                <w:sz w:val="18"/>
                <w:szCs w:val="18"/>
              </w:rPr>
              <w:t>stimaciones fiables realizadas durante el ejercicio financiero. (art. 4.3 Anexo I de la Recomendación 2003/361/CE de la Comisión).</w:t>
            </w:r>
          </w:p>
        </w:tc>
      </w:tr>
    </w:tbl>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22"/>
          <w:szCs w:val="22"/>
        </w:rPr>
      </w:pPr>
    </w:p>
    <w:p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w:t>
      </w:r>
      <w:r>
        <w:rPr>
          <w:rFonts w:ascii="Calibri" w:eastAsia="Calibri" w:hAnsi="Calibri" w:cs="Calibri"/>
          <w:color w:val="000000"/>
          <w:sz w:val="22"/>
          <w:szCs w:val="22"/>
        </w:rPr>
        <w:t>finición de microempresas, pequeñas y medianas empresas, se incluye un resumen de los referidos a la definición de PYME, procedo a indicar los requisitos que se cumplen por parte de la empresa a la que represento.</w:t>
      </w:r>
    </w:p>
    <w:p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5"/>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0"/>
        <w:gridCol w:w="875"/>
        <w:gridCol w:w="2033"/>
        <w:gridCol w:w="898"/>
        <w:gridCol w:w="2150"/>
        <w:gridCol w:w="865"/>
      </w:tblGrid>
      <w:tr w:rsidR="006E2506">
        <w:trPr>
          <w:trHeight w:val="858"/>
        </w:trPr>
        <w:tc>
          <w:tcPr>
            <w:tcW w:w="2750"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lastRenderedPageBreak/>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875"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2033"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898"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2150"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Balance general anual</w:t>
            </w:r>
          </w:p>
        </w:tc>
        <w:tc>
          <w:tcPr>
            <w:tcW w:w="865" w:type="dxa"/>
            <w:vAlign w:val="center"/>
          </w:tcPr>
          <w:p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r>
      <w:tr w:rsidR="006E2506">
        <w:trPr>
          <w:trHeight w:val="425"/>
        </w:trPr>
        <w:tc>
          <w:tcPr>
            <w:tcW w:w="2750" w:type="dxa"/>
            <w:vAlign w:val="center"/>
          </w:tcPr>
          <w:p w:rsidR="006E2506" w:rsidRDefault="00D8126E">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75" w:type="dxa"/>
            <w:shd w:val="clear" w:color="auto" w:fill="FFFFCC"/>
            <w:vAlign w:val="center"/>
          </w:tcPr>
          <w:p w:rsidR="006E2506" w:rsidRDefault="006E2506">
            <w:pPr>
              <w:spacing w:line="240" w:lineRule="auto"/>
              <w:jc w:val="center"/>
              <w:rPr>
                <w:rFonts w:ascii="Calibri" w:eastAsia="Calibri" w:hAnsi="Calibri" w:cs="Calibri"/>
                <w:color w:val="444444"/>
              </w:rPr>
            </w:pPr>
          </w:p>
        </w:tc>
        <w:tc>
          <w:tcPr>
            <w:tcW w:w="2033" w:type="dxa"/>
            <w:vAlign w:val="center"/>
          </w:tcPr>
          <w:p w:rsidR="006E2506" w:rsidRDefault="00D8126E">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898" w:type="dxa"/>
            <w:shd w:val="clear" w:color="auto" w:fill="FFFFCC"/>
            <w:vAlign w:val="center"/>
          </w:tcPr>
          <w:p w:rsidR="006E2506" w:rsidRDefault="006E2506">
            <w:pPr>
              <w:spacing w:line="240" w:lineRule="auto"/>
              <w:jc w:val="center"/>
              <w:rPr>
                <w:rFonts w:ascii="Calibri" w:eastAsia="Calibri" w:hAnsi="Calibri" w:cs="Calibri"/>
                <w:color w:val="444444"/>
              </w:rPr>
            </w:pPr>
          </w:p>
        </w:tc>
        <w:tc>
          <w:tcPr>
            <w:tcW w:w="2150" w:type="dxa"/>
            <w:vAlign w:val="center"/>
          </w:tcPr>
          <w:p w:rsidR="006E2506" w:rsidRDefault="00D8126E">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65" w:type="dxa"/>
            <w:shd w:val="clear" w:color="auto" w:fill="FFFFCC"/>
            <w:vAlign w:val="center"/>
          </w:tcPr>
          <w:p w:rsidR="006E2506" w:rsidRDefault="006E2506">
            <w:pPr>
              <w:spacing w:line="240" w:lineRule="auto"/>
              <w:jc w:val="center"/>
              <w:rPr>
                <w:rFonts w:ascii="Calibri" w:eastAsia="Calibri" w:hAnsi="Calibri" w:cs="Calibri"/>
                <w:color w:val="444444"/>
                <w:sz w:val="16"/>
                <w:szCs w:val="16"/>
              </w:rPr>
            </w:pPr>
          </w:p>
        </w:tc>
      </w:tr>
    </w:tbl>
    <w:p w:rsidR="006E2506" w:rsidRDefault="006E2506">
      <w:pPr>
        <w:rPr>
          <w:highlight w:val="yellow"/>
        </w:rPr>
      </w:pPr>
    </w:p>
    <w:p w:rsidR="006E2506" w:rsidRDefault="00D8126E">
      <w:pPr>
        <w:rPr>
          <w:highlight w:val="yellow"/>
        </w:rPr>
      </w:pPr>
      <w:r>
        <w:rPr>
          <w:highlight w:val="yellow"/>
        </w:rPr>
        <w:t xml:space="preserve">En                        , a        de             de              </w:t>
      </w:r>
    </w:p>
    <w:p w:rsidR="006E2506" w:rsidRDefault="00D8126E">
      <w:pPr>
        <w:rPr>
          <w:highlight w:val="yellow"/>
        </w:rPr>
      </w:pPr>
      <w:r>
        <w:rPr>
          <w:highlight w:val="yellow"/>
        </w:rPr>
        <w:t>Nombre:</w:t>
      </w:r>
    </w:p>
    <w:p w:rsidR="006E2506" w:rsidRDefault="00D8126E">
      <w:pPr>
        <w:rPr>
          <w:highlight w:val="yellow"/>
        </w:rPr>
      </w:pPr>
      <w:r>
        <w:rPr>
          <w:highlight w:val="yellow"/>
        </w:rPr>
        <w:t xml:space="preserve">Firma ELECTRÓNICA o FIRMA MANUSCRITA </w:t>
      </w:r>
    </w:p>
    <w:p w:rsidR="006E2506" w:rsidRDefault="006E2506">
      <w:pPr>
        <w:rPr>
          <w:highlight w:val="yellow"/>
        </w:rPr>
        <w:sectPr w:rsidR="006E2506">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pgNumType w:start="1"/>
          <w:cols w:space="720"/>
        </w:sectPr>
      </w:pPr>
    </w:p>
    <w:p w:rsidR="006E2506" w:rsidRDefault="00D8126E">
      <w:pPr>
        <w:widowControl/>
        <w:shd w:val="clear" w:color="auto" w:fill="FFFFFF"/>
        <w:spacing w:before="100" w:line="240" w:lineRule="auto"/>
        <w:rPr>
          <w:rFonts w:ascii="Calibri" w:eastAsia="Calibri" w:hAnsi="Calibri" w:cs="Calibri"/>
          <w:i/>
          <w:color w:val="384A53"/>
          <w:sz w:val="16"/>
          <w:szCs w:val="16"/>
        </w:rPr>
      </w:pPr>
      <w:bookmarkStart w:id="2" w:name="_heading=h.gjdgxs" w:colFirst="0" w:colLast="0"/>
      <w:bookmarkEnd w:id="2"/>
      <w:r>
        <w:rPr>
          <w:rFonts w:ascii="Calibri" w:eastAsia="Calibri" w:hAnsi="Calibri" w:cs="Calibri"/>
          <w:i/>
          <w:color w:val="384A53"/>
          <w:sz w:val="16"/>
          <w:szCs w:val="16"/>
          <w:highlight w:val="yellow"/>
        </w:rPr>
        <w:lastRenderedPageBreak/>
        <w:t>(no incluir en la declaración firmada)</w:t>
      </w:r>
    </w:p>
    <w:p w:rsidR="006E2506" w:rsidRDefault="00D8126E">
      <w:pPr>
        <w:pStyle w:val="Ttulo1"/>
        <w:pBdr>
          <w:left w:val="single" w:sz="18" w:space="1" w:color="C00000"/>
          <w:right w:val="single" w:sz="18" w:space="0" w:color="C00000"/>
        </w:pBdr>
        <w:ind w:right="-142"/>
        <w:rPr>
          <w:b w:val="0"/>
          <w:sz w:val="20"/>
          <w:szCs w:val="20"/>
        </w:rPr>
      </w:pPr>
      <w:r>
        <w:rPr>
          <w:sz w:val="20"/>
          <w:szCs w:val="20"/>
        </w:rPr>
        <w:t>INSTRUCCIONES - Cómo determinar la categoría de la empresa en función de su tamaño PASO A PASO</w:t>
      </w:r>
    </w:p>
    <w:p w:rsidR="006E2506" w:rsidRDefault="00D8126E">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w:t>
      </w:r>
      <w:r>
        <w:rPr>
          <w:rFonts w:ascii="Calibri" w:eastAsia="Calibri" w:hAnsi="Calibri" w:cs="Calibri"/>
          <w:color w:val="384A53"/>
          <w:sz w:val="16"/>
          <w:szCs w:val="16"/>
        </w:rPr>
        <w:t>endación de la Comisión 2003/361/CE para realizar una correcta cumplimentación de la Declaración de la Condición de PYME.</w:t>
      </w:r>
    </w:p>
    <w:p w:rsidR="006E2506" w:rsidRDefault="006E2506">
      <w:pPr>
        <w:shd w:val="clear" w:color="auto" w:fill="FFFFFF"/>
        <w:rPr>
          <w:rFonts w:ascii="Calibri" w:eastAsia="Calibri" w:hAnsi="Calibri" w:cs="Calibri"/>
          <w:color w:val="384A53"/>
          <w:sz w:val="16"/>
          <w:szCs w:val="16"/>
        </w:rPr>
      </w:pPr>
    </w:p>
    <w:p w:rsidR="006E2506" w:rsidRDefault="00D8126E">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w:t>
      </w:r>
      <w:r>
        <w:rPr>
          <w:rFonts w:ascii="Calibri" w:eastAsia="Calibri" w:hAnsi="Calibri" w:cs="Calibri"/>
          <w:color w:val="384A53"/>
          <w:sz w:val="16"/>
          <w:szCs w:val="16"/>
        </w:rPr>
        <w:t>mpresa lo es en régimen de autónomos, o si también hay que considerar empresas asociadas o vinculadas, según se define en el artículo de la Recomendación 2003/361/CE.</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rsidR="006E2506" w:rsidRDefault="00D8126E">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w:t>
      </w:r>
      <w:r>
        <w:rPr>
          <w:rFonts w:ascii="Calibri" w:eastAsia="Calibri" w:hAnsi="Calibri" w:cs="Calibri"/>
          <w:color w:val="384A53"/>
          <w:sz w:val="16"/>
          <w:szCs w:val="16"/>
        </w:rPr>
        <w:t>ualquier otra empresa y si ninguna otra empresa posee más del 25% de la misma.</w:t>
      </w:r>
    </w:p>
    <w:p w:rsidR="006E2506" w:rsidRDefault="00D8126E">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a otra empresa si tiene, sola o conjuntamente con una o más empresas vinculadas en el sentido del artículo 3(3) del Anexo de la Recomendación d</w:t>
      </w:r>
      <w:r>
        <w:rPr>
          <w:rFonts w:ascii="Calibri" w:eastAsia="Calibri" w:hAnsi="Calibri" w:cs="Calibri"/>
          <w:color w:val="384A53"/>
          <w:sz w:val="16"/>
          <w:szCs w:val="16"/>
        </w:rPr>
        <w:t>e la Comisión 2003/361/CE, al menos el 25%, pero no más del 50% de otra empresa.</w:t>
      </w:r>
    </w:p>
    <w:p w:rsidR="006E2506" w:rsidRDefault="00D8126E">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w:t>
      </w:r>
      <w:r>
        <w:rPr>
          <w:rFonts w:ascii="Calibri" w:eastAsia="Calibri" w:hAnsi="Calibri" w:cs="Calibri"/>
          <w:color w:val="384A53"/>
          <w:sz w:val="16"/>
          <w:szCs w:val="16"/>
        </w:rPr>
        <w:t>ctamente, o tiene capacidad de controlar, los asuntos de otra empresa. Una empresa se considerará vinculada si existe una relación por medio de una persona o grupo de personas que actúan conjuntamente con la condición de que las empresas están involucradas</w:t>
      </w:r>
      <w:r>
        <w:rPr>
          <w:rFonts w:ascii="Calibri" w:eastAsia="Calibri" w:hAnsi="Calibri" w:cs="Calibri"/>
          <w:color w:val="384A53"/>
          <w:sz w:val="16"/>
          <w:szCs w:val="16"/>
        </w:rPr>
        <w:t xml:space="preserve"> (total o parcialmente) en los mismos mercados o en 'mercados adyacentes' (mercados de productos o servicios que son directamente intermedios en sentido ascendente o descendente entre sí).</w:t>
      </w:r>
    </w:p>
    <w:p w:rsidR="006E2506" w:rsidRDefault="00D8126E">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Si el 25% o más del capital o derechos de voto de la empresa están </w:t>
      </w:r>
      <w:r>
        <w:rPr>
          <w:rFonts w:ascii="Calibri" w:eastAsia="Calibri" w:hAnsi="Calibri" w:cs="Calibri"/>
          <w:color w:val="384A53"/>
          <w:sz w:val="16"/>
          <w:szCs w:val="16"/>
        </w:rPr>
        <w:t>controlados directa o indirectamente, conjunta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rsidR="006E2506" w:rsidRDefault="00D8126E">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w:t>
      </w:r>
      <w:r>
        <w:rPr>
          <w:rFonts w:ascii="Calibri" w:eastAsia="Calibri" w:hAnsi="Calibri" w:cs="Calibri"/>
          <w:color w:val="384A53"/>
          <w:sz w:val="16"/>
          <w:szCs w:val="16"/>
        </w:rPr>
        <w:t>mo universidades o autoridades locales autónomas, que ostentan el status de organismo público de acuerdo con la legislación nacional, no están afectados por esta regla. Pueden poseer una participación de entre un 25%, pero no más del 50%, de una empresa si</w:t>
      </w:r>
      <w:r>
        <w:rPr>
          <w:rFonts w:ascii="Calibri" w:eastAsia="Calibri" w:hAnsi="Calibri" w:cs="Calibri"/>
          <w:color w:val="384A53"/>
          <w:sz w:val="16"/>
          <w:szCs w:val="16"/>
        </w:rPr>
        <w:t>n perder su condición de Pyme.</w:t>
      </w:r>
    </w:p>
    <w:p w:rsidR="006E2506" w:rsidRDefault="006E2506">
      <w:pPr>
        <w:shd w:val="clear" w:color="auto" w:fill="FFFFFF"/>
        <w:ind w:left="720"/>
        <w:rPr>
          <w:rFonts w:ascii="Calibri" w:eastAsia="Calibri" w:hAnsi="Calibri" w:cs="Calibri"/>
          <w:color w:val="384A53"/>
          <w:sz w:val="16"/>
          <w:szCs w:val="16"/>
        </w:rPr>
      </w:pPr>
    </w:p>
    <w:p w:rsidR="006E2506" w:rsidRDefault="00D8126E">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w:t>
      </w:r>
      <w:r>
        <w:rPr>
          <w:rFonts w:ascii="Calibri" w:eastAsia="Calibri" w:hAnsi="Calibri" w:cs="Calibri"/>
          <w:color w:val="384A53"/>
          <w:sz w:val="16"/>
          <w:szCs w:val="16"/>
        </w:rPr>
        <w:t>to de partida es el año de la presentación de la solicitud de ayuda. Los datos aplicables a los efectivos de plantilla y los importes financieros son por lo general los relativos al último ejercicio contable aprobado y se calculan sobre base anual.</w:t>
      </w:r>
    </w:p>
    <w:p w:rsidR="006E2506" w:rsidRDefault="00D8126E">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w:t>
      </w:r>
      <w:r>
        <w:rPr>
          <w:rFonts w:ascii="Calibri" w:eastAsia="Calibri" w:hAnsi="Calibri" w:cs="Calibri"/>
          <w:color w:val="384A53"/>
          <w:sz w:val="16"/>
          <w:szCs w:val="16"/>
        </w:rPr>
        <w:t>ante, si la empresa constata que tenidos en cuenta los datos aplicables de efectivos de plantilla y los importes financieros en base al último ejercicio contable aprobado se ha excedido los límites de efectivos o financieros, esta circunstancia solo le har</w:t>
      </w:r>
      <w:r>
        <w:rPr>
          <w:rFonts w:ascii="Calibri" w:eastAsia="Calibri" w:hAnsi="Calibri" w:cs="Calibri"/>
          <w:color w:val="384A53"/>
          <w:sz w:val="16"/>
          <w:szCs w:val="16"/>
        </w:rPr>
        <w:t>á adquirir o perder la calidad de mediana o pequeña empresa, o de microempresa, si este exceso se produce en dos ejercicios consecutivos. (art. 4.2 Anexo I de la Recomendación 2003/361/CE de la Comisión).</w:t>
      </w:r>
    </w:p>
    <w:p w:rsidR="006E2506" w:rsidRDefault="00D8126E">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w:t>
      </w:r>
      <w:r>
        <w:rPr>
          <w:rFonts w:ascii="Calibri" w:eastAsia="Calibri" w:hAnsi="Calibri" w:cs="Calibri"/>
          <w:color w:val="384A53"/>
          <w:sz w:val="16"/>
          <w:szCs w:val="16"/>
        </w:rPr>
        <w:t>tas no hayan sido aprobadas, los datos aplicables se han de tomar de una estimación de buena fe efectuada en el curso del ejercicio financiero.</w:t>
      </w:r>
    </w:p>
    <w:p w:rsidR="006E2506" w:rsidRDefault="006E2506">
      <w:pPr>
        <w:shd w:val="clear" w:color="auto" w:fill="FFFFFF"/>
        <w:rPr>
          <w:rFonts w:ascii="Calibri" w:eastAsia="Calibri" w:hAnsi="Calibri" w:cs="Calibri"/>
          <w:color w:val="384A53"/>
          <w:sz w:val="16"/>
          <w:szCs w:val="16"/>
        </w:rPr>
      </w:pPr>
    </w:p>
    <w:p w:rsidR="006E2506" w:rsidRDefault="00D8126E">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w:t>
      </w:r>
      <w:r>
        <w:rPr>
          <w:rFonts w:ascii="Calibri" w:eastAsia="Calibri" w:hAnsi="Calibri" w:cs="Calibri"/>
          <w:color w:val="384A53"/>
          <w:sz w:val="16"/>
          <w:szCs w:val="16"/>
        </w:rPr>
        <w:t xml:space="preserve"> plantilla, la facturación y el total del balance, de acuerdo con lo dispuesto en los artículos 4 y 5 del Anexo a la Recomendación de la Comisión 2003/361/EC.</w:t>
      </w:r>
    </w:p>
    <w:p w:rsidR="006E2506" w:rsidRDefault="00D8126E">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La </w:t>
      </w:r>
      <w:r>
        <w:rPr>
          <w:rFonts w:ascii="Calibri" w:eastAsia="Calibri" w:hAnsi="Calibri" w:cs="Calibri"/>
          <w:b/>
          <w:color w:val="384A53"/>
          <w:sz w:val="16"/>
          <w:szCs w:val="16"/>
        </w:rPr>
        <w:t>Plantilla de Efectivos</w:t>
      </w:r>
      <w:r>
        <w:rPr>
          <w:rFonts w:ascii="Calibri" w:eastAsia="Calibri" w:hAnsi="Calibri" w:cs="Calibri"/>
          <w:color w:val="384A53"/>
          <w:sz w:val="16"/>
          <w:szCs w:val="16"/>
        </w:rPr>
        <w:t xml:space="preserve"> corresponde al número de unidades de trabajo anuales (UTA). Por ello, a</w:t>
      </w:r>
      <w:r>
        <w:rPr>
          <w:rFonts w:ascii="Calibri" w:eastAsia="Calibri" w:hAnsi="Calibri" w:cs="Calibri"/>
          <w:color w:val="384A53"/>
          <w:sz w:val="16"/>
          <w:szCs w:val="16"/>
        </w:rPr>
        <w:t xml:space="preserve">l calcular el número de empleados, no sólo hay que incluir en la plantilla a los empleados a tiempo completo, a tiempo parcial, con contrato temporal y trabajadores de temporada, los socios-directores y los directivos que desarrollan una </w:t>
      </w:r>
    </w:p>
    <w:p w:rsidR="006E2506" w:rsidRDefault="00D8126E">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w:t>
      </w:r>
      <w:r>
        <w:rPr>
          <w:rFonts w:ascii="Calibri" w:eastAsia="Calibri" w:hAnsi="Calibri" w:cs="Calibri"/>
          <w:color w:val="384A53"/>
          <w:sz w:val="16"/>
          <w:szCs w:val="16"/>
        </w:rPr>
        <w:t xml:space="preserve"> en la empresa y se benefician de las ventajas financieras de ésta. Cuando los trabajadores no trabajan a tiempo completo durante el año, ha de contarse la fracción correspondiente del trabajo de los operarios a tiempo parcial, sea cual sea la duración, y </w:t>
      </w:r>
      <w:r>
        <w:rPr>
          <w:rFonts w:ascii="Calibri" w:eastAsia="Calibri" w:hAnsi="Calibri" w:cs="Calibri"/>
          <w:color w:val="384A53"/>
          <w:sz w:val="16"/>
          <w:szCs w:val="16"/>
        </w:rPr>
        <w:t>la labor de los trabajadores estacionales.</w:t>
      </w:r>
    </w:p>
    <w:p w:rsidR="006E2506" w:rsidRDefault="00D8126E">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w:t>
      </w:r>
      <w:r>
        <w:rPr>
          <w:rFonts w:ascii="Calibri" w:eastAsia="Calibri" w:hAnsi="Calibri" w:cs="Calibri"/>
          <w:color w:val="384A53"/>
          <w:sz w:val="16"/>
          <w:szCs w:val="16"/>
        </w:rPr>
        <w:t>gocio no debe incluir el impuesto de valor añadido (IVA) y otros impuestos indirectos.</w:t>
      </w:r>
    </w:p>
    <w:p w:rsidR="006E2506" w:rsidRDefault="00D8126E">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Balance General Anual</w:t>
      </w:r>
      <w:r>
        <w:rPr>
          <w:rFonts w:ascii="Calibri" w:eastAsia="Calibri" w:hAnsi="Calibri" w:cs="Calibri"/>
          <w:color w:val="384A53"/>
          <w:sz w:val="16"/>
          <w:szCs w:val="16"/>
        </w:rPr>
        <w:t xml:space="preserve"> (Total de la hoja del balance) se refiere al valor de los activos totales de la empresa.</w:t>
      </w:r>
    </w:p>
    <w:p w:rsidR="006E2506" w:rsidRDefault="006E2506">
      <w:pPr>
        <w:shd w:val="clear" w:color="auto" w:fill="FFFFFF"/>
        <w:spacing w:line="240" w:lineRule="auto"/>
        <w:rPr>
          <w:rFonts w:ascii="Calibri" w:eastAsia="Calibri" w:hAnsi="Calibri" w:cs="Calibri"/>
          <w:color w:val="384A53"/>
          <w:sz w:val="16"/>
          <w:szCs w:val="16"/>
        </w:rPr>
      </w:pPr>
    </w:p>
    <w:p w:rsidR="006E2506" w:rsidRDefault="00D8126E">
      <w:pPr>
        <w:shd w:val="clear" w:color="auto" w:fill="FFFFFF"/>
        <w:spacing w:line="240" w:lineRule="auto"/>
        <w:rPr>
          <w:rFonts w:ascii="Calibri" w:eastAsia="Calibri" w:hAnsi="Calibri" w:cs="Calibri"/>
          <w:b/>
          <w:color w:val="384A53"/>
          <w:sz w:val="16"/>
          <w:szCs w:val="16"/>
        </w:rPr>
      </w:pPr>
      <w:r>
        <w:rPr>
          <w:rFonts w:ascii="Calibri" w:eastAsia="Calibri" w:hAnsi="Calibri" w:cs="Calibri"/>
          <w:b/>
          <w:color w:val="FF000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w:t>
      </w:r>
      <w:r>
        <w:rPr>
          <w:rFonts w:ascii="Calibri" w:eastAsia="Calibri" w:hAnsi="Calibri" w:cs="Calibri"/>
          <w:b/>
          <w:color w:val="FF0000"/>
          <w:sz w:val="16"/>
          <w:szCs w:val="16"/>
        </w:rPr>
        <w:t>lir ambos y puede superar uno sin perder su status.</w:t>
      </w:r>
    </w:p>
    <w:p w:rsidR="006E2506" w:rsidRDefault="006E2506">
      <w:pPr>
        <w:shd w:val="clear" w:color="auto" w:fill="FFFFFF"/>
        <w:rPr>
          <w:rFonts w:ascii="Calibri" w:eastAsia="Calibri" w:hAnsi="Calibri" w:cs="Calibri"/>
          <w:color w:val="384A53"/>
          <w:sz w:val="16"/>
          <w:szCs w:val="16"/>
        </w:rPr>
      </w:pPr>
    </w:p>
    <w:p w:rsidR="006E2506" w:rsidRDefault="00D8126E">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w:t>
      </w:r>
      <w:r>
        <w:rPr>
          <w:rFonts w:ascii="Calibri" w:eastAsia="Calibri" w:hAnsi="Calibri" w:cs="Calibri"/>
          <w:color w:val="384A53"/>
          <w:sz w:val="16"/>
          <w:szCs w:val="16"/>
        </w:rPr>
        <w:t>esa, incluidas sus empresas asociadas y conexas, de acuerdo con lo dispuesto en la Recomendación de la Comisión 2003/361/CE</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w:t>
      </w:r>
      <w:r>
        <w:rPr>
          <w:rFonts w:ascii="Calibri" w:eastAsia="Calibri" w:hAnsi="Calibri" w:cs="Calibri"/>
          <w:color w:val="384A53"/>
          <w:sz w:val="16"/>
          <w:szCs w:val="16"/>
        </w:rPr>
        <w:t xml:space="preserve"> todas las empresas asociadas y/o conexas:</w:t>
      </w:r>
    </w:p>
    <w:p w:rsidR="006E2506" w:rsidRDefault="00D8126E">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w:t>
      </w:r>
      <w:r>
        <w:rPr>
          <w:rFonts w:ascii="Calibri" w:eastAsia="Calibri" w:hAnsi="Calibri" w:cs="Calibri"/>
          <w:color w:val="384A53"/>
          <w:sz w:val="16"/>
          <w:szCs w:val="16"/>
        </w:rPr>
        <w:t xml:space="preserve">mpresa asociada situada inmediatamente como intermedia (hacia arriba o hacia abajo, directa </w:t>
      </w:r>
      <w:r>
        <w:rPr>
          <w:rFonts w:ascii="Calibri" w:eastAsia="Calibri" w:hAnsi="Calibri" w:cs="Calibri"/>
          <w:color w:val="384A53"/>
          <w:sz w:val="16"/>
          <w:szCs w:val="16"/>
        </w:rPr>
        <w:lastRenderedPageBreak/>
        <w:t>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vinculadas debe incluirse en los datos de la empresa asociada.</w:t>
      </w:r>
    </w:p>
    <w:p w:rsidR="006E2506" w:rsidRDefault="00D8126E">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w:t>
      </w:r>
      <w:r>
        <w:rPr>
          <w:rFonts w:ascii="Calibri" w:eastAsia="Calibri" w:hAnsi="Calibri" w:cs="Calibri"/>
          <w:color w:val="384A53"/>
          <w:sz w:val="16"/>
          <w:szCs w:val="16"/>
        </w:rPr>
        <w:t>%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w:t>
      </w:r>
      <w:r>
        <w:rPr>
          <w:rFonts w:ascii="Calibri" w:eastAsia="Calibri" w:hAnsi="Calibri" w:cs="Calibri"/>
          <w:color w:val="384A53"/>
          <w:sz w:val="16"/>
          <w:szCs w:val="16"/>
        </w:rPr>
        <w:t xml:space="preserve"> indirectamente), hay que añadir el 100% de los datos de todas las empresas vinculadas y el porcentaje igual a la participación de la(s) empresa(s) asociadas a los datos de la empresa en cuestión.</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w:t>
      </w:r>
      <w:r>
        <w:rPr>
          <w:rFonts w:ascii="Calibri" w:eastAsia="Calibri" w:hAnsi="Calibri" w:cs="Calibri"/>
          <w:color w:val="384A53"/>
          <w:sz w:val="16"/>
          <w:szCs w:val="16"/>
        </w:rPr>
        <w:t>uladas tienen cuentas consolidadas, o están incluidas vía consolidación en las cuentas de otras empresas, deben utilizarse las cifras de las cuentas consolidadas al establecer los datos de la empresa en cuestión.</w:t>
      </w:r>
    </w:p>
    <w:p w:rsidR="006E2506" w:rsidRDefault="006E2506">
      <w:pPr>
        <w:shd w:val="clear" w:color="auto" w:fill="FFFFFF"/>
        <w:rPr>
          <w:rFonts w:ascii="Calibri" w:eastAsia="Calibri" w:hAnsi="Calibri" w:cs="Calibri"/>
          <w:color w:val="384A53"/>
          <w:sz w:val="16"/>
          <w:szCs w:val="16"/>
        </w:rPr>
      </w:pPr>
    </w:p>
    <w:p w:rsidR="006E2506" w:rsidRDefault="00D8126E">
      <w:pPr>
        <w:pStyle w:val="Ttulo2"/>
        <w:numPr>
          <w:ilvl w:val="1"/>
          <w:numId w:val="6"/>
        </w:numPr>
        <w:shd w:val="clear" w:color="auto" w:fill="A6A6A6"/>
        <w:spacing w:before="0" w:after="0"/>
        <w:rPr>
          <w:color w:val="FFFFFF"/>
          <w:sz w:val="16"/>
          <w:szCs w:val="16"/>
        </w:rPr>
      </w:pPr>
      <w:r>
        <w:rPr>
          <w:color w:val="FFFFFF"/>
          <w:sz w:val="16"/>
          <w:szCs w:val="16"/>
        </w:rPr>
        <w:t xml:space="preserve">Paso 5: Comprobar la Categoría de empresa </w:t>
      </w:r>
      <w:r>
        <w:rPr>
          <w:color w:val="FFFFFF"/>
          <w:sz w:val="16"/>
          <w:szCs w:val="16"/>
        </w:rPr>
        <w:t>que corresponde</w:t>
      </w:r>
    </w:p>
    <w:p w:rsidR="006E2506" w:rsidRDefault="00D8126E">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w:t>
      </w:r>
      <w:r>
        <w:rPr>
          <w:rFonts w:ascii="Calibri" w:eastAsia="Calibri" w:hAnsi="Calibri" w:cs="Calibri"/>
          <w:color w:val="384A53"/>
          <w:sz w:val="16"/>
          <w:szCs w:val="16"/>
        </w:rPr>
        <w:t>presa puede considerarse una empresa micro, pequeña o mediana.</w:t>
      </w:r>
    </w:p>
    <w:p w:rsidR="006E2506" w:rsidRDefault="006E2506">
      <w:pPr>
        <w:shd w:val="clear" w:color="auto" w:fill="FFFFFF"/>
        <w:spacing w:line="240" w:lineRule="auto"/>
        <w:rPr>
          <w:rFonts w:ascii="Calibri" w:eastAsia="Calibri" w:hAnsi="Calibri" w:cs="Calibri"/>
          <w:color w:val="384A53"/>
          <w:sz w:val="16"/>
          <w:szCs w:val="16"/>
        </w:rPr>
      </w:pPr>
    </w:p>
    <w:tbl>
      <w:tblPr>
        <w:tblStyle w:val="a6"/>
        <w:tblW w:w="7715" w:type="dxa"/>
        <w:tblInd w:w="0" w:type="dxa"/>
        <w:tblLayout w:type="fixed"/>
        <w:tblLook w:val="0400" w:firstRow="0" w:lastRow="0" w:firstColumn="0" w:lastColumn="0" w:noHBand="0" w:noVBand="1"/>
      </w:tblPr>
      <w:tblGrid>
        <w:gridCol w:w="1647"/>
        <w:gridCol w:w="1650"/>
        <w:gridCol w:w="2222"/>
        <w:gridCol w:w="2196"/>
      </w:tblGrid>
      <w:tr w:rsidR="006E2506">
        <w:tc>
          <w:tcPr>
            <w:tcW w:w="164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rsidR="006E2506" w:rsidRDefault="00D8126E">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650"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rsidR="006E2506" w:rsidRDefault="00D8126E">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4418"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rsidR="006E2506" w:rsidRDefault="00D8126E">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6E2506">
        <w:trPr>
          <w:trHeight w:val="408"/>
        </w:trPr>
        <w:tc>
          <w:tcPr>
            <w:tcW w:w="164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Mediana</w:t>
            </w:r>
          </w:p>
        </w:tc>
        <w:tc>
          <w:tcPr>
            <w:tcW w:w="1650"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&lt; 250</w:t>
            </w:r>
          </w:p>
        </w:tc>
        <w:tc>
          <w:tcPr>
            <w:tcW w:w="2222"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50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43 millones de euros</w:t>
            </w:r>
          </w:p>
        </w:tc>
      </w:tr>
      <w:tr w:rsidR="006E2506">
        <w:tc>
          <w:tcPr>
            <w:tcW w:w="164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Pequeña</w:t>
            </w:r>
          </w:p>
        </w:tc>
        <w:tc>
          <w:tcPr>
            <w:tcW w:w="1650"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&lt; 50</w:t>
            </w:r>
          </w:p>
        </w:tc>
        <w:tc>
          <w:tcPr>
            <w:tcW w:w="2222"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10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10 millones de euros</w:t>
            </w:r>
          </w:p>
        </w:tc>
      </w:tr>
      <w:tr w:rsidR="006E2506">
        <w:tc>
          <w:tcPr>
            <w:tcW w:w="164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Micro-empresa</w:t>
            </w:r>
          </w:p>
        </w:tc>
        <w:tc>
          <w:tcPr>
            <w:tcW w:w="1650"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&lt; 10</w:t>
            </w:r>
          </w:p>
        </w:tc>
        <w:tc>
          <w:tcPr>
            <w:tcW w:w="2222"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2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rsidR="006E2506" w:rsidRDefault="00D8126E">
            <w:pPr>
              <w:jc w:val="center"/>
              <w:rPr>
                <w:rFonts w:ascii="Calibri" w:eastAsia="Calibri" w:hAnsi="Calibri" w:cs="Calibri"/>
                <w:sz w:val="16"/>
                <w:szCs w:val="16"/>
              </w:rPr>
            </w:pPr>
            <w:r>
              <w:rPr>
                <w:rFonts w:ascii="Calibri" w:eastAsia="Calibri" w:hAnsi="Calibri" w:cs="Calibri"/>
                <w:sz w:val="16"/>
                <w:szCs w:val="16"/>
              </w:rPr>
              <w:t>≤ 2 millones de euros</w:t>
            </w:r>
          </w:p>
        </w:tc>
      </w:tr>
    </w:tbl>
    <w:p w:rsidR="006E2506" w:rsidRDefault="00D8126E">
      <w:pPr>
        <w:shd w:val="clear" w:color="auto" w:fill="FFFFFF"/>
        <w:spacing w:after="225"/>
        <w:rPr>
          <w:color w:val="384A53"/>
          <w:sz w:val="16"/>
          <w:szCs w:val="16"/>
        </w:rPr>
      </w:pPr>
      <w:r>
        <w:rPr>
          <w:color w:val="384A53"/>
          <w:sz w:val="16"/>
          <w:szCs w:val="16"/>
        </w:rPr>
        <w:t> </w:t>
      </w:r>
    </w:p>
    <w:p w:rsidR="006E2506" w:rsidRDefault="006E2506">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6E2506">
      <w:headerReference w:type="first" r:id="rId19"/>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26E" w:rsidRDefault="00D8126E">
      <w:pPr>
        <w:spacing w:line="240" w:lineRule="auto"/>
      </w:pPr>
      <w:r>
        <w:separator/>
      </w:r>
    </w:p>
  </w:endnote>
  <w:endnote w:type="continuationSeparator" w:id="0">
    <w:p w:rsidR="00D8126E" w:rsidRDefault="00D812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6E2506">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D8126E">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sidR="002B125B">
      <w:rPr>
        <w:rFonts w:eastAsia="Arial" w:cs="Arial"/>
        <w:color w:val="000000"/>
      </w:rPr>
      <w:fldChar w:fldCharType="separate"/>
    </w:r>
    <w:r w:rsidR="002B125B">
      <w:rPr>
        <w:rFonts w:eastAsia="Arial" w:cs="Arial"/>
        <w:noProof/>
        <w:color w:val="000000"/>
      </w:rPr>
      <w:t>2</w:t>
    </w:r>
    <w:r>
      <w:rPr>
        <w:rFonts w:eastAsia="Arial" w:cs="Arial"/>
        <w:color w:val="000000"/>
      </w:rPr>
      <w:fldChar w:fldCharType="end"/>
    </w:r>
  </w:p>
  <w:p w:rsidR="006E2506" w:rsidRDefault="006E2506">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6E2506">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26E" w:rsidRDefault="00D8126E">
      <w:pPr>
        <w:spacing w:line="240" w:lineRule="auto"/>
      </w:pPr>
      <w:r>
        <w:separator/>
      </w:r>
    </w:p>
  </w:footnote>
  <w:footnote w:type="continuationSeparator" w:id="0">
    <w:p w:rsidR="00D8126E" w:rsidRDefault="00D8126E">
      <w:pPr>
        <w:spacing w:line="240" w:lineRule="auto"/>
      </w:pPr>
      <w:r>
        <w:continuationSeparator/>
      </w:r>
    </w:p>
  </w:footnote>
  <w:footnote w:id="1">
    <w:p w:rsidR="006E2506" w:rsidRDefault="00D8126E">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rsidR="006E2506" w:rsidRDefault="00D8126E">
      <w:pPr>
        <w:rPr>
          <w:rFonts w:ascii="Calibri" w:eastAsia="Calibri" w:hAnsi="Calibri" w:cs="Calibri"/>
          <w:sz w:val="4"/>
          <w:szCs w:val="4"/>
        </w:rPr>
      </w:pPr>
      <w:r>
        <w:rPr>
          <w:vertAlign w:val="superscript"/>
        </w:rPr>
        <w:footnoteRef/>
      </w:r>
    </w:p>
  </w:footnote>
  <w:footnote w:id="3">
    <w:p w:rsidR="006E2506" w:rsidRDefault="00D8126E">
      <w:pPr>
        <w:pBdr>
          <w:top w:val="nil"/>
          <w:left w:val="nil"/>
          <w:bottom w:val="nil"/>
          <w:right w:val="nil"/>
          <w:between w:val="nil"/>
        </w:pBdr>
        <w:spacing w:line="240"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w:t>
      </w:r>
      <w:r>
        <w:rPr>
          <w:rFonts w:ascii="Calibri" w:eastAsia="Calibri" w:hAnsi="Calibri" w:cs="Calibri"/>
          <w:color w:val="000000"/>
          <w:sz w:val="16"/>
          <w:szCs w:val="16"/>
        </w:rPr>
        <w:t>opea. (apartado Paso 4. ¿Cómo se calculan esos datos?)</w:t>
      </w:r>
    </w:p>
    <w:p w:rsidR="006E2506" w:rsidRDefault="00D8126E">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w:t>
        </w:r>
        <w:r>
          <w:rPr>
            <w:rFonts w:ascii="Calibri" w:eastAsia="Calibri" w:hAnsi="Calibri" w:cs="Calibri"/>
            <w:color w:val="0563C1"/>
            <w:sz w:val="18"/>
            <w:szCs w:val="18"/>
            <w:u w:val="single"/>
          </w:rPr>
          <w:t>d71a1</w:t>
        </w:r>
      </w:hyperlink>
      <w:r>
        <w:rPr>
          <w:rFonts w:ascii="Calibri" w:eastAsia="Calibri" w:hAnsi="Calibri" w:cs="Calibri"/>
          <w:color w:val="000000"/>
          <w:sz w:val="18"/>
          <w:szCs w:val="18"/>
        </w:rPr>
        <w:t xml:space="preserve">. </w:t>
      </w:r>
    </w:p>
  </w:footnote>
  <w:footnote w:id="4">
    <w:p w:rsidR="006E2506" w:rsidRDefault="00D8126E">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rsidR="006E2506" w:rsidRDefault="00D8126E">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ascii="Calibri" w:eastAsia="Calibri" w:hAnsi="Calibri" w:cs="Calibri"/>
          <w:color w:val="000000"/>
          <w:sz w:val="16"/>
          <w:szCs w:val="16"/>
        </w:rPr>
        <w:t xml:space="preserve"> Para más información, véase el artículo 12, apartado 3, de la Directiva 78/660/CEE del Consejo, capítulo 2</w:t>
      </w:r>
      <w:r>
        <w:rPr>
          <w:rFonts w:eastAsia="Arial" w:cs="Arial"/>
          <w:color w:val="000000"/>
          <w:sz w:val="16"/>
          <w:szCs w:val="16"/>
        </w:rPr>
        <w:t>.</w:t>
      </w:r>
    </w:p>
  </w:footnote>
  <w:footnote w:id="6">
    <w:p w:rsidR="006E2506" w:rsidRDefault="00D8126E">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eastAsia="Arial" w:cs="Arial"/>
          <w:color w:val="000000"/>
          <w:sz w:val="16"/>
          <w:szCs w:val="16"/>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w:t>
      </w:r>
      <w:r>
        <w:rPr>
          <w:rFonts w:ascii="Calibri" w:eastAsia="Calibri" w:hAnsi="Calibri" w:cs="Calibri"/>
          <w:b/>
          <w:color w:val="000000"/>
          <w:sz w:val="16"/>
          <w:szCs w:val="16"/>
        </w:rPr>
        <w:t>vidades mercantiles</w:t>
      </w:r>
      <w:r>
        <w:rPr>
          <w:rFonts w:ascii="Calibri" w:eastAsia="Calibri" w:hAnsi="Calibri" w:cs="Calibri"/>
          <w:color w:val="000000"/>
          <w:sz w:val="16"/>
          <w:szCs w:val="16"/>
        </w:rPr>
        <w:t>, pueden cumplimentar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w:t>
      </w:r>
      <w:r>
        <w:rPr>
          <w:rFonts w:ascii="Calibri" w:eastAsia="Calibri" w:hAnsi="Calibri" w:cs="Calibri"/>
          <w:color w:val="000000"/>
          <w:sz w:val="16"/>
          <w:szCs w:val="16"/>
        </w:rPr>
        <w:t>s personales de IRPF del ejercicio en cuestión, en el que dentro del apartado de rendimientos de actividades económicas podrá obtener la información relativa al importe neto de la cifra de negocio (INCN).</w:t>
      </w:r>
    </w:p>
  </w:footnote>
  <w:footnote w:id="7">
    <w:p w:rsidR="006E2506" w:rsidRDefault="00D8126E">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w:t>
      </w:r>
      <w:r>
        <w:rPr>
          <w:rFonts w:ascii="Calibri" w:eastAsia="Calibri" w:hAnsi="Calibri" w:cs="Calibri"/>
          <w:color w:val="000000"/>
          <w:sz w:val="16"/>
          <w:szCs w:val="16"/>
        </w:rPr>
        <w:t>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6E2506">
    <w:pPr>
      <w:pBdr>
        <w:top w:val="nil"/>
        <w:left w:val="nil"/>
        <w:bottom w:val="nil"/>
        <w:right w:val="nil"/>
        <w:between w:val="nil"/>
      </w:pBdr>
      <w:tabs>
        <w:tab w:val="center" w:pos="4252"/>
        <w:tab w:val="right" w:pos="8504"/>
      </w:tabs>
      <w:spacing w:line="240" w:lineRule="auto"/>
      <w:rPr>
        <w:rFonts w:eastAsia="Arial" w:cs="Arial"/>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D8126E" w:rsidP="002B125B">
    <w:pPr>
      <w:pBdr>
        <w:top w:val="nil"/>
        <w:left w:val="nil"/>
        <w:bottom w:val="nil"/>
        <w:right w:val="nil"/>
        <w:between w:val="nil"/>
      </w:pBdr>
      <w:tabs>
        <w:tab w:val="center" w:pos="4252"/>
        <w:tab w:val="right" w:pos="8504"/>
      </w:tabs>
      <w:spacing w:line="240" w:lineRule="auto"/>
      <w:jc w:val="center"/>
      <w:rPr>
        <w:rFonts w:eastAsia="Arial" w:cs="Arial"/>
        <w:color w:val="000000"/>
      </w:rPr>
    </w:pPr>
    <w:bookmarkStart w:id="0" w:name="_heading=h.30j0zll" w:colFirst="0" w:colLast="0"/>
    <w:bookmarkStart w:id="1" w:name="_GoBack"/>
    <w:bookmarkEnd w:id="0"/>
    <w:r>
      <w:rPr>
        <w:noProof/>
      </w:rPr>
      <w:drawing>
        <wp:inline distT="114300" distB="114300" distL="114300" distR="114300" wp14:anchorId="2A17B678" wp14:editId="6ABFF2FB">
          <wp:extent cx="5638800" cy="70485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638800" cy="704850"/>
                  </a:xfrm>
                  <a:prstGeom prst="rect">
                    <a:avLst/>
                  </a:prstGeom>
                  <a:ln/>
                </pic:spPr>
              </pic:pic>
            </a:graphicData>
          </a:graphic>
        </wp:inline>
      </w:drawing>
    </w:r>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6E2506">
    <w:pPr>
      <w:pBdr>
        <w:top w:val="nil"/>
        <w:left w:val="nil"/>
        <w:bottom w:val="nil"/>
        <w:right w:val="nil"/>
        <w:between w:val="nil"/>
      </w:pBdr>
      <w:tabs>
        <w:tab w:val="center" w:pos="4252"/>
        <w:tab w:val="right" w:pos="8504"/>
      </w:tabs>
      <w:spacing w:line="240" w:lineRule="auto"/>
      <w:rPr>
        <w:rFonts w:eastAsia="Arial" w:cs="Arial"/>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506" w:rsidRDefault="006E2506">
    <w:pPr>
      <w:pBdr>
        <w:top w:val="nil"/>
        <w:left w:val="nil"/>
        <w:bottom w:val="nil"/>
        <w:right w:val="nil"/>
        <w:between w:val="nil"/>
      </w:pBdr>
      <w:tabs>
        <w:tab w:val="center" w:pos="4252"/>
        <w:tab w:val="right" w:pos="8504"/>
      </w:tabs>
      <w:spacing w:line="240" w:lineRule="auto"/>
      <w:rPr>
        <w:rFonts w:eastAsia="Arial" w:cs="Arial"/>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B107A"/>
    <w:multiLevelType w:val="multilevel"/>
    <w:tmpl w:val="AD8EBDAA"/>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C041497"/>
    <w:multiLevelType w:val="multilevel"/>
    <w:tmpl w:val="36641CAE"/>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7866FE5"/>
    <w:multiLevelType w:val="multilevel"/>
    <w:tmpl w:val="F9DAC1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40972ECB"/>
    <w:multiLevelType w:val="multilevel"/>
    <w:tmpl w:val="9A7C0690"/>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54354B1E"/>
    <w:multiLevelType w:val="multilevel"/>
    <w:tmpl w:val="1E448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63E598E"/>
    <w:multiLevelType w:val="multilevel"/>
    <w:tmpl w:val="E87EEE4E"/>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61C32FD3"/>
    <w:multiLevelType w:val="multilevel"/>
    <w:tmpl w:val="C60E8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A4D53FD"/>
    <w:multiLevelType w:val="multilevel"/>
    <w:tmpl w:val="927C17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2"/>
  </w:num>
  <w:num w:numId="3">
    <w:abstractNumId w:val="3"/>
  </w:num>
  <w:num w:numId="4">
    <w:abstractNumId w:val="0"/>
  </w:num>
  <w:num w:numId="5">
    <w:abstractNumId w:val="6"/>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E2506"/>
    <w:rsid w:val="002B125B"/>
    <w:rsid w:val="006E2506"/>
    <w:rsid w:val="00D812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tabs>
        <w:tab w:val="num" w:pos="720"/>
      </w:tabs>
      <w:adjustRightInd/>
      <w:spacing w:before="300" w:after="300" w:line="240" w:lineRule="auto"/>
      <w:ind w:left="720" w:hanging="720"/>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tabs>
        <w:tab w:val="num" w:pos="1440"/>
      </w:tabs>
      <w:adjustRightInd/>
      <w:spacing w:before="300" w:after="300" w:line="240" w:lineRule="auto"/>
      <w:ind w:hanging="72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tabs>
        <w:tab w:val="num" w:pos="2160"/>
      </w:tabs>
      <w:adjustRightInd/>
      <w:spacing w:before="200" w:after="200" w:line="240" w:lineRule="auto"/>
      <w:ind w:hanging="72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link w:val="Ttulo5Car"/>
    <w:rsid w:val="00B63072"/>
    <w:pPr>
      <w:keepNext/>
      <w:keepLines/>
      <w:widowControl/>
      <w:tabs>
        <w:tab w:val="num" w:pos="3600"/>
      </w:tabs>
      <w:adjustRightInd/>
      <w:spacing w:before="160" w:line="240" w:lineRule="auto"/>
      <w:ind w:left="3600" w:hanging="720"/>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tabs>
        <w:tab w:val="num" w:pos="4320"/>
      </w:tabs>
      <w:adjustRightInd/>
      <w:spacing w:before="160" w:line="240" w:lineRule="auto"/>
      <w:ind w:left="4320" w:hanging="720"/>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tabs>
        <w:tab w:val="num" w:pos="5040"/>
      </w:tabs>
      <w:adjustRightInd/>
      <w:spacing w:before="200" w:line="240" w:lineRule="auto"/>
      <w:ind w:left="5040" w:hanging="720"/>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tabs>
        <w:tab w:val="num" w:pos="5760"/>
      </w:tabs>
      <w:adjustRightInd/>
      <w:spacing w:before="200" w:line="240" w:lineRule="auto"/>
      <w:ind w:left="5760" w:hanging="720"/>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tabs>
        <w:tab w:val="num" w:pos="6480"/>
      </w:tabs>
      <w:adjustRightInd/>
      <w:spacing w:before="200" w:line="240" w:lineRule="auto"/>
      <w:ind w:left="6480" w:hanging="720"/>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zCs w:val="22"/>
      <w:shd w:val="clear" w:color="auto" w:fill="C00000"/>
    </w:rPr>
  </w:style>
  <w:style w:type="character" w:customStyle="1" w:styleId="Ttulo2Car">
    <w:name w:val="Título 2 Car"/>
    <w:basedOn w:val="Fuentedeprrafopredeter"/>
    <w:link w:val="Ttulo2"/>
    <w:rsid w:val="00042DC8"/>
    <w:rPr>
      <w:rFonts w:ascii="Calibri" w:eastAsia="Calibri" w:hAnsi="Calibri" w:cs="Calibri"/>
      <w:b/>
      <w:color w:val="CC0000"/>
      <w:sz w:val="28"/>
      <w:szCs w:val="22"/>
    </w:rPr>
  </w:style>
  <w:style w:type="character" w:customStyle="1" w:styleId="Ttulo3Car">
    <w:name w:val="Título 3 Car"/>
    <w:basedOn w:val="Fuentedeprrafopredeter"/>
    <w:link w:val="Ttulo3"/>
    <w:rsid w:val="00B63072"/>
    <w:rPr>
      <w:rFonts w:ascii="Calibri" w:eastAsia="Calibri" w:hAnsi="Calibri" w:cs="Calibri"/>
      <w:b/>
      <w:i/>
      <w:color w:val="CC0000"/>
      <w:sz w:val="24"/>
      <w:szCs w:val="22"/>
    </w:rPr>
  </w:style>
  <w:style w:type="character" w:customStyle="1" w:styleId="Ttulo5Car">
    <w:name w:val="Título 5 Car"/>
    <w:basedOn w:val="Fuentedeprrafopredeter"/>
    <w:link w:val="Ttulo5"/>
    <w:rsid w:val="00B63072"/>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B63072"/>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tabs>
        <w:tab w:val="num" w:pos="720"/>
      </w:tabs>
      <w:adjustRightInd/>
      <w:spacing w:before="300" w:after="300" w:line="240" w:lineRule="auto"/>
      <w:ind w:left="720" w:hanging="720"/>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tabs>
        <w:tab w:val="num" w:pos="1440"/>
      </w:tabs>
      <w:adjustRightInd/>
      <w:spacing w:before="300" w:after="300" w:line="240" w:lineRule="auto"/>
      <w:ind w:hanging="72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tabs>
        <w:tab w:val="num" w:pos="2160"/>
      </w:tabs>
      <w:adjustRightInd/>
      <w:spacing w:before="200" w:after="200" w:line="240" w:lineRule="auto"/>
      <w:ind w:hanging="72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link w:val="Ttulo5Car"/>
    <w:rsid w:val="00B63072"/>
    <w:pPr>
      <w:keepNext/>
      <w:keepLines/>
      <w:widowControl/>
      <w:tabs>
        <w:tab w:val="num" w:pos="3600"/>
      </w:tabs>
      <w:adjustRightInd/>
      <w:spacing w:before="160" w:line="240" w:lineRule="auto"/>
      <w:ind w:left="3600" w:hanging="720"/>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tabs>
        <w:tab w:val="num" w:pos="4320"/>
      </w:tabs>
      <w:adjustRightInd/>
      <w:spacing w:before="160" w:line="240" w:lineRule="auto"/>
      <w:ind w:left="4320" w:hanging="720"/>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tabs>
        <w:tab w:val="num" w:pos="5040"/>
      </w:tabs>
      <w:adjustRightInd/>
      <w:spacing w:before="200" w:line="240" w:lineRule="auto"/>
      <w:ind w:left="5040" w:hanging="720"/>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tabs>
        <w:tab w:val="num" w:pos="5760"/>
      </w:tabs>
      <w:adjustRightInd/>
      <w:spacing w:before="200" w:line="240" w:lineRule="auto"/>
      <w:ind w:left="5760" w:hanging="720"/>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tabs>
        <w:tab w:val="num" w:pos="6480"/>
      </w:tabs>
      <w:adjustRightInd/>
      <w:spacing w:before="200" w:line="240" w:lineRule="auto"/>
      <w:ind w:left="6480" w:hanging="720"/>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zCs w:val="22"/>
      <w:shd w:val="clear" w:color="auto" w:fill="C00000"/>
    </w:rPr>
  </w:style>
  <w:style w:type="character" w:customStyle="1" w:styleId="Ttulo2Car">
    <w:name w:val="Título 2 Car"/>
    <w:basedOn w:val="Fuentedeprrafopredeter"/>
    <w:link w:val="Ttulo2"/>
    <w:rsid w:val="00042DC8"/>
    <w:rPr>
      <w:rFonts w:ascii="Calibri" w:eastAsia="Calibri" w:hAnsi="Calibri" w:cs="Calibri"/>
      <w:b/>
      <w:color w:val="CC0000"/>
      <w:sz w:val="28"/>
      <w:szCs w:val="22"/>
    </w:rPr>
  </w:style>
  <w:style w:type="character" w:customStyle="1" w:styleId="Ttulo3Car">
    <w:name w:val="Título 3 Car"/>
    <w:basedOn w:val="Fuentedeprrafopredeter"/>
    <w:link w:val="Ttulo3"/>
    <w:rsid w:val="00B63072"/>
    <w:rPr>
      <w:rFonts w:ascii="Calibri" w:eastAsia="Calibri" w:hAnsi="Calibri" w:cs="Calibri"/>
      <w:b/>
      <w:i/>
      <w:color w:val="CC0000"/>
      <w:sz w:val="24"/>
      <w:szCs w:val="22"/>
    </w:rPr>
  </w:style>
  <w:style w:type="character" w:customStyle="1" w:styleId="Ttulo5Car">
    <w:name w:val="Título 5 Car"/>
    <w:basedOn w:val="Fuentedeprrafopredeter"/>
    <w:link w:val="Ttulo5"/>
    <w:rsid w:val="00B63072"/>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B63072"/>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e.es/doue/2014/187/L00001-00078.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CQOyhddTx0U+ELViD+S5zKWQHA==">AMUW2mX8ghSX4py0oOtmjZbPYwdK+XqENU/8LIaVXxUUQtdUtJ6nqZw9LQhTXPTau6uSZZHsw+xL3fhrKYD4zJumYWk8o8535fP1XYWi9b8oBhANoF+/ADIQ1WYcDR5WGjdFpgfUTwpv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2409</Words>
  <Characters>13250</Characters>
  <Application>Microsoft Office Word</Application>
  <DocSecurity>0</DocSecurity>
  <Lines>110</Lines>
  <Paragraphs>31</Paragraphs>
  <ScaleCrop>false</ScaleCrop>
  <Company/>
  <LinksUpToDate>false</LinksUpToDate>
  <CharactersWithSpaces>15628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Emilio Curquejo</cp:lastModifiedBy>
  <cp:revision>3</cp:revision>
  <dcterms:created xsi:type="dcterms:W3CDTF">2021-04-14T08:49:00Z</dcterms:created>
  <dcterms:modified xsi:type="dcterms:W3CDTF">2021-06-04T11:07:00Z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