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3C5A" w:rsidRPr="00C152A1" w:rsidRDefault="00A53C5A" w:rsidP="00BC3CDC">
      <w:pPr>
        <w:shd w:val="clear" w:color="auto" w:fill="F5F5F5"/>
        <w:spacing w:after="0" w:line="240" w:lineRule="auto"/>
        <w:jc w:val="both"/>
        <w:textAlignment w:val="top"/>
        <w:rPr>
          <w:rFonts w:ascii="Cambria" w:hAnsi="Cambria" w:cs="Arial"/>
          <w:b/>
          <w:color w:val="777777"/>
          <w:sz w:val="24"/>
          <w:szCs w:val="24"/>
        </w:rPr>
      </w:pPr>
      <w:r w:rsidRPr="00C152A1">
        <w:rPr>
          <w:rFonts w:ascii="Cambria" w:hAnsi="Cambria" w:cs="Arial"/>
          <w:b/>
          <w:color w:val="222222"/>
          <w:sz w:val="24"/>
          <w:szCs w:val="24"/>
        </w:rPr>
        <w:t>De conformidad con lo previsto en los artículos 17.3.bi 20.8.a de la Ley 38/2003, de 17 de noviembre, General de Subvenciones, se publica el extracto de la convocatoria el texto completo de la cual se puede consultar en la Base de Datos Nacional de Subvenciones</w:t>
      </w:r>
    </w:p>
    <w:p w:rsidR="00C95B75" w:rsidRPr="00C152A1" w:rsidRDefault="00A53C5A" w:rsidP="00BC3CDC">
      <w:pPr>
        <w:spacing w:after="0" w:line="240" w:lineRule="auto"/>
        <w:jc w:val="both"/>
        <w:rPr>
          <w:rFonts w:ascii="Cambria" w:hAnsi="Cambria" w:cs="Arial"/>
          <w:b/>
          <w:sz w:val="24"/>
          <w:szCs w:val="24"/>
        </w:rPr>
      </w:pPr>
      <w:r w:rsidRPr="00C152A1">
        <w:rPr>
          <w:rFonts w:ascii="Cambria" w:hAnsi="Cambria" w:cs="Arial"/>
          <w:b/>
          <w:sz w:val="24"/>
          <w:szCs w:val="24"/>
        </w:rPr>
        <w:t xml:space="preserve"> </w:t>
      </w:r>
      <w:r w:rsidR="00C95B75" w:rsidRPr="00C152A1">
        <w:rPr>
          <w:rFonts w:ascii="Cambria" w:hAnsi="Cambria" w:cs="Arial"/>
          <w:b/>
          <w:sz w:val="24"/>
          <w:szCs w:val="24"/>
        </w:rPr>
        <w:t>(</w:t>
      </w:r>
      <w:hyperlink r:id="rId5" w:history="1">
        <w:r w:rsidR="00C95B75" w:rsidRPr="00C152A1">
          <w:rPr>
            <w:rStyle w:val="Hipervnculo"/>
            <w:rFonts w:ascii="Cambria" w:hAnsi="Cambria" w:cs="Arial"/>
            <w:b/>
            <w:sz w:val="24"/>
            <w:szCs w:val="24"/>
          </w:rPr>
          <w:t>http://www.pap.minhap.gob.es/bdnstrans/index</w:t>
        </w:r>
      </w:hyperlink>
      <w:r w:rsidR="00C95B75" w:rsidRPr="00C152A1">
        <w:rPr>
          <w:rFonts w:ascii="Cambria" w:hAnsi="Cambria" w:cs="Arial"/>
          <w:b/>
          <w:sz w:val="24"/>
          <w:szCs w:val="24"/>
        </w:rPr>
        <w:t>):</w:t>
      </w:r>
    </w:p>
    <w:p w:rsidR="00C95B75" w:rsidRPr="00C152A1" w:rsidRDefault="00C95B75" w:rsidP="00BC3CDC">
      <w:pPr>
        <w:spacing w:after="0" w:line="240" w:lineRule="auto"/>
        <w:jc w:val="both"/>
        <w:rPr>
          <w:rFonts w:ascii="Cambria" w:hAnsi="Cambria" w:cs="Arial"/>
          <w:b/>
          <w:sz w:val="24"/>
          <w:szCs w:val="24"/>
        </w:rPr>
      </w:pPr>
    </w:p>
    <w:p w:rsidR="007331A1" w:rsidRPr="00C152A1" w:rsidRDefault="007331A1" w:rsidP="00BC3CDC">
      <w:pPr>
        <w:spacing w:after="0" w:line="240" w:lineRule="auto"/>
        <w:jc w:val="both"/>
        <w:rPr>
          <w:rFonts w:ascii="Cambria" w:hAnsi="Cambria" w:cs="Arial"/>
          <w:b/>
          <w:sz w:val="24"/>
          <w:szCs w:val="24"/>
        </w:rPr>
      </w:pPr>
    </w:p>
    <w:p w:rsidR="006375D6" w:rsidRPr="00C152A1" w:rsidRDefault="0003725F" w:rsidP="00BC3CDC">
      <w:pPr>
        <w:spacing w:after="0" w:line="240" w:lineRule="auto"/>
        <w:jc w:val="both"/>
        <w:rPr>
          <w:rFonts w:ascii="Cambria" w:hAnsi="Cambria" w:cs="Arial"/>
          <w:b/>
          <w:sz w:val="24"/>
          <w:szCs w:val="24"/>
        </w:rPr>
      </w:pPr>
      <w:proofErr w:type="gramStart"/>
      <w:r w:rsidRPr="00C152A1">
        <w:rPr>
          <w:rFonts w:ascii="Cambria" w:hAnsi="Cambria" w:cs="Arial"/>
          <w:b/>
          <w:sz w:val="24"/>
          <w:szCs w:val="24"/>
        </w:rPr>
        <w:t>Primer</w:t>
      </w:r>
      <w:r w:rsidR="0048311F" w:rsidRPr="00C152A1">
        <w:rPr>
          <w:rFonts w:ascii="Cambria" w:hAnsi="Cambria" w:cs="Arial"/>
          <w:b/>
          <w:sz w:val="24"/>
          <w:szCs w:val="24"/>
        </w:rPr>
        <w:t>o</w:t>
      </w:r>
      <w:r w:rsidRPr="00C152A1">
        <w:rPr>
          <w:rFonts w:ascii="Cambria" w:hAnsi="Cambria" w:cs="Arial"/>
          <w:b/>
          <w:sz w:val="24"/>
          <w:szCs w:val="24"/>
        </w:rPr>
        <w:t>.-</w:t>
      </w:r>
      <w:proofErr w:type="gramEnd"/>
      <w:r w:rsidRPr="00C152A1">
        <w:rPr>
          <w:rFonts w:ascii="Cambria" w:hAnsi="Cambria" w:cs="Arial"/>
          <w:b/>
          <w:sz w:val="24"/>
          <w:szCs w:val="24"/>
        </w:rPr>
        <w:t xml:space="preserve"> </w:t>
      </w:r>
      <w:r w:rsidR="006375D6" w:rsidRPr="00C152A1">
        <w:rPr>
          <w:rFonts w:ascii="Cambria" w:hAnsi="Cambria" w:cs="Arial"/>
          <w:b/>
          <w:sz w:val="24"/>
          <w:szCs w:val="24"/>
        </w:rPr>
        <w:t>Beneficiari</w:t>
      </w:r>
      <w:r w:rsidR="00A53C5A" w:rsidRPr="00C152A1">
        <w:rPr>
          <w:rFonts w:ascii="Cambria" w:hAnsi="Cambria" w:cs="Arial"/>
          <w:b/>
          <w:sz w:val="24"/>
          <w:szCs w:val="24"/>
        </w:rPr>
        <w:t>o</w:t>
      </w:r>
      <w:r w:rsidR="006375D6" w:rsidRPr="00C152A1">
        <w:rPr>
          <w:rFonts w:ascii="Cambria" w:hAnsi="Cambria" w:cs="Arial"/>
          <w:b/>
          <w:sz w:val="24"/>
          <w:szCs w:val="24"/>
        </w:rPr>
        <w:t>s</w:t>
      </w:r>
    </w:p>
    <w:p w:rsidR="0058008F" w:rsidRPr="00C152A1" w:rsidRDefault="0058008F" w:rsidP="00BC3CDC">
      <w:pPr>
        <w:spacing w:after="0" w:line="240" w:lineRule="auto"/>
        <w:jc w:val="both"/>
        <w:rPr>
          <w:rFonts w:ascii="Cambria" w:hAnsi="Cambria" w:cs="Arial"/>
          <w:b/>
          <w:sz w:val="24"/>
          <w:szCs w:val="24"/>
        </w:rPr>
      </w:pP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Podrá solicitar la ayuda de comedor escolar el alumnado que reúna los requisitos siguientes:</w:t>
      </w:r>
    </w:p>
    <w:p w:rsidR="0027170E"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 xml:space="preserve">a.- estar matriculado en un centro de Priorat, sostenido con fondos públicos de Cataluña, en cualquiera de los cursos de las enseñanzas de segundo ciclo de educación infantil o de </w:t>
      </w: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enseñanzas obligatorias, durante el curso correspondiente a la convocatoria.</w:t>
      </w:r>
    </w:p>
    <w:p w:rsidR="0027170E" w:rsidRPr="00C152A1" w:rsidRDefault="0027170E"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b.- no tener el servicio gratuito, de acuerdo con lo establecido en el artículo 21 del Decreto 160/1996, de 14 de mayo, por el cual se regula el servicio escolar de comedor en los centros docentes públicos de titularidad de Departamento de Enseñanza. (DOGC 2208 - 20.5.1996).</w:t>
      </w:r>
    </w:p>
    <w:p w:rsidR="0027170E" w:rsidRPr="00C152A1" w:rsidRDefault="0027170E"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c.- No estar en acogimiento residencial.</w:t>
      </w:r>
    </w:p>
    <w:p w:rsidR="0027170E" w:rsidRPr="00C152A1" w:rsidRDefault="0027170E"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 xml:space="preserve">d.- por la naturaleza de la ayuda y la especificidad del colectivo, no </w:t>
      </w:r>
      <w:r w:rsidR="0027170E" w:rsidRPr="00C152A1">
        <w:rPr>
          <w:rFonts w:ascii="Cambria" w:eastAsia="Times New Roman" w:hAnsi="Cambria" w:cs="Arial"/>
          <w:color w:val="222222"/>
          <w:sz w:val="24"/>
          <w:szCs w:val="24"/>
          <w:lang w:eastAsia="ca-ES"/>
        </w:rPr>
        <w:t>es necesario</w:t>
      </w:r>
      <w:r w:rsidRPr="00C152A1">
        <w:rPr>
          <w:rFonts w:ascii="Cambria" w:eastAsia="Times New Roman" w:hAnsi="Cambria" w:cs="Arial"/>
          <w:color w:val="222222"/>
          <w:sz w:val="24"/>
          <w:szCs w:val="24"/>
          <w:lang w:eastAsia="ca-ES"/>
        </w:rPr>
        <w:t xml:space="preserve"> acreditar el </w:t>
      </w:r>
      <w:r w:rsidR="0027170E" w:rsidRPr="00C152A1">
        <w:rPr>
          <w:rFonts w:ascii="Cambria" w:eastAsia="Times New Roman" w:hAnsi="Cambria" w:cs="Arial"/>
          <w:color w:val="222222"/>
          <w:sz w:val="24"/>
          <w:szCs w:val="24"/>
          <w:lang w:eastAsia="ca-ES"/>
        </w:rPr>
        <w:t>c</w:t>
      </w:r>
      <w:r w:rsidRPr="00C152A1">
        <w:rPr>
          <w:rFonts w:ascii="Cambria" w:eastAsia="Times New Roman" w:hAnsi="Cambria" w:cs="Arial"/>
          <w:color w:val="222222"/>
          <w:sz w:val="24"/>
          <w:szCs w:val="24"/>
          <w:lang w:eastAsia="ca-ES"/>
        </w:rPr>
        <w:t xml:space="preserve">umplimiento de los </w:t>
      </w:r>
      <w:r w:rsidR="0027170E" w:rsidRPr="00C152A1">
        <w:rPr>
          <w:rFonts w:ascii="Cambria" w:eastAsia="Times New Roman" w:hAnsi="Cambria" w:cs="Arial"/>
          <w:color w:val="222222"/>
          <w:sz w:val="24"/>
          <w:szCs w:val="24"/>
          <w:lang w:eastAsia="ca-ES"/>
        </w:rPr>
        <w:t>r</w:t>
      </w:r>
      <w:r w:rsidRPr="00C152A1">
        <w:rPr>
          <w:rFonts w:ascii="Cambria" w:eastAsia="Times New Roman" w:hAnsi="Cambria" w:cs="Arial"/>
          <w:color w:val="222222"/>
          <w:sz w:val="24"/>
          <w:szCs w:val="24"/>
          <w:lang w:eastAsia="ca-ES"/>
        </w:rPr>
        <w:t>equisitos establecidos en el artículo 13.2 de la Ley 38/2003, de 17 de noviembre, general de subvenciones.</w:t>
      </w:r>
    </w:p>
    <w:p w:rsidR="0027170E" w:rsidRPr="00C152A1" w:rsidRDefault="0027170E"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d.- No superar el siguiente nivel de renta, teniendo en cuenta cuanto el n</w:t>
      </w:r>
      <w:r w:rsidR="0027170E" w:rsidRPr="00C152A1">
        <w:rPr>
          <w:rFonts w:ascii="Cambria" w:eastAsia="Times New Roman" w:hAnsi="Cambria" w:cs="Arial"/>
          <w:color w:val="222222"/>
          <w:sz w:val="24"/>
          <w:szCs w:val="24"/>
          <w:lang w:eastAsia="ca-ES"/>
        </w:rPr>
        <w:t>úmero total de mi</w:t>
      </w:r>
      <w:r w:rsidRPr="00C152A1">
        <w:rPr>
          <w:rFonts w:ascii="Cambria" w:eastAsia="Times New Roman" w:hAnsi="Cambria" w:cs="Arial"/>
          <w:color w:val="222222"/>
          <w:sz w:val="24"/>
          <w:szCs w:val="24"/>
          <w:lang w:eastAsia="ca-ES"/>
        </w:rPr>
        <w:t>embros computables de la unidad familiar.</w:t>
      </w: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 xml:space="preserve">El umbral </w:t>
      </w:r>
      <w:r w:rsidR="0027170E" w:rsidRPr="00C152A1">
        <w:rPr>
          <w:rFonts w:ascii="Cambria" w:eastAsia="Times New Roman" w:hAnsi="Cambria" w:cs="Arial"/>
          <w:color w:val="222222"/>
          <w:sz w:val="24"/>
          <w:szCs w:val="24"/>
          <w:lang w:eastAsia="ca-ES"/>
        </w:rPr>
        <w:t>s</w:t>
      </w:r>
      <w:r w:rsidRPr="00C152A1">
        <w:rPr>
          <w:rFonts w:ascii="Cambria" w:eastAsia="Times New Roman" w:hAnsi="Cambria" w:cs="Arial"/>
          <w:color w:val="222222"/>
          <w:sz w:val="24"/>
          <w:szCs w:val="24"/>
          <w:lang w:eastAsia="ca-ES"/>
        </w:rPr>
        <w:t xml:space="preserve">e calculará en </w:t>
      </w:r>
      <w:r w:rsidR="0027170E" w:rsidRPr="00C152A1">
        <w:rPr>
          <w:rFonts w:ascii="Cambria" w:eastAsia="Times New Roman" w:hAnsi="Cambria" w:cs="Arial"/>
          <w:color w:val="222222"/>
          <w:sz w:val="24"/>
          <w:szCs w:val="24"/>
          <w:lang w:eastAsia="ca-ES"/>
        </w:rPr>
        <w:t>f</w:t>
      </w:r>
      <w:r w:rsidRPr="00C152A1">
        <w:rPr>
          <w:rFonts w:ascii="Cambria" w:eastAsia="Times New Roman" w:hAnsi="Cambria" w:cs="Arial"/>
          <w:color w:val="222222"/>
          <w:sz w:val="24"/>
          <w:szCs w:val="24"/>
          <w:lang w:eastAsia="ca-ES"/>
        </w:rPr>
        <w:t xml:space="preserve">unción de los </w:t>
      </w:r>
      <w:r w:rsidR="0027170E" w:rsidRPr="00C152A1">
        <w:rPr>
          <w:rFonts w:ascii="Cambria" w:eastAsia="Times New Roman" w:hAnsi="Cambria" w:cs="Arial"/>
          <w:color w:val="222222"/>
          <w:sz w:val="24"/>
          <w:szCs w:val="24"/>
          <w:lang w:eastAsia="ca-ES"/>
        </w:rPr>
        <w:t>m</w:t>
      </w:r>
      <w:r w:rsidRPr="00C152A1">
        <w:rPr>
          <w:rFonts w:ascii="Cambria" w:eastAsia="Times New Roman" w:hAnsi="Cambria" w:cs="Arial"/>
          <w:color w:val="222222"/>
          <w:sz w:val="24"/>
          <w:szCs w:val="24"/>
          <w:lang w:eastAsia="ca-ES"/>
        </w:rPr>
        <w:t xml:space="preserve">iembros computables de la unidad familiar y por la </w:t>
      </w:r>
      <w:r w:rsidR="0027170E" w:rsidRPr="00C152A1">
        <w:rPr>
          <w:rFonts w:ascii="Cambria" w:eastAsia="Times New Roman" w:hAnsi="Cambria" w:cs="Arial"/>
          <w:color w:val="222222"/>
          <w:sz w:val="24"/>
          <w:szCs w:val="24"/>
          <w:lang w:eastAsia="ca-ES"/>
        </w:rPr>
        <w:t>a</w:t>
      </w:r>
      <w:r w:rsidRPr="00C152A1">
        <w:rPr>
          <w:rFonts w:ascii="Cambria" w:eastAsia="Times New Roman" w:hAnsi="Cambria" w:cs="Arial"/>
          <w:color w:val="222222"/>
          <w:sz w:val="24"/>
          <w:szCs w:val="24"/>
          <w:lang w:eastAsia="ca-ES"/>
        </w:rPr>
        <w:t xml:space="preserve">gregación de las </w:t>
      </w:r>
      <w:r w:rsidR="0027170E" w:rsidRPr="00C152A1">
        <w:rPr>
          <w:rFonts w:ascii="Cambria" w:eastAsia="Times New Roman" w:hAnsi="Cambria" w:cs="Arial"/>
          <w:color w:val="222222"/>
          <w:sz w:val="24"/>
          <w:szCs w:val="24"/>
          <w:lang w:eastAsia="ca-ES"/>
        </w:rPr>
        <w:t>u</w:t>
      </w:r>
      <w:r w:rsidRPr="00C152A1">
        <w:rPr>
          <w:rFonts w:ascii="Cambria" w:eastAsia="Times New Roman" w:hAnsi="Cambria" w:cs="Arial"/>
          <w:color w:val="222222"/>
          <w:sz w:val="24"/>
          <w:szCs w:val="24"/>
          <w:lang w:eastAsia="ca-ES"/>
        </w:rPr>
        <w:t xml:space="preserve">nidades de consumo que </w:t>
      </w:r>
      <w:r w:rsidR="0027170E" w:rsidRPr="00C152A1">
        <w:rPr>
          <w:rFonts w:ascii="Cambria" w:eastAsia="Times New Roman" w:hAnsi="Cambria" w:cs="Arial"/>
          <w:color w:val="222222"/>
          <w:sz w:val="24"/>
          <w:szCs w:val="24"/>
          <w:lang w:eastAsia="ca-ES"/>
        </w:rPr>
        <w:t>se</w:t>
      </w:r>
      <w:r w:rsidRPr="00C152A1">
        <w:rPr>
          <w:rFonts w:ascii="Cambria" w:eastAsia="Times New Roman" w:hAnsi="Cambria" w:cs="Arial"/>
          <w:color w:val="222222"/>
          <w:sz w:val="24"/>
          <w:szCs w:val="24"/>
          <w:lang w:eastAsia="ca-ES"/>
        </w:rPr>
        <w:t xml:space="preserve"> detall</w:t>
      </w:r>
      <w:r w:rsidR="0027170E" w:rsidRPr="00C152A1">
        <w:rPr>
          <w:rFonts w:ascii="Cambria" w:eastAsia="Times New Roman" w:hAnsi="Cambria" w:cs="Arial"/>
          <w:color w:val="222222"/>
          <w:sz w:val="24"/>
          <w:szCs w:val="24"/>
          <w:lang w:eastAsia="ca-ES"/>
        </w:rPr>
        <w:t>a</w:t>
      </w:r>
      <w:r w:rsidRPr="00C152A1">
        <w:rPr>
          <w:rFonts w:ascii="Cambria" w:eastAsia="Times New Roman" w:hAnsi="Cambria" w:cs="Arial"/>
          <w:color w:val="222222"/>
          <w:sz w:val="24"/>
          <w:szCs w:val="24"/>
          <w:lang w:eastAsia="ca-ES"/>
        </w:rPr>
        <w:t xml:space="preserve">n </w:t>
      </w:r>
      <w:r w:rsidR="0027170E" w:rsidRPr="00C152A1">
        <w:rPr>
          <w:rFonts w:ascii="Cambria" w:eastAsia="Times New Roman" w:hAnsi="Cambria" w:cs="Arial"/>
          <w:color w:val="222222"/>
          <w:sz w:val="24"/>
          <w:szCs w:val="24"/>
          <w:lang w:eastAsia="ca-ES"/>
        </w:rPr>
        <w:t>a</w:t>
      </w:r>
      <w:r w:rsidRPr="00C152A1">
        <w:rPr>
          <w:rFonts w:ascii="Cambria" w:eastAsia="Times New Roman" w:hAnsi="Cambria" w:cs="Arial"/>
          <w:color w:val="222222"/>
          <w:sz w:val="24"/>
          <w:szCs w:val="24"/>
          <w:lang w:eastAsia="ca-ES"/>
        </w:rPr>
        <w:t xml:space="preserve"> continuación:</w:t>
      </w: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 primer adulto (sustentadores principales): 10.981</w:t>
      </w:r>
      <w:r w:rsidR="0027170E" w:rsidRPr="00C152A1">
        <w:rPr>
          <w:rFonts w:ascii="Cambria" w:eastAsia="Times New Roman" w:hAnsi="Cambria" w:cs="Arial"/>
          <w:color w:val="222222"/>
          <w:sz w:val="24"/>
          <w:szCs w:val="24"/>
          <w:lang w:eastAsia="ca-ES"/>
        </w:rPr>
        <w:t>,</w:t>
      </w:r>
      <w:r w:rsidRPr="00C152A1">
        <w:rPr>
          <w:rFonts w:ascii="Cambria" w:eastAsia="Times New Roman" w:hAnsi="Cambria" w:cs="Arial"/>
          <w:color w:val="222222"/>
          <w:sz w:val="24"/>
          <w:szCs w:val="24"/>
          <w:lang w:eastAsia="ca-ES"/>
        </w:rPr>
        <w:t>4</w:t>
      </w:r>
      <w:r w:rsidR="0027170E" w:rsidRPr="00C152A1">
        <w:rPr>
          <w:rFonts w:ascii="Cambria" w:eastAsia="Times New Roman" w:hAnsi="Cambria" w:cs="Arial"/>
          <w:color w:val="222222"/>
          <w:sz w:val="24"/>
          <w:szCs w:val="24"/>
          <w:lang w:eastAsia="ca-ES"/>
        </w:rPr>
        <w:t>0</w:t>
      </w:r>
      <w:r w:rsidRPr="00C152A1">
        <w:rPr>
          <w:rFonts w:ascii="Cambria" w:eastAsia="Times New Roman" w:hAnsi="Cambria" w:cs="Arial"/>
          <w:color w:val="222222"/>
          <w:sz w:val="24"/>
          <w:szCs w:val="24"/>
          <w:lang w:eastAsia="ca-ES"/>
        </w:rPr>
        <w:t>.- euros</w:t>
      </w: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 Segundo adulto (sustentadores principales): 5.490,80.- euros</w:t>
      </w: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eastAsia="ca-ES"/>
        </w:rPr>
      </w:pPr>
      <w:r w:rsidRPr="00C152A1">
        <w:rPr>
          <w:rFonts w:ascii="Cambria" w:eastAsia="Times New Roman" w:hAnsi="Cambria" w:cs="Arial"/>
          <w:color w:val="222222"/>
          <w:sz w:val="24"/>
          <w:szCs w:val="24"/>
          <w:lang w:eastAsia="ca-ES"/>
        </w:rPr>
        <w:t>- Otros adultos que integr</w:t>
      </w:r>
      <w:r w:rsidR="0027170E" w:rsidRPr="00C152A1">
        <w:rPr>
          <w:rFonts w:ascii="Cambria" w:eastAsia="Times New Roman" w:hAnsi="Cambria" w:cs="Arial"/>
          <w:color w:val="222222"/>
          <w:sz w:val="24"/>
          <w:szCs w:val="24"/>
          <w:lang w:eastAsia="ca-ES"/>
        </w:rPr>
        <w:t>a</w:t>
      </w:r>
      <w:r w:rsidRPr="00C152A1">
        <w:rPr>
          <w:rFonts w:ascii="Cambria" w:eastAsia="Times New Roman" w:hAnsi="Cambria" w:cs="Arial"/>
          <w:color w:val="222222"/>
          <w:sz w:val="24"/>
          <w:szCs w:val="24"/>
          <w:lang w:eastAsia="ca-ES"/>
        </w:rPr>
        <w:t xml:space="preserve">n la unidad familiar </w:t>
      </w:r>
      <w:r w:rsidR="0027170E" w:rsidRPr="00C152A1">
        <w:rPr>
          <w:rFonts w:ascii="Cambria" w:eastAsia="Times New Roman" w:hAnsi="Cambria" w:cs="Arial"/>
          <w:color w:val="222222"/>
          <w:sz w:val="24"/>
          <w:szCs w:val="24"/>
          <w:lang w:eastAsia="ca-ES"/>
        </w:rPr>
        <w:t>d</w:t>
      </w:r>
      <w:r w:rsidRPr="00C152A1">
        <w:rPr>
          <w:rFonts w:ascii="Cambria" w:eastAsia="Times New Roman" w:hAnsi="Cambria" w:cs="Arial"/>
          <w:color w:val="222222"/>
          <w:sz w:val="24"/>
          <w:szCs w:val="24"/>
          <w:lang w:eastAsia="ca-ES"/>
        </w:rPr>
        <w:t xml:space="preserve">iferentes </w:t>
      </w:r>
      <w:r w:rsidR="0027170E" w:rsidRPr="00C152A1">
        <w:rPr>
          <w:rFonts w:ascii="Cambria" w:eastAsia="Times New Roman" w:hAnsi="Cambria" w:cs="Arial"/>
          <w:color w:val="222222"/>
          <w:sz w:val="24"/>
          <w:szCs w:val="24"/>
          <w:lang w:eastAsia="ca-ES"/>
        </w:rPr>
        <w:t>a los</w:t>
      </w:r>
      <w:r w:rsidRPr="00C152A1">
        <w:rPr>
          <w:rFonts w:ascii="Cambria" w:eastAsia="Times New Roman" w:hAnsi="Cambria" w:cs="Arial"/>
          <w:color w:val="222222"/>
          <w:sz w:val="24"/>
          <w:szCs w:val="24"/>
          <w:lang w:eastAsia="ca-ES"/>
        </w:rPr>
        <w:t xml:space="preserve"> sustentadores principales: 2.745.35.- euros</w:t>
      </w:r>
    </w:p>
    <w:p w:rsidR="0058008F" w:rsidRPr="00C152A1" w:rsidRDefault="0058008F" w:rsidP="00BC3C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eastAsia="Times New Roman" w:hAnsi="Cambria" w:cs="Arial"/>
          <w:color w:val="222222"/>
          <w:sz w:val="24"/>
          <w:szCs w:val="24"/>
          <w:lang w:val="ca-ES" w:eastAsia="ca-ES"/>
        </w:rPr>
      </w:pPr>
      <w:r w:rsidRPr="00C152A1">
        <w:rPr>
          <w:rFonts w:ascii="Cambria" w:eastAsia="Times New Roman" w:hAnsi="Cambria" w:cs="Arial"/>
          <w:color w:val="222222"/>
          <w:sz w:val="24"/>
          <w:szCs w:val="24"/>
          <w:lang w:eastAsia="ca-ES"/>
        </w:rPr>
        <w:t>- para cada niño de la unidad familiar 3.294,45.- euros.</w:t>
      </w:r>
    </w:p>
    <w:p w:rsidR="0027170E"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sz w:val="24"/>
          <w:szCs w:val="24"/>
        </w:rPr>
        <w:br/>
      </w:r>
      <w:proofErr w:type="spellStart"/>
      <w:r w:rsidRPr="00C152A1">
        <w:rPr>
          <w:rFonts w:ascii="Cambria" w:hAnsi="Cambria" w:cs="Arial"/>
          <w:color w:val="222222"/>
          <w:sz w:val="24"/>
          <w:szCs w:val="24"/>
          <w:shd w:val="clear" w:color="auto" w:fill="F8F9FA"/>
        </w:rPr>
        <w:t>e</w:t>
      </w:r>
      <w:proofErr w:type="spellEnd"/>
      <w:r w:rsidRPr="00C152A1">
        <w:rPr>
          <w:rFonts w:ascii="Cambria" w:hAnsi="Cambria" w:cs="Arial"/>
          <w:color w:val="222222"/>
          <w:sz w:val="24"/>
          <w:szCs w:val="24"/>
          <w:shd w:val="clear" w:color="auto" w:fill="F8F9FA"/>
        </w:rPr>
        <w:t>.- No superar el umbral de volumen de negocio. Podrán optar a las ayudas, las unidades familiares con unos ingresos de los tipos que se indican a continuación obtenidos por los miembros computables de la unidad familiar que no superen la cantidad de a 155.000 €:</w:t>
      </w:r>
    </w:p>
    <w:p w:rsidR="0027170E"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 - ingresos procedentes de actividades económicas en estimación directa o en estimación objetiva.</w:t>
      </w:r>
    </w:p>
    <w:p w:rsidR="0027170E"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 - ingresos procedentes de una participación del conjunto de los miembros computables igual o superior al 50 por ciento en actividades económicas desarrolladas a través de entidades sin personalidad jurídica o en cualquier otra clase de entidad jurídica, una vez aplicados los ingresos totales de las actividades, el porcentaje de participación de las mismas. </w:t>
      </w:r>
    </w:p>
    <w:p w:rsidR="0027170E" w:rsidRPr="00C152A1" w:rsidRDefault="0027170E" w:rsidP="00BC3CDC">
      <w:pPr>
        <w:spacing w:after="0" w:line="240" w:lineRule="auto"/>
        <w:jc w:val="both"/>
        <w:rPr>
          <w:rFonts w:ascii="Cambria" w:hAnsi="Cambria" w:cs="Arial"/>
          <w:color w:val="222222"/>
          <w:sz w:val="24"/>
          <w:szCs w:val="24"/>
          <w:shd w:val="clear" w:color="auto" w:fill="F8F9FA"/>
        </w:rPr>
      </w:pPr>
    </w:p>
    <w:p w:rsidR="0027170E"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f.- No superar el umbral de rendimientos patrimoniales. 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w:t>
      </w:r>
      <w:r w:rsidRPr="00C152A1">
        <w:rPr>
          <w:rFonts w:ascii="Cambria" w:hAnsi="Cambria" w:cs="Arial"/>
          <w:color w:val="222222"/>
          <w:sz w:val="24"/>
          <w:szCs w:val="24"/>
          <w:shd w:val="clear" w:color="auto" w:fill="F8F9FA"/>
        </w:rPr>
        <w:lastRenderedPageBreak/>
        <w:t xml:space="preserve">subvenciones recibidas para el adquisición o rehabilitación de la vivienda habitual y, en su caso, la renta básica de emancipación, no supere 1.700 €. </w:t>
      </w:r>
    </w:p>
    <w:p w:rsidR="0027170E" w:rsidRPr="00C152A1" w:rsidRDefault="0027170E" w:rsidP="00BC3CDC">
      <w:pPr>
        <w:spacing w:after="0" w:line="240" w:lineRule="auto"/>
        <w:jc w:val="both"/>
        <w:rPr>
          <w:rFonts w:ascii="Cambria" w:hAnsi="Cambria" w:cs="Arial"/>
          <w:color w:val="222222"/>
          <w:sz w:val="24"/>
          <w:szCs w:val="24"/>
          <w:shd w:val="clear" w:color="auto" w:fill="F8F9FA"/>
        </w:rPr>
      </w:pP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NO se tendrán en cuenta a los efectos previstos en este apartado los primeros 1.500,00 € de los premios, en metálico o en especie, obtenidos por la participación en juegos, concursos, rifas o combinaciones aleatorias.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Asimismo, tampoco se tendrán en cuenta aquellas prestaciones económicas de urgencia sociales, otorgadas por administraciones públicas., Para atender situaciones de necesidad puntuales,</w:t>
      </w:r>
      <w:r w:rsidRPr="00C152A1">
        <w:rPr>
          <w:rFonts w:ascii="Cambria" w:hAnsi="Cambria" w:cs="Arial"/>
          <w:sz w:val="24"/>
          <w:szCs w:val="24"/>
        </w:rPr>
        <w:t xml:space="preserve"> </w:t>
      </w:r>
      <w:r w:rsidRPr="00C152A1">
        <w:rPr>
          <w:rFonts w:ascii="Cambria" w:hAnsi="Cambria" w:cs="Arial"/>
          <w:color w:val="222222"/>
          <w:sz w:val="24"/>
          <w:szCs w:val="24"/>
          <w:shd w:val="clear" w:color="auto" w:fill="F8F9FA"/>
        </w:rPr>
        <w:t>urgentes y básicas de subsidencia (alimentación, vestido, alojamiento ...), y que hayan sido debidamente acreditadas. Los elementos indicativos de patrimonio se computarán de conformidad con lo dispuesto en la normativa del impuesto de la renta de las personas físicas, según su valor a 31 de diciembre de 20</w:t>
      </w:r>
      <w:r w:rsidR="00C5170C">
        <w:rPr>
          <w:rFonts w:ascii="Cambria" w:hAnsi="Cambria" w:cs="Arial"/>
          <w:color w:val="222222"/>
          <w:sz w:val="24"/>
          <w:szCs w:val="24"/>
          <w:shd w:val="clear" w:color="auto" w:fill="F8F9FA"/>
        </w:rPr>
        <w:t>20.</w:t>
      </w:r>
      <w:bookmarkStart w:id="0" w:name="_GoBack"/>
      <w:bookmarkEnd w:id="0"/>
      <w:r w:rsidRPr="00C152A1">
        <w:rPr>
          <w:rFonts w:ascii="Cambria" w:hAnsi="Cambria" w:cs="Arial"/>
          <w:color w:val="222222"/>
          <w:sz w:val="24"/>
          <w:szCs w:val="24"/>
          <w:shd w:val="clear" w:color="auto" w:fill="F8F9FA"/>
        </w:rPr>
        <w:t xml:space="preserve"> </w:t>
      </w:r>
    </w:p>
    <w:p w:rsidR="00BC3CDC" w:rsidRPr="00C152A1" w:rsidRDefault="00BC3CDC" w:rsidP="00BC3CDC">
      <w:pPr>
        <w:spacing w:after="0" w:line="240" w:lineRule="auto"/>
        <w:jc w:val="both"/>
        <w:rPr>
          <w:rFonts w:ascii="Cambria" w:hAnsi="Cambria" w:cs="Arial"/>
          <w:color w:val="222222"/>
          <w:sz w:val="24"/>
          <w:szCs w:val="24"/>
          <w:shd w:val="clear" w:color="auto" w:fill="F8F9FA"/>
        </w:rPr>
      </w:pP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g.- La suma de los valores catastrales de las fincas urbanas de los miembros computables que componen la unidad familiar, excluida la vivienda habitual, no puede superar los 42.900,00.- €. En el caso de inmuebles en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valores: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0,43 los revisados ​​en 2003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0,37 los revisados ​​en 2004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0,30 los revisados ​​en 2005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0,26 los revisados ​​en 2006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0,25 los revisados ​​en 2007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0,25 los revisados ​​en 2008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0,26 los revisados ​​en 2009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0,28 los revisados ​​en 2010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0,30 los revisados ​​en 2011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0,32 los revisados ​​en 2012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0,34 los revisados ​​en 2013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0,36 los revisados ​​en 2014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0,36 los revisados ​​en 2015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0,36 los revisados ​​en 2016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0,36 los revisados ​​en 2017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 xml:space="preserve">por 0,36 los revisados ​​en 2018 </w:t>
      </w:r>
    </w:p>
    <w:p w:rsidR="00BC3CDC"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por 0,36 los revisados ​​en 2019</w:t>
      </w:r>
    </w:p>
    <w:p w:rsidR="00C152A1" w:rsidRPr="00C152A1" w:rsidRDefault="00C152A1"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por 0,36 los revisados en 2020</w:t>
      </w:r>
    </w:p>
    <w:p w:rsidR="00BC3CDC" w:rsidRPr="00C152A1" w:rsidRDefault="00BC3CDC" w:rsidP="00BC3CDC">
      <w:pPr>
        <w:spacing w:after="0" w:line="240" w:lineRule="auto"/>
        <w:jc w:val="both"/>
        <w:rPr>
          <w:rFonts w:ascii="Cambria" w:hAnsi="Cambria" w:cs="Arial"/>
          <w:color w:val="222222"/>
          <w:sz w:val="24"/>
          <w:szCs w:val="24"/>
          <w:shd w:val="clear" w:color="auto" w:fill="F8F9FA"/>
        </w:rPr>
      </w:pPr>
    </w:p>
    <w:p w:rsidR="0058008F" w:rsidRPr="00C152A1" w:rsidRDefault="0058008F" w:rsidP="00BC3CDC">
      <w:pPr>
        <w:spacing w:after="0" w:line="240" w:lineRule="auto"/>
        <w:jc w:val="both"/>
        <w:rPr>
          <w:rFonts w:ascii="Cambria" w:hAnsi="Cambria" w:cs="Arial"/>
          <w:color w:val="222222"/>
          <w:sz w:val="24"/>
          <w:szCs w:val="24"/>
          <w:shd w:val="clear" w:color="auto" w:fill="F8F9FA"/>
        </w:rPr>
      </w:pPr>
      <w:r w:rsidRPr="00C152A1">
        <w:rPr>
          <w:rFonts w:ascii="Cambria" w:hAnsi="Cambria" w:cs="Arial"/>
          <w:color w:val="222222"/>
          <w:sz w:val="24"/>
          <w:szCs w:val="24"/>
          <w:shd w:val="clear" w:color="auto" w:fill="F8F9FA"/>
        </w:rPr>
        <w:t>h.- la suma de los valores catastrales de las fincas rústicas excluida la vivienda habitual que pertenezcan a los miembros computables de la unidad familiar no puede superar la cantidad de 13.130,00.-e por cada miembro computable</w:t>
      </w:r>
    </w:p>
    <w:p w:rsidR="00BC3CDC" w:rsidRPr="00C152A1" w:rsidRDefault="00BC3CDC" w:rsidP="00BC3CDC">
      <w:pPr>
        <w:spacing w:after="0" w:line="240" w:lineRule="auto"/>
        <w:jc w:val="both"/>
        <w:rPr>
          <w:rFonts w:ascii="Cambria" w:hAnsi="Cambria" w:cs="Arial"/>
          <w:b/>
          <w:sz w:val="24"/>
          <w:szCs w:val="24"/>
        </w:rPr>
      </w:pPr>
    </w:p>
    <w:p w:rsidR="00BC3CDC" w:rsidRPr="00C152A1" w:rsidRDefault="00BC3CDC" w:rsidP="00BC3CDC">
      <w:pPr>
        <w:pStyle w:val="HTMLconformatoprevio"/>
        <w:shd w:val="clear" w:color="auto" w:fill="F8F9FA"/>
        <w:jc w:val="both"/>
        <w:rPr>
          <w:rFonts w:ascii="Cambria" w:hAnsi="Cambria" w:cs="Arial"/>
          <w:b/>
          <w:color w:val="222222"/>
          <w:sz w:val="24"/>
          <w:szCs w:val="24"/>
          <w:lang w:val="es-ES"/>
        </w:rPr>
      </w:pPr>
      <w:proofErr w:type="gramStart"/>
      <w:r w:rsidRPr="00C152A1">
        <w:rPr>
          <w:rFonts w:ascii="Cambria" w:hAnsi="Cambria" w:cs="Arial"/>
          <w:b/>
          <w:color w:val="222222"/>
          <w:sz w:val="24"/>
          <w:szCs w:val="24"/>
          <w:lang w:val="es-ES"/>
        </w:rPr>
        <w:t>Segundo.-</w:t>
      </w:r>
      <w:proofErr w:type="gramEnd"/>
      <w:r w:rsidRPr="00C152A1">
        <w:rPr>
          <w:rFonts w:ascii="Cambria" w:hAnsi="Cambria" w:cs="Arial"/>
          <w:b/>
          <w:color w:val="222222"/>
          <w:sz w:val="24"/>
          <w:szCs w:val="24"/>
          <w:lang w:val="es-ES"/>
        </w:rPr>
        <w:t xml:space="preserve"> Objeto de la convocatoria</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El Consell Comarcal del Priorat concederá ayudas económicas individuales de comedores correspondientes al curso escolar 202</w:t>
      </w:r>
      <w:r w:rsidR="00C152A1" w:rsidRPr="00C152A1">
        <w:rPr>
          <w:rFonts w:ascii="Cambria" w:hAnsi="Cambria" w:cs="Arial"/>
          <w:color w:val="222222"/>
          <w:sz w:val="24"/>
          <w:szCs w:val="24"/>
          <w:lang w:val="es-ES"/>
        </w:rPr>
        <w:t>1</w:t>
      </w:r>
      <w:r w:rsidRPr="00C152A1">
        <w:rPr>
          <w:rFonts w:ascii="Cambria" w:hAnsi="Cambria" w:cs="Arial"/>
          <w:color w:val="222222"/>
          <w:sz w:val="24"/>
          <w:szCs w:val="24"/>
          <w:lang w:val="es-ES"/>
        </w:rPr>
        <w:t>/2</w:t>
      </w:r>
      <w:r w:rsidR="00C152A1" w:rsidRPr="00C152A1">
        <w:rPr>
          <w:rFonts w:ascii="Cambria" w:hAnsi="Cambria" w:cs="Arial"/>
          <w:color w:val="222222"/>
          <w:sz w:val="24"/>
          <w:szCs w:val="24"/>
          <w:lang w:val="es-ES"/>
        </w:rPr>
        <w:t>2</w:t>
      </w:r>
      <w:r w:rsidRPr="00C152A1">
        <w:rPr>
          <w:rFonts w:ascii="Cambria" w:hAnsi="Cambria" w:cs="Arial"/>
          <w:color w:val="222222"/>
          <w:sz w:val="24"/>
          <w:szCs w:val="24"/>
          <w:lang w:val="es-ES"/>
        </w:rPr>
        <w:t xml:space="preserve">, por necesidades económicas, en las cantidades consignadas en el presupuesto de la corporación, y condicionado a la firma de la adenda con el Departamento </w:t>
      </w:r>
      <w:proofErr w:type="spellStart"/>
      <w:r w:rsidRPr="00C152A1">
        <w:rPr>
          <w:rFonts w:ascii="Cambria" w:hAnsi="Cambria" w:cs="Arial"/>
          <w:color w:val="222222"/>
          <w:sz w:val="24"/>
          <w:szCs w:val="24"/>
          <w:lang w:val="es-ES"/>
        </w:rPr>
        <w:t>d’Ensenyament</w:t>
      </w:r>
      <w:proofErr w:type="spellEnd"/>
      <w:r w:rsidRPr="00C152A1">
        <w:rPr>
          <w:rFonts w:ascii="Cambria" w:hAnsi="Cambria" w:cs="Arial"/>
          <w:color w:val="222222"/>
          <w:sz w:val="24"/>
          <w:szCs w:val="24"/>
          <w:lang w:val="es-ES"/>
        </w:rPr>
        <w:t xml:space="preserve"> de la Generalidad de Cataluña, para dicho curso escolar.</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b/>
          <w:color w:val="222222"/>
          <w:sz w:val="24"/>
          <w:szCs w:val="24"/>
        </w:rPr>
      </w:pPr>
      <w:proofErr w:type="gramStart"/>
      <w:r w:rsidRPr="00C152A1">
        <w:rPr>
          <w:rFonts w:ascii="Cambria" w:hAnsi="Cambria" w:cs="Arial"/>
          <w:b/>
          <w:color w:val="222222"/>
          <w:sz w:val="24"/>
          <w:szCs w:val="24"/>
          <w:lang w:val="es-ES"/>
        </w:rPr>
        <w:t>Tercero.-</w:t>
      </w:r>
      <w:proofErr w:type="gramEnd"/>
      <w:r w:rsidRPr="00C152A1">
        <w:rPr>
          <w:rFonts w:ascii="Cambria" w:hAnsi="Cambria" w:cs="Arial"/>
          <w:b/>
          <w:color w:val="222222"/>
          <w:sz w:val="24"/>
          <w:szCs w:val="24"/>
          <w:lang w:val="es-ES"/>
        </w:rPr>
        <w:t xml:space="preserve"> Bases reguladoras</w:t>
      </w:r>
    </w:p>
    <w:p w:rsidR="00BC3CDC" w:rsidRPr="00C152A1" w:rsidRDefault="00BC3CDC" w:rsidP="00BC3CDC">
      <w:pPr>
        <w:spacing w:after="0" w:line="240" w:lineRule="auto"/>
        <w:jc w:val="both"/>
        <w:rPr>
          <w:rFonts w:ascii="Cambria" w:hAnsi="Cambria" w:cs="Arial"/>
          <w:b/>
          <w:sz w:val="24"/>
          <w:szCs w:val="24"/>
        </w:rPr>
      </w:pP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Bases reguladoras publicadas en la web comarcal www.priorat.cat</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b/>
          <w:color w:val="222222"/>
          <w:sz w:val="24"/>
          <w:szCs w:val="24"/>
          <w:lang w:val="es-ES"/>
        </w:rPr>
      </w:pPr>
      <w:proofErr w:type="gramStart"/>
      <w:r w:rsidRPr="00C152A1">
        <w:rPr>
          <w:rFonts w:ascii="Cambria" w:hAnsi="Cambria" w:cs="Arial"/>
          <w:b/>
          <w:color w:val="222222"/>
          <w:sz w:val="24"/>
          <w:szCs w:val="24"/>
          <w:lang w:val="es-ES"/>
        </w:rPr>
        <w:t>Cuarto.-</w:t>
      </w:r>
      <w:proofErr w:type="gramEnd"/>
      <w:r w:rsidRPr="00C152A1">
        <w:rPr>
          <w:rFonts w:ascii="Cambria" w:hAnsi="Cambria" w:cs="Arial"/>
          <w:b/>
          <w:color w:val="222222"/>
          <w:sz w:val="24"/>
          <w:szCs w:val="24"/>
          <w:lang w:val="es-ES"/>
        </w:rPr>
        <w:t xml:space="preserve"> Importe</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roofErr w:type="gramStart"/>
      <w:r w:rsidRPr="00C152A1">
        <w:rPr>
          <w:rFonts w:ascii="Cambria" w:hAnsi="Cambria" w:cs="Arial"/>
          <w:color w:val="222222"/>
          <w:sz w:val="24"/>
          <w:szCs w:val="24"/>
          <w:lang w:val="es-ES"/>
        </w:rPr>
        <w:t>a .</w:t>
      </w:r>
      <w:proofErr w:type="gramEnd"/>
      <w:r w:rsidRPr="00C152A1">
        <w:rPr>
          <w:rFonts w:ascii="Cambria" w:hAnsi="Cambria" w:cs="Arial"/>
          <w:color w:val="222222"/>
          <w:sz w:val="24"/>
          <w:szCs w:val="24"/>
          <w:lang w:val="es-ES"/>
        </w:rPr>
        <w:t xml:space="preserve">-. Umbral de renta 1.- Ayudas del </w:t>
      </w:r>
      <w:r w:rsidR="00C152A1" w:rsidRPr="00C152A1">
        <w:rPr>
          <w:rFonts w:ascii="Cambria" w:hAnsi="Cambria" w:cs="Arial"/>
          <w:color w:val="222222"/>
          <w:sz w:val="24"/>
          <w:szCs w:val="24"/>
          <w:lang w:val="es-ES"/>
        </w:rPr>
        <w:t>7</w:t>
      </w:r>
      <w:r w:rsidRPr="00C152A1">
        <w:rPr>
          <w:rFonts w:ascii="Cambria" w:hAnsi="Cambria" w:cs="Arial"/>
          <w:color w:val="222222"/>
          <w:sz w:val="24"/>
          <w:szCs w:val="24"/>
          <w:lang w:val="es-ES"/>
        </w:rPr>
        <w:t>0%</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Renta familiar máxima que garantiza una ayuda de comedor</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 xml:space="preserve">Se concederá una ayuda del </w:t>
      </w:r>
      <w:r w:rsidR="00C152A1" w:rsidRPr="00C152A1">
        <w:rPr>
          <w:rFonts w:ascii="Cambria" w:hAnsi="Cambria" w:cs="Arial"/>
          <w:color w:val="222222"/>
          <w:sz w:val="24"/>
          <w:szCs w:val="24"/>
          <w:lang w:val="es-ES"/>
        </w:rPr>
        <w:t>7</w:t>
      </w:r>
      <w:r w:rsidRPr="00C152A1">
        <w:rPr>
          <w:rFonts w:ascii="Cambria" w:hAnsi="Cambria" w:cs="Arial"/>
          <w:color w:val="222222"/>
          <w:sz w:val="24"/>
          <w:szCs w:val="24"/>
          <w:lang w:val="es-ES"/>
        </w:rPr>
        <w:t xml:space="preserve">0% del precio máximo del servicio de comedor establecido por el Departament </w:t>
      </w:r>
      <w:proofErr w:type="spellStart"/>
      <w:r w:rsidRPr="00C152A1">
        <w:rPr>
          <w:rFonts w:ascii="Cambria" w:hAnsi="Cambria" w:cs="Arial"/>
          <w:color w:val="222222"/>
          <w:sz w:val="24"/>
          <w:szCs w:val="24"/>
          <w:lang w:val="es-ES"/>
        </w:rPr>
        <w:t>d’Ensenyament</w:t>
      </w:r>
      <w:proofErr w:type="spellEnd"/>
      <w:r w:rsidRPr="00C152A1">
        <w:rPr>
          <w:rFonts w:ascii="Cambria" w:hAnsi="Cambria" w:cs="Arial"/>
          <w:color w:val="222222"/>
          <w:sz w:val="24"/>
          <w:szCs w:val="24"/>
          <w:lang w:val="es-ES"/>
        </w:rPr>
        <w:t>, si la renta familiar anual, calculada de acuerdo con lo establecido en las bases, no supera el siguiente umbral, estimando la renta familiar en función los miembros computables y por la agregación de las unidades de consumo que se detallan a continuación:</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 primer adulto (sustentadores principales): 10.981,40.- euros</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 segundo adulto (sustentadores principales): 5.490,80.- euros</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 otros adultos que integran la unidad familiar diferentes a los sustentadores principales: 2.745.35.- euros</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 para cada niño de la unidad familiar 3.294,45.- euros.</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b.- Umbrales de renta 2.- Ayudas del 100%</w:t>
      </w:r>
    </w:p>
    <w:p w:rsidR="00BC3CDC" w:rsidRPr="00C152A1" w:rsidRDefault="00BC3CDC" w:rsidP="00BC3CDC">
      <w:pPr>
        <w:pStyle w:val="HTMLconformatoprevio"/>
        <w:shd w:val="clear" w:color="auto" w:fill="F8F9FA"/>
        <w:jc w:val="both"/>
        <w:rPr>
          <w:rFonts w:ascii="Cambria" w:hAnsi="Cambria" w:cs="Arial"/>
          <w:color w:val="222222"/>
          <w:sz w:val="24"/>
          <w:szCs w:val="24"/>
        </w:rPr>
      </w:pPr>
      <w:r w:rsidRPr="00C152A1">
        <w:rPr>
          <w:rFonts w:ascii="Cambria" w:hAnsi="Cambria" w:cs="Arial"/>
          <w:color w:val="222222"/>
          <w:sz w:val="24"/>
          <w:szCs w:val="24"/>
          <w:lang w:val="es-ES"/>
        </w:rPr>
        <w:t xml:space="preserve">Se concederá una ayuda del 100% (del precio máximo del servicio de comedor establecido por el Departament </w:t>
      </w:r>
      <w:proofErr w:type="spellStart"/>
      <w:r w:rsidRPr="00C152A1">
        <w:rPr>
          <w:rFonts w:ascii="Cambria" w:hAnsi="Cambria" w:cs="Arial"/>
          <w:color w:val="222222"/>
          <w:sz w:val="24"/>
          <w:szCs w:val="24"/>
          <w:lang w:val="es-ES"/>
        </w:rPr>
        <w:t>d’Ensenyament</w:t>
      </w:r>
      <w:proofErr w:type="spellEnd"/>
      <w:r w:rsidRPr="00C152A1">
        <w:rPr>
          <w:rFonts w:ascii="Cambria" w:hAnsi="Cambria" w:cs="Arial"/>
          <w:color w:val="222222"/>
          <w:sz w:val="24"/>
          <w:szCs w:val="24"/>
          <w:lang w:val="es-ES"/>
        </w:rPr>
        <w:t>) del coste del servicio de comedor, si la renta familiar anual no supera el umbral de renta, calculada de acuerdo con: 60% de lo establecido por la obtención de una ayuda del tramo garantizado del 50%, y acreditar una puntuación igual o superior a 15 puntos entre los ámbitos 4.2 y 4.3.</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 xml:space="preserve">En caso de que se acredite un nivel de renta 2,5 veces a lo establecido por la obtención de una ayuda del tramo garantizado </w:t>
      </w:r>
      <w:r w:rsidR="00C152A1" w:rsidRPr="00C152A1">
        <w:rPr>
          <w:rFonts w:ascii="Cambria" w:hAnsi="Cambria" w:cs="Arial"/>
          <w:color w:val="222222"/>
          <w:sz w:val="24"/>
          <w:szCs w:val="24"/>
          <w:lang w:val="es-ES"/>
        </w:rPr>
        <w:t>7</w:t>
      </w:r>
      <w:r w:rsidRPr="00C152A1">
        <w:rPr>
          <w:rFonts w:ascii="Cambria" w:hAnsi="Cambria" w:cs="Arial"/>
          <w:color w:val="222222"/>
          <w:sz w:val="24"/>
          <w:szCs w:val="24"/>
          <w:lang w:val="es-ES"/>
        </w:rPr>
        <w:t>0%, y acreditar una discapacidad superior o igual al 60% (acreditada con certificación del órgano competente), se garantizará una ayuda del 100%.</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b/>
          <w:color w:val="222222"/>
          <w:sz w:val="24"/>
          <w:szCs w:val="24"/>
          <w:lang w:val="es-ES"/>
        </w:rPr>
      </w:pPr>
      <w:proofErr w:type="gramStart"/>
      <w:r w:rsidRPr="00C152A1">
        <w:rPr>
          <w:rFonts w:ascii="Cambria" w:hAnsi="Cambria" w:cs="Arial"/>
          <w:b/>
          <w:color w:val="222222"/>
          <w:sz w:val="24"/>
          <w:szCs w:val="24"/>
          <w:lang w:val="es-ES"/>
        </w:rPr>
        <w:t>Quinto.-</w:t>
      </w:r>
      <w:proofErr w:type="gramEnd"/>
      <w:r w:rsidRPr="00C152A1">
        <w:rPr>
          <w:rFonts w:ascii="Cambria" w:hAnsi="Cambria" w:cs="Arial"/>
          <w:b/>
          <w:color w:val="222222"/>
          <w:sz w:val="24"/>
          <w:szCs w:val="24"/>
          <w:lang w:val="es-ES"/>
        </w:rPr>
        <w:t xml:space="preserve"> Plazo de presentación de solicitudes</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 xml:space="preserve">El plazo para que el centro traslade las solicitudes que le hayan presentado al Consell Comarcal del Priorat, finaliza el </w:t>
      </w:r>
      <w:r w:rsidR="00C152A1" w:rsidRPr="00C152A1">
        <w:rPr>
          <w:rFonts w:ascii="Cambria" w:hAnsi="Cambria" w:cs="Arial"/>
          <w:color w:val="222222"/>
          <w:sz w:val="24"/>
          <w:szCs w:val="24"/>
          <w:lang w:val="es-ES"/>
        </w:rPr>
        <w:t>30</w:t>
      </w:r>
      <w:r w:rsidRPr="00C152A1">
        <w:rPr>
          <w:rFonts w:ascii="Cambria" w:hAnsi="Cambria" w:cs="Arial"/>
          <w:color w:val="222222"/>
          <w:sz w:val="24"/>
          <w:szCs w:val="24"/>
          <w:lang w:val="es-ES"/>
        </w:rPr>
        <w:t xml:space="preserve"> de ju</w:t>
      </w:r>
      <w:r w:rsidR="00C152A1" w:rsidRPr="00C152A1">
        <w:rPr>
          <w:rFonts w:ascii="Cambria" w:hAnsi="Cambria" w:cs="Arial"/>
          <w:color w:val="222222"/>
          <w:sz w:val="24"/>
          <w:szCs w:val="24"/>
          <w:lang w:val="es-ES"/>
        </w:rPr>
        <w:t>nio</w:t>
      </w:r>
      <w:r w:rsidRPr="00C152A1">
        <w:rPr>
          <w:rFonts w:ascii="Cambria" w:hAnsi="Cambria" w:cs="Arial"/>
          <w:color w:val="222222"/>
          <w:sz w:val="24"/>
          <w:szCs w:val="24"/>
          <w:lang w:val="es-ES"/>
        </w:rPr>
        <w:t xml:space="preserve"> de 202</w:t>
      </w:r>
      <w:r w:rsidR="00C152A1" w:rsidRPr="00C152A1">
        <w:rPr>
          <w:rFonts w:ascii="Cambria" w:hAnsi="Cambria" w:cs="Arial"/>
          <w:color w:val="222222"/>
          <w:sz w:val="24"/>
          <w:szCs w:val="24"/>
          <w:lang w:val="es-ES"/>
        </w:rPr>
        <w:t>1</w:t>
      </w:r>
      <w:r w:rsidRPr="00C152A1">
        <w:rPr>
          <w:rFonts w:ascii="Cambria" w:hAnsi="Cambria" w:cs="Arial"/>
          <w:color w:val="222222"/>
          <w:sz w:val="24"/>
          <w:szCs w:val="24"/>
          <w:lang w:val="es-ES"/>
        </w:rPr>
        <w:t>.</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No se aceptará ninguna solicitud después de este plazo, excepto cuando:</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a) El alumno se matricula posteriormente a la fecha final del plazo de presentación de solicitudes.</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r w:rsidRPr="00C152A1">
        <w:rPr>
          <w:rFonts w:ascii="Cambria" w:hAnsi="Cambria" w:cs="Arial"/>
          <w:color w:val="222222"/>
          <w:sz w:val="24"/>
          <w:szCs w:val="24"/>
          <w:lang w:val="es-ES"/>
        </w:rPr>
        <w:t>b) Se acredite un elevado agravio económico y social sobrevenido, en situación de riesgo, acreditado mediante un informe del EBSS, y que no se haya detectado en el plazo ordinario de presentación de solicitudes.</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b/>
          <w:color w:val="222222"/>
          <w:sz w:val="24"/>
          <w:szCs w:val="24"/>
          <w:lang w:val="es-ES"/>
        </w:rPr>
      </w:pPr>
      <w:proofErr w:type="gramStart"/>
      <w:r w:rsidRPr="00C152A1">
        <w:rPr>
          <w:rFonts w:ascii="Cambria" w:hAnsi="Cambria" w:cs="Arial"/>
          <w:b/>
          <w:color w:val="222222"/>
          <w:sz w:val="24"/>
          <w:szCs w:val="24"/>
          <w:lang w:val="es-ES"/>
        </w:rPr>
        <w:t>Sexto.-</w:t>
      </w:r>
      <w:proofErr w:type="gramEnd"/>
      <w:r w:rsidRPr="00C152A1">
        <w:rPr>
          <w:rFonts w:ascii="Cambria" w:hAnsi="Cambria" w:cs="Arial"/>
          <w:b/>
          <w:color w:val="222222"/>
          <w:sz w:val="24"/>
          <w:szCs w:val="24"/>
          <w:lang w:val="es-ES"/>
        </w:rPr>
        <w:t xml:space="preserve"> Tramitación de solicitudes</w:t>
      </w:r>
    </w:p>
    <w:p w:rsidR="00BC3CDC" w:rsidRPr="00C152A1" w:rsidRDefault="00BC3CDC" w:rsidP="00BC3CDC">
      <w:pPr>
        <w:pStyle w:val="HTMLconformatoprevio"/>
        <w:shd w:val="clear" w:color="auto" w:fill="F8F9FA"/>
        <w:jc w:val="both"/>
        <w:rPr>
          <w:rFonts w:ascii="Cambria" w:hAnsi="Cambria" w:cs="Arial"/>
          <w:color w:val="222222"/>
          <w:sz w:val="24"/>
          <w:szCs w:val="24"/>
          <w:lang w:val="es-ES"/>
        </w:rPr>
      </w:pPr>
    </w:p>
    <w:p w:rsidR="00BC3CDC" w:rsidRPr="00C152A1" w:rsidRDefault="00BC3CDC" w:rsidP="00BC3CDC">
      <w:pPr>
        <w:pStyle w:val="HTMLconformatoprevio"/>
        <w:shd w:val="clear" w:color="auto" w:fill="F8F9FA"/>
        <w:jc w:val="both"/>
        <w:rPr>
          <w:rFonts w:ascii="Cambria" w:hAnsi="Cambria" w:cs="Arial"/>
          <w:color w:val="222222"/>
          <w:sz w:val="24"/>
          <w:szCs w:val="24"/>
        </w:rPr>
      </w:pPr>
      <w:r w:rsidRPr="00C152A1">
        <w:rPr>
          <w:rFonts w:ascii="Cambria" w:hAnsi="Cambria" w:cs="Arial"/>
          <w:color w:val="222222"/>
          <w:sz w:val="24"/>
          <w:szCs w:val="24"/>
          <w:lang w:val="es-ES"/>
        </w:rPr>
        <w:t xml:space="preserve">Las solicitudes individuales las presentarán las familias a la dirección del centro escolar donde cursen los estudios indicados, en el registro del Consell Comarcal del Priorat en horario de oficina, una vez reabierto al público, mediante la Sede electrónica en la página www.priorat.cat, en un impreso normalizado, facilitado por el propio centro o por el Consell Comarcal, (web), o por cualquiera de los medios establecidos en la Ley 39/2015, de 1 de octubre, del Procedimiento Administrativo Común de las Administraciones </w:t>
      </w:r>
      <w:r w:rsidRPr="00C152A1">
        <w:rPr>
          <w:rFonts w:ascii="Cambria" w:hAnsi="Cambria" w:cs="Arial"/>
          <w:color w:val="222222"/>
          <w:sz w:val="24"/>
          <w:szCs w:val="24"/>
          <w:lang w:val="es-ES"/>
        </w:rPr>
        <w:lastRenderedPageBreak/>
        <w:t>Públicas.</w:t>
      </w:r>
      <w:r w:rsidR="00C152A1" w:rsidRPr="00C152A1">
        <w:rPr>
          <w:rFonts w:ascii="Cambria" w:hAnsi="Cambria" w:cs="Arial"/>
          <w:color w:val="222222"/>
          <w:sz w:val="24"/>
          <w:szCs w:val="24"/>
          <w:lang w:val="es-ES"/>
        </w:rPr>
        <w:t xml:space="preserve"> Si solicita la ayuda más de un miembro de la familia, se hará un único impreso por cada centro.</w:t>
      </w:r>
    </w:p>
    <w:p w:rsidR="0058008F" w:rsidRPr="00C152A1" w:rsidRDefault="0058008F" w:rsidP="00BC3CDC">
      <w:pPr>
        <w:spacing w:after="0" w:line="240" w:lineRule="auto"/>
        <w:jc w:val="both"/>
        <w:rPr>
          <w:rFonts w:ascii="Cambria" w:hAnsi="Cambria" w:cs="Arial"/>
          <w:b/>
          <w:sz w:val="24"/>
          <w:szCs w:val="24"/>
        </w:rPr>
      </w:pPr>
    </w:p>
    <w:sectPr w:rsidR="0058008F" w:rsidRPr="00C152A1" w:rsidSect="004A1CA3">
      <w:pgSz w:w="11906" w:h="16838"/>
      <w:pgMar w:top="1134" w:right="1134" w:bottom="113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6B1C"/>
    <w:multiLevelType w:val="multilevel"/>
    <w:tmpl w:val="9C061E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6376317"/>
    <w:multiLevelType w:val="hybridMultilevel"/>
    <w:tmpl w:val="4BF432FA"/>
    <w:lvl w:ilvl="0" w:tplc="E67E07D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67944CA"/>
    <w:multiLevelType w:val="multilevel"/>
    <w:tmpl w:val="709EE8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E3F7B1F"/>
    <w:multiLevelType w:val="hybridMultilevel"/>
    <w:tmpl w:val="3766A468"/>
    <w:lvl w:ilvl="0" w:tplc="3046567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AED0944"/>
    <w:multiLevelType w:val="multilevel"/>
    <w:tmpl w:val="54C69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0D779F"/>
    <w:multiLevelType w:val="multilevel"/>
    <w:tmpl w:val="C52EE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2C73DB"/>
    <w:multiLevelType w:val="multilevel"/>
    <w:tmpl w:val="BF54AE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761A10"/>
    <w:multiLevelType w:val="hybridMultilevel"/>
    <w:tmpl w:val="20AA955E"/>
    <w:lvl w:ilvl="0" w:tplc="3046567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25F"/>
    <w:rsid w:val="00024C6B"/>
    <w:rsid w:val="0003725F"/>
    <w:rsid w:val="000859AF"/>
    <w:rsid w:val="000E464F"/>
    <w:rsid w:val="001A0281"/>
    <w:rsid w:val="002130AF"/>
    <w:rsid w:val="0027170E"/>
    <w:rsid w:val="00272C1B"/>
    <w:rsid w:val="002F04E3"/>
    <w:rsid w:val="00334383"/>
    <w:rsid w:val="00341299"/>
    <w:rsid w:val="00343908"/>
    <w:rsid w:val="003740B1"/>
    <w:rsid w:val="003E37B6"/>
    <w:rsid w:val="004030ED"/>
    <w:rsid w:val="00447D22"/>
    <w:rsid w:val="0048311F"/>
    <w:rsid w:val="004A1CA3"/>
    <w:rsid w:val="00530C4F"/>
    <w:rsid w:val="0058008F"/>
    <w:rsid w:val="00585172"/>
    <w:rsid w:val="005C1762"/>
    <w:rsid w:val="00613B97"/>
    <w:rsid w:val="006323A7"/>
    <w:rsid w:val="006375D6"/>
    <w:rsid w:val="006E4DDB"/>
    <w:rsid w:val="007331A1"/>
    <w:rsid w:val="007D3B07"/>
    <w:rsid w:val="009400EC"/>
    <w:rsid w:val="00955561"/>
    <w:rsid w:val="00976CF6"/>
    <w:rsid w:val="00983B90"/>
    <w:rsid w:val="0099626E"/>
    <w:rsid w:val="009A5A3D"/>
    <w:rsid w:val="009E00E6"/>
    <w:rsid w:val="009F76CF"/>
    <w:rsid w:val="00A31EB9"/>
    <w:rsid w:val="00A53C5A"/>
    <w:rsid w:val="00BA46EB"/>
    <w:rsid w:val="00BC3CDC"/>
    <w:rsid w:val="00C152A1"/>
    <w:rsid w:val="00C26349"/>
    <w:rsid w:val="00C5170C"/>
    <w:rsid w:val="00C52B68"/>
    <w:rsid w:val="00C734D8"/>
    <w:rsid w:val="00C740A8"/>
    <w:rsid w:val="00C95B75"/>
    <w:rsid w:val="00D81533"/>
    <w:rsid w:val="00EE1767"/>
    <w:rsid w:val="00F418E2"/>
    <w:rsid w:val="00F441A3"/>
    <w:rsid w:val="00FB6C2B"/>
    <w:rsid w:val="00FC78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0521E"/>
  <w15:chartTrackingRefBased/>
  <w15:docId w15:val="{F2B80C7E-0766-4C04-9378-27ECF8F1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0">
    <w:name w:val="Normal_0_0"/>
    <w:qFormat/>
    <w:rsid w:val="00EE1767"/>
    <w:pPr>
      <w:spacing w:after="200" w:line="276" w:lineRule="auto"/>
    </w:pPr>
    <w:rPr>
      <w:rFonts w:eastAsiaTheme="minorEastAsia"/>
      <w:lang w:val="ca-ES" w:eastAsia="es-ES"/>
    </w:rPr>
  </w:style>
  <w:style w:type="character" w:styleId="Hipervnculo">
    <w:name w:val="Hyperlink"/>
    <w:basedOn w:val="Fuentedeprrafopredeter"/>
    <w:uiPriority w:val="99"/>
    <w:unhideWhenUsed/>
    <w:rsid w:val="002130AF"/>
    <w:rPr>
      <w:color w:val="0563C1" w:themeColor="hyperlink"/>
      <w:u w:val="single"/>
    </w:rPr>
  </w:style>
  <w:style w:type="paragraph" w:styleId="Prrafodelista">
    <w:name w:val="List Paragraph"/>
    <w:basedOn w:val="Normal"/>
    <w:uiPriority w:val="34"/>
    <w:qFormat/>
    <w:rsid w:val="00C52B68"/>
    <w:pPr>
      <w:spacing w:after="0" w:line="240" w:lineRule="auto"/>
      <w:ind w:left="720"/>
      <w:contextualSpacing/>
    </w:pPr>
    <w:rPr>
      <w:rFonts w:ascii="Times New Roman" w:eastAsia="Times New Roman" w:hAnsi="Times New Roman" w:cs="Times New Roman"/>
      <w:sz w:val="24"/>
      <w:szCs w:val="24"/>
      <w:lang w:val="ca-ES" w:eastAsia="es-ES"/>
    </w:rPr>
  </w:style>
  <w:style w:type="paragraph" w:styleId="NormalWeb">
    <w:name w:val="Normal (Web)"/>
    <w:basedOn w:val="Normal"/>
    <w:rsid w:val="007D3B07"/>
    <w:pPr>
      <w:spacing w:before="100" w:beforeAutospacing="1" w:after="119" w:line="240" w:lineRule="auto"/>
    </w:pPr>
    <w:rPr>
      <w:rFonts w:ascii="Times New Roman" w:eastAsia="Times New Roman" w:hAnsi="Times New Roman" w:cs="Times New Roman"/>
      <w:sz w:val="24"/>
      <w:szCs w:val="24"/>
      <w:lang w:val="ca-ES" w:eastAsia="es-ES"/>
    </w:rPr>
  </w:style>
  <w:style w:type="paragraph" w:styleId="HTMLconformatoprevio">
    <w:name w:val="HTML Preformatted"/>
    <w:basedOn w:val="Normal"/>
    <w:link w:val="HTMLconformatoprevioCar"/>
    <w:uiPriority w:val="99"/>
    <w:semiHidden/>
    <w:unhideWhenUsed/>
    <w:rsid w:val="00580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ca-ES" w:eastAsia="ca-ES"/>
    </w:rPr>
  </w:style>
  <w:style w:type="character" w:customStyle="1" w:styleId="HTMLconformatoprevioCar">
    <w:name w:val="HTML con formato previo Car"/>
    <w:basedOn w:val="Fuentedeprrafopredeter"/>
    <w:link w:val="HTMLconformatoprevio"/>
    <w:uiPriority w:val="99"/>
    <w:semiHidden/>
    <w:rsid w:val="0058008F"/>
    <w:rPr>
      <w:rFonts w:ascii="Courier New" w:eastAsia="Times New Roman" w:hAnsi="Courier New" w:cs="Courier New"/>
      <w:sz w:val="20"/>
      <w:szCs w:val="20"/>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753797">
      <w:bodyDiv w:val="1"/>
      <w:marLeft w:val="0"/>
      <w:marRight w:val="0"/>
      <w:marTop w:val="0"/>
      <w:marBottom w:val="0"/>
      <w:divBdr>
        <w:top w:val="none" w:sz="0" w:space="0" w:color="auto"/>
        <w:left w:val="none" w:sz="0" w:space="0" w:color="auto"/>
        <w:bottom w:val="none" w:sz="0" w:space="0" w:color="auto"/>
        <w:right w:val="none" w:sz="0" w:space="0" w:color="auto"/>
      </w:divBdr>
    </w:div>
    <w:div w:id="805197177">
      <w:bodyDiv w:val="1"/>
      <w:marLeft w:val="0"/>
      <w:marRight w:val="0"/>
      <w:marTop w:val="0"/>
      <w:marBottom w:val="0"/>
      <w:divBdr>
        <w:top w:val="none" w:sz="0" w:space="0" w:color="auto"/>
        <w:left w:val="none" w:sz="0" w:space="0" w:color="auto"/>
        <w:bottom w:val="none" w:sz="0" w:space="0" w:color="auto"/>
        <w:right w:val="none" w:sz="0" w:space="0" w:color="auto"/>
      </w:divBdr>
    </w:div>
    <w:div w:id="1064136158">
      <w:bodyDiv w:val="1"/>
      <w:marLeft w:val="0"/>
      <w:marRight w:val="0"/>
      <w:marTop w:val="0"/>
      <w:marBottom w:val="0"/>
      <w:divBdr>
        <w:top w:val="none" w:sz="0" w:space="0" w:color="auto"/>
        <w:left w:val="none" w:sz="0" w:space="0" w:color="auto"/>
        <w:bottom w:val="none" w:sz="0" w:space="0" w:color="auto"/>
        <w:right w:val="none" w:sz="0" w:space="0" w:color="auto"/>
      </w:divBdr>
    </w:div>
    <w:div w:id="1564219095">
      <w:bodyDiv w:val="1"/>
      <w:marLeft w:val="0"/>
      <w:marRight w:val="0"/>
      <w:marTop w:val="0"/>
      <w:marBottom w:val="0"/>
      <w:divBdr>
        <w:top w:val="none" w:sz="0" w:space="0" w:color="auto"/>
        <w:left w:val="none" w:sz="0" w:space="0" w:color="auto"/>
        <w:bottom w:val="none" w:sz="0" w:space="0" w:color="auto"/>
        <w:right w:val="none" w:sz="0" w:space="0" w:color="auto"/>
      </w:divBdr>
      <w:divsChild>
        <w:div w:id="1896358069">
          <w:marLeft w:val="0"/>
          <w:marRight w:val="0"/>
          <w:marTop w:val="0"/>
          <w:marBottom w:val="0"/>
          <w:divBdr>
            <w:top w:val="none" w:sz="0" w:space="0" w:color="auto"/>
            <w:left w:val="none" w:sz="0" w:space="0" w:color="auto"/>
            <w:bottom w:val="none" w:sz="0" w:space="0" w:color="auto"/>
            <w:right w:val="none" w:sz="0" w:space="0" w:color="auto"/>
          </w:divBdr>
          <w:divsChild>
            <w:div w:id="1314871715">
              <w:marLeft w:val="0"/>
              <w:marRight w:val="0"/>
              <w:marTop w:val="0"/>
              <w:marBottom w:val="0"/>
              <w:divBdr>
                <w:top w:val="none" w:sz="0" w:space="0" w:color="auto"/>
                <w:left w:val="none" w:sz="0" w:space="0" w:color="auto"/>
                <w:bottom w:val="none" w:sz="0" w:space="0" w:color="auto"/>
                <w:right w:val="none" w:sz="0" w:space="0" w:color="auto"/>
              </w:divBdr>
              <w:divsChild>
                <w:div w:id="899051426">
                  <w:marLeft w:val="0"/>
                  <w:marRight w:val="0"/>
                  <w:marTop w:val="0"/>
                  <w:marBottom w:val="0"/>
                  <w:divBdr>
                    <w:top w:val="none" w:sz="0" w:space="0" w:color="auto"/>
                    <w:left w:val="none" w:sz="0" w:space="0" w:color="auto"/>
                    <w:bottom w:val="none" w:sz="0" w:space="0" w:color="auto"/>
                    <w:right w:val="none" w:sz="0" w:space="0" w:color="auto"/>
                  </w:divBdr>
                  <w:divsChild>
                    <w:div w:id="704717791">
                      <w:marLeft w:val="0"/>
                      <w:marRight w:val="0"/>
                      <w:marTop w:val="0"/>
                      <w:marBottom w:val="0"/>
                      <w:divBdr>
                        <w:top w:val="none" w:sz="0" w:space="0" w:color="auto"/>
                        <w:left w:val="none" w:sz="0" w:space="0" w:color="auto"/>
                        <w:bottom w:val="none" w:sz="0" w:space="0" w:color="auto"/>
                        <w:right w:val="none" w:sz="0" w:space="0" w:color="auto"/>
                      </w:divBdr>
                      <w:divsChild>
                        <w:div w:id="1129015308">
                          <w:marLeft w:val="0"/>
                          <w:marRight w:val="0"/>
                          <w:marTop w:val="0"/>
                          <w:marBottom w:val="0"/>
                          <w:divBdr>
                            <w:top w:val="none" w:sz="0" w:space="0" w:color="auto"/>
                            <w:left w:val="none" w:sz="0" w:space="0" w:color="auto"/>
                            <w:bottom w:val="none" w:sz="0" w:space="0" w:color="auto"/>
                            <w:right w:val="none" w:sz="0" w:space="0" w:color="auto"/>
                          </w:divBdr>
                          <w:divsChild>
                            <w:div w:id="1074232183">
                              <w:marLeft w:val="0"/>
                              <w:marRight w:val="0"/>
                              <w:marTop w:val="0"/>
                              <w:marBottom w:val="0"/>
                              <w:divBdr>
                                <w:top w:val="none" w:sz="0" w:space="0" w:color="auto"/>
                                <w:left w:val="none" w:sz="0" w:space="0" w:color="auto"/>
                                <w:bottom w:val="none" w:sz="0" w:space="0" w:color="auto"/>
                                <w:right w:val="none" w:sz="0" w:space="0" w:color="auto"/>
                              </w:divBdr>
                              <w:divsChild>
                                <w:div w:id="903680296">
                                  <w:marLeft w:val="0"/>
                                  <w:marRight w:val="0"/>
                                  <w:marTop w:val="0"/>
                                  <w:marBottom w:val="0"/>
                                  <w:divBdr>
                                    <w:top w:val="none" w:sz="0" w:space="0" w:color="auto"/>
                                    <w:left w:val="none" w:sz="0" w:space="0" w:color="auto"/>
                                    <w:bottom w:val="none" w:sz="0" w:space="0" w:color="auto"/>
                                    <w:right w:val="none" w:sz="0" w:space="0" w:color="auto"/>
                                  </w:divBdr>
                                  <w:divsChild>
                                    <w:div w:id="798111099">
                                      <w:marLeft w:val="60"/>
                                      <w:marRight w:val="0"/>
                                      <w:marTop w:val="0"/>
                                      <w:marBottom w:val="0"/>
                                      <w:divBdr>
                                        <w:top w:val="none" w:sz="0" w:space="0" w:color="auto"/>
                                        <w:left w:val="none" w:sz="0" w:space="0" w:color="auto"/>
                                        <w:bottom w:val="none" w:sz="0" w:space="0" w:color="auto"/>
                                        <w:right w:val="none" w:sz="0" w:space="0" w:color="auto"/>
                                      </w:divBdr>
                                      <w:divsChild>
                                        <w:div w:id="1115096943">
                                          <w:marLeft w:val="0"/>
                                          <w:marRight w:val="0"/>
                                          <w:marTop w:val="0"/>
                                          <w:marBottom w:val="0"/>
                                          <w:divBdr>
                                            <w:top w:val="none" w:sz="0" w:space="0" w:color="auto"/>
                                            <w:left w:val="none" w:sz="0" w:space="0" w:color="auto"/>
                                            <w:bottom w:val="none" w:sz="0" w:space="0" w:color="auto"/>
                                            <w:right w:val="none" w:sz="0" w:space="0" w:color="auto"/>
                                          </w:divBdr>
                                          <w:divsChild>
                                            <w:div w:id="1060179000">
                                              <w:marLeft w:val="0"/>
                                              <w:marRight w:val="0"/>
                                              <w:marTop w:val="0"/>
                                              <w:marBottom w:val="120"/>
                                              <w:divBdr>
                                                <w:top w:val="single" w:sz="6" w:space="0" w:color="F5F5F5"/>
                                                <w:left w:val="single" w:sz="6" w:space="0" w:color="F5F5F5"/>
                                                <w:bottom w:val="single" w:sz="6" w:space="0" w:color="F5F5F5"/>
                                                <w:right w:val="single" w:sz="6" w:space="0" w:color="F5F5F5"/>
                                              </w:divBdr>
                                              <w:divsChild>
                                                <w:div w:id="1802502159">
                                                  <w:marLeft w:val="0"/>
                                                  <w:marRight w:val="0"/>
                                                  <w:marTop w:val="0"/>
                                                  <w:marBottom w:val="0"/>
                                                  <w:divBdr>
                                                    <w:top w:val="none" w:sz="0" w:space="0" w:color="auto"/>
                                                    <w:left w:val="none" w:sz="0" w:space="0" w:color="auto"/>
                                                    <w:bottom w:val="none" w:sz="0" w:space="0" w:color="auto"/>
                                                    <w:right w:val="none" w:sz="0" w:space="0" w:color="auto"/>
                                                  </w:divBdr>
                                                  <w:divsChild>
                                                    <w:div w:id="111092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695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ap.minhap.gob.es/bdnstrans/inde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1297</Words>
  <Characters>7137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Hernàndez</dc:creator>
  <cp:keywords/>
  <dc:description/>
  <cp:lastModifiedBy>Pili Lopez</cp:lastModifiedBy>
  <cp:revision>3</cp:revision>
  <dcterms:created xsi:type="dcterms:W3CDTF">2021-05-12T11:20:00Z</dcterms:created>
  <dcterms:modified xsi:type="dcterms:W3CDTF">2021-05-12T11:30:00Z</dcterms:modified>
</cp:coreProperties>
</file>