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90" w:rsidRPr="005079F0" w:rsidRDefault="005079F0" w:rsidP="002A1C90">
      <w:pPr>
        <w:pStyle w:val="Textoindependiente"/>
        <w:jc w:val="center"/>
        <w:rPr>
          <w:rFonts w:ascii="Arial" w:hAnsi="Arial" w:cs="Arial"/>
          <w:b/>
          <w:sz w:val="18"/>
          <w:szCs w:val="17"/>
          <w:u w:val="single"/>
        </w:rPr>
      </w:pPr>
      <w:bookmarkStart w:id="0" w:name="_GoBack"/>
      <w:bookmarkEnd w:id="0"/>
      <w:r w:rsidRPr="005079F0">
        <w:rPr>
          <w:rFonts w:ascii="Arial" w:hAnsi="Arial" w:cs="Arial"/>
          <w:b/>
          <w:sz w:val="18"/>
          <w:szCs w:val="17"/>
          <w:u w:val="single"/>
        </w:rPr>
        <w:t>ANEXO VII</w:t>
      </w:r>
      <w:r>
        <w:rPr>
          <w:rFonts w:ascii="Arial" w:hAnsi="Arial" w:cs="Arial"/>
          <w:b/>
          <w:sz w:val="18"/>
          <w:szCs w:val="17"/>
          <w:u w:val="single"/>
        </w:rPr>
        <w:t>. GASTOS CORRIENTES SUVBENCIONABLES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Se considera que están incluidos en la finalidad de la actividad subvencionada única y exclusivamente los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siguientes gastos corrientes: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a) Alquiler de locales destinados exclusivamente al ejercicio de la actividad y de equipos necesarios para el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desarrollo de la misma. </w:t>
      </w:r>
      <w:r w:rsidRPr="005079F0">
        <w:rPr>
          <w:rFonts w:ascii="Arial" w:hAnsi="Arial" w:cs="Arial"/>
          <w:b/>
          <w:sz w:val="18"/>
          <w:szCs w:val="17"/>
        </w:rPr>
        <w:t>No es subvencionable la compra del equipamiento ni el local, ni tampoco el prorrateo</w:t>
      </w:r>
      <w:r w:rsidR="005A1F96">
        <w:rPr>
          <w:rFonts w:ascii="Arial" w:hAnsi="Arial" w:cs="Arial"/>
          <w:b/>
          <w:sz w:val="18"/>
          <w:szCs w:val="17"/>
        </w:rPr>
        <w:t xml:space="preserve"> </w:t>
      </w:r>
      <w:r w:rsidRPr="005079F0">
        <w:rPr>
          <w:rFonts w:ascii="Arial" w:hAnsi="Arial" w:cs="Arial"/>
          <w:b/>
          <w:sz w:val="18"/>
          <w:szCs w:val="17"/>
        </w:rPr>
        <w:t>de las viviendas particulares, aunque la actividad se ejerza en ellas.</w:t>
      </w:r>
      <w:r w:rsidRPr="005079F0">
        <w:rPr>
          <w:rFonts w:ascii="Arial" w:hAnsi="Arial" w:cs="Arial"/>
          <w:sz w:val="18"/>
          <w:szCs w:val="17"/>
        </w:rPr>
        <w:t xml:space="preserve">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b) Gastos derivados de contratos de suministro de energía, agua, teléfono o internet específicamente referidos al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establecimiento de desarrollo de la actividad.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c) Primas de seguros: gasto correspondiente al seguro de responsabilidad civil por un máximo de una anualidad.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d) Realización de formación, de carácter específico, para mejorar la cualificación profesional, del empresariado y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del personal contratado: los gastos derivados del coste del curso y de la inscripción al mismo.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e) Servicios de gestoría, asesoramiento o consultoría de cualquier materia, así como la realización de planes para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la mejora del negocio.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 xml:space="preserve">f) Realización de auditorías cualquier tipo destinadas a la mejora de negocio.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g) Análisis e investigación de mercados: gastos necesarios para la realización de encuestas, evaluación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satisfacción de clientela, estudios de mercado, geolocalización, implantación de sistemas para vigilancia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tecnológica.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h) Gastos tanto para el diseño como para la realización de cualquier elemento comunicativo de los servicios o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productos que se venden, independientemente del mercado al que vaya dirigido, interior o exterior: páginas web</w:t>
      </w:r>
      <w:r w:rsidR="005A1F96">
        <w:rPr>
          <w:rFonts w:ascii="Arial" w:hAnsi="Arial" w:cs="Arial"/>
          <w:sz w:val="18"/>
          <w:szCs w:val="17"/>
        </w:rPr>
        <w:t xml:space="preserve">, </w:t>
      </w:r>
      <w:r w:rsidRPr="005079F0">
        <w:rPr>
          <w:rFonts w:ascii="Arial" w:hAnsi="Arial" w:cs="Arial"/>
          <w:sz w:val="18"/>
          <w:szCs w:val="17"/>
        </w:rPr>
        <w:t>dosiers, catálogos, folletos, cartelería, tarjetas de presentación, sobres, etiquetas, carpetas y facturas.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i) Establecimiento o mejora de la identidad corporativa: gastos relativos de la realización de logotipos, tarjetas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presentación, sobres, etiquetas, carpetas, facturas, catálogos, folletos, cartelería, así como del diseño y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elaboración de embalajes y envases.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j) Establecimiento de soluciones y servicios tecnológicos que favorezcan la difusión y comercialización de los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productos y servicios a través de Internet incluidas aquellas soluciones que mejoren el posicionamiento de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empresa a través de servicios SEO (Search Engine Optimization-Optimización para los motores de búsqueda),SEM (Search Engine Marketing-Marketing en los motores de búsqueda) y SMM (Social Media Marketing-Marketing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a través de redes sociales). Gastos relativos a la adquisición de servicios tecnológicos de uso común para el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desarrollo de la actividad propia de la empresa.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k) Fomento de la generación de redes empresariales o entidades de gestión nuevas, así como para potenciar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pertenencia a las ya existentes. Tendrán la consideración de gasto subvencionable: gastos derivados del canon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entrada de las empresas a asociaciones profesionales y/o clusters, pero no son subvencionables los pagos de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cuotas temporales por pertenecer a ellas.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l) Implantación de sistemas de calidad: gastos relativos a la realización de documentación del sistema de calidad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de la empresa, así como los derivados de la implantación de los sistemas de calidad. </w:t>
      </w:r>
    </w:p>
    <w:p w:rsidR="00BD0403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m) Publicidad en radio, televisión, prensa, aplicaciones para teléfonos y smartphones, internet, blogs i redes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 xml:space="preserve">sociales u otros soportes. </w:t>
      </w:r>
    </w:p>
    <w:p w:rsidR="00B83248" w:rsidRPr="005079F0" w:rsidRDefault="00BD0403" w:rsidP="00BD0403">
      <w:pPr>
        <w:pStyle w:val="Textoindependiente"/>
        <w:jc w:val="both"/>
        <w:rPr>
          <w:rFonts w:ascii="Arial" w:hAnsi="Arial" w:cs="Arial"/>
          <w:sz w:val="18"/>
          <w:szCs w:val="17"/>
        </w:rPr>
      </w:pPr>
      <w:r w:rsidRPr="005079F0">
        <w:rPr>
          <w:rFonts w:ascii="Arial" w:hAnsi="Arial" w:cs="Arial"/>
          <w:sz w:val="18"/>
          <w:szCs w:val="17"/>
        </w:rPr>
        <w:t>n) Gastos derivados del cumplimiento de la normativa en materia de seguridad y salud laboral vinculados a la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protección de los trabajadores.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No se consideran gastos subvencionables los impuestos indirectos cuando sean susceptibles de recuperación o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compensación. Concretamente, en cuanto al Impuesto sobre el Valor Añadido únicamente serán gastos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subvencionables aquellas cantidades abonadas por el o la solicitante que representen un coste real, es decir, que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hayan sido efectivamente abonadas y que no sea deducible, puesto que de poder serlo, este impuesto sería</w:t>
      </w:r>
      <w:r w:rsidR="005A1F96">
        <w:rPr>
          <w:rFonts w:ascii="Arial" w:hAnsi="Arial" w:cs="Arial"/>
          <w:sz w:val="18"/>
          <w:szCs w:val="17"/>
        </w:rPr>
        <w:t xml:space="preserve"> </w:t>
      </w:r>
      <w:r w:rsidRPr="005079F0">
        <w:rPr>
          <w:rFonts w:ascii="Arial" w:hAnsi="Arial" w:cs="Arial"/>
          <w:sz w:val="18"/>
          <w:szCs w:val="17"/>
        </w:rPr>
        <w:t>recuperable por el o la solicitante</w:t>
      </w:r>
    </w:p>
    <w:sectPr w:rsidR="00B83248" w:rsidRPr="005079F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EB2" w:rsidRDefault="00650EB2">
      <w:r>
        <w:separator/>
      </w:r>
    </w:p>
  </w:endnote>
  <w:endnote w:type="continuationSeparator" w:id="0">
    <w:p w:rsidR="00650EB2" w:rsidRDefault="0065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48" w:rsidRDefault="00B87D24">
    <w:pPr>
      <w:pStyle w:val="Piedepgina"/>
    </w:pPr>
    <w:r>
      <w:rPr>
        <w:noProof/>
        <w:lang w:eastAsia="es-ES"/>
      </w:rPr>
      <w:drawing>
        <wp:inline distT="0" distB="0" distL="0" distR="0">
          <wp:extent cx="5391785" cy="2673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83248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48" w:rsidRDefault="00B8324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EB2" w:rsidRDefault="00650EB2">
      <w:r>
        <w:separator/>
      </w:r>
    </w:p>
  </w:footnote>
  <w:footnote w:type="continuationSeparator" w:id="0">
    <w:p w:rsidR="00650EB2" w:rsidRDefault="00650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48" w:rsidRDefault="00B87D2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48310" cy="698500"/>
          <wp:effectExtent l="0" t="0" r="889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83248">
      <w:t xml:space="preserve"> </w:t>
    </w:r>
  </w:p>
  <w:p w:rsidR="00B83248" w:rsidRDefault="00B83248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Vall de Almonacid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248" w:rsidRDefault="00B8324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403"/>
    <w:rsid w:val="00236EBF"/>
    <w:rsid w:val="002A1C90"/>
    <w:rsid w:val="005079F0"/>
    <w:rsid w:val="005A1F96"/>
    <w:rsid w:val="00650EB2"/>
    <w:rsid w:val="00B83248"/>
    <w:rsid w:val="00B87D24"/>
    <w:rsid w:val="00BD0403"/>
    <w:rsid w:val="00C03419"/>
    <w:rsid w:val="00D2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Ayto. Vall de Almonacid</cp:lastModifiedBy>
  <cp:revision>2</cp:revision>
  <cp:lastPrinted>1601-01-01T00:00:00Z</cp:lastPrinted>
  <dcterms:created xsi:type="dcterms:W3CDTF">2021-03-12T11:45:00Z</dcterms:created>
  <dcterms:modified xsi:type="dcterms:W3CDTF">2021-03-12T11:45:00Z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