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2.xml.rels" ContentType="application/vnd.openxmlformats-package.relationships+xml"/>
  <Override PartName="/word/_rels/footer1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9.wmf" ContentType="image/x-wmf"/>
  <Override PartName="/word/media/image8.wmf" ContentType="image/x-wmf"/>
  <Override PartName="/word/media/image10.wmf" ContentType="image/x-wmf"/>
  <Override PartName="/word/media/image6.jpeg" ContentType="image/jpeg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7.wmf" ContentType="image/x-wmf"/>
  <Override PartName="/word/media/image1.jpeg" ContentType="image/jpeg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14598" w:leader="none"/>
        </w:tabs>
        <w:bidi w:val="0"/>
        <w:spacing w:lineRule="auto" w:line="240" w:before="0" w:after="0"/>
        <w:ind w:left="0" w:right="0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ANEXO III</w:t>
      </w:r>
    </w:p>
    <w:p>
      <w:pPr>
        <w:pStyle w:val="Normal"/>
        <w:tabs>
          <w:tab w:val="right" w:pos="14598" w:leader="none"/>
        </w:tabs>
        <w:bidi w:val="0"/>
        <w:spacing w:lineRule="auto" w:line="240" w:before="0" w:after="0"/>
        <w:ind w:left="0" w:right="0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FORMULARIO DE OPOSICIÓN A LA CONSULTA MEDIANTE </w:t>
      </w:r>
    </w:p>
    <w:p>
      <w:pPr>
        <w:pStyle w:val="Normal"/>
        <w:tabs>
          <w:tab w:val="center" w:pos="4819" w:leader="none"/>
          <w:tab w:val="right" w:pos="9638" w:leader="none"/>
        </w:tabs>
        <w:bidi w:val="0"/>
        <w:spacing w:lineRule="auto" w:line="240" w:before="0" w:after="0"/>
        <w:ind w:left="0" w:right="0" w:hanging="0"/>
        <w:jc w:val="center"/>
        <w:rPr/>
      </w:pPr>
      <w:bookmarkStart w:id="0" w:name="__DdeLink__12563_423110428611"/>
      <w:bookmarkEnd w:id="0"/>
      <w:r>
        <w:rPr>
          <w:rFonts w:cs="Arial" w:ascii="Arial" w:hAnsi="Arial"/>
          <w:b/>
          <w:sz w:val="20"/>
          <w:szCs w:val="20"/>
        </w:rPr>
        <w:tab/>
        <w:t>LA INTERMEDIACIÓN DE DATOS</w:t>
        <w:tab/>
      </w:r>
      <w:r>
        <w:rPr>
          <w:rFonts w:cs="Arial" w:ascii="Arial" w:hAnsi="Arial"/>
          <w:b/>
          <w:color w:val="000000"/>
          <w:sz w:val="24"/>
          <w:szCs w:val="24"/>
        </w:rPr>
        <w:t>1/2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color w:val="00000A"/>
          <w:sz w:val="20"/>
          <w:szCs w:val="20"/>
          <w:lang w:eastAsia="es-ES"/>
        </w:rPr>
      </w:pPr>
      <w:bookmarkStart w:id="1" w:name="__DdeLink__2462_20651250872"/>
      <w:bookmarkStart w:id="2" w:name="__DdeLink__2462_20651250872"/>
      <w:bookmarkEnd w:id="2"/>
      <w:r>
        <w:rPr>
          <w:rFonts w:cs="Arial" w:ascii="Arial" w:hAnsi="Arial"/>
          <w:b w:val="false"/>
          <w:bCs w:val="false"/>
          <w:color w:val="00000A"/>
          <w:sz w:val="20"/>
          <w:szCs w:val="20"/>
          <w:lang w:eastAsia="es-ES"/>
        </w:rPr>
      </w:r>
    </w:p>
    <w:tbl>
      <w:tblPr>
        <w:tblW w:w="9100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671"/>
        <w:gridCol w:w="594"/>
        <w:gridCol w:w="868"/>
        <w:gridCol w:w="808"/>
        <w:gridCol w:w="2101"/>
        <w:gridCol w:w="4058"/>
      </w:tblGrid>
      <w:tr>
        <w:trPr/>
        <w:tc>
          <w:tcPr>
            <w:tcW w:w="910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DATOS DE IDENTIFICACIÓN DE LA ENTIDAD O PERSONA SOLICITANTE</w:t>
            </w:r>
          </w:p>
        </w:tc>
      </w:tr>
      <w:tr>
        <w:trPr/>
        <w:tc>
          <w:tcPr>
            <w:tcW w:w="213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Denominación</w:t>
            </w:r>
          </w:p>
        </w:tc>
        <w:tc>
          <w:tcPr>
            <w:tcW w:w="696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NIF</w:t>
            </w:r>
          </w:p>
        </w:tc>
        <w:tc>
          <w:tcPr>
            <w:tcW w:w="22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Tfno./Móvil</w:t>
            </w:r>
          </w:p>
        </w:tc>
        <w:tc>
          <w:tcPr>
            <w:tcW w:w="4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Domicilio</w:t>
            </w:r>
          </w:p>
        </w:tc>
        <w:tc>
          <w:tcPr>
            <w:tcW w:w="783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C. Postal</w:t>
            </w:r>
          </w:p>
        </w:tc>
        <w:tc>
          <w:tcPr>
            <w:tcW w:w="16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Municipio</w:t>
            </w:r>
          </w:p>
        </w:tc>
        <w:tc>
          <w:tcPr>
            <w:tcW w:w="40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e-mail</w:t>
            </w:r>
          </w:p>
        </w:tc>
        <w:tc>
          <w:tcPr>
            <w:tcW w:w="783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bidi w:val="0"/>
        <w:spacing w:lineRule="auto" w:line="240" w:before="0" w:after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100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671"/>
        <w:gridCol w:w="570"/>
        <w:gridCol w:w="890"/>
        <w:gridCol w:w="1095"/>
        <w:gridCol w:w="850"/>
        <w:gridCol w:w="5024"/>
      </w:tblGrid>
      <w:tr>
        <w:trPr/>
        <w:tc>
          <w:tcPr>
            <w:tcW w:w="910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DATOS DEL/LA REPRESENTANTE LEGAL</w:t>
            </w:r>
          </w:p>
        </w:tc>
      </w:tr>
      <w:tr>
        <w:trPr/>
        <w:tc>
          <w:tcPr>
            <w:tcW w:w="21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Nombre y apellidos</w:t>
            </w:r>
          </w:p>
        </w:tc>
        <w:tc>
          <w:tcPr>
            <w:tcW w:w="696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NIF</w:t>
            </w:r>
          </w:p>
        </w:tc>
        <w:tc>
          <w:tcPr>
            <w:tcW w:w="25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Cargo </w:t>
            </w:r>
          </w:p>
        </w:tc>
        <w:tc>
          <w:tcPr>
            <w:tcW w:w="5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Tfno./Móvil</w:t>
            </w:r>
          </w:p>
        </w:tc>
        <w:tc>
          <w:tcPr>
            <w:tcW w:w="19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e-mail</w:t>
            </w:r>
          </w:p>
        </w:tc>
        <w:tc>
          <w:tcPr>
            <w:tcW w:w="5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bidi w:val="0"/>
        <w:spacing w:lineRule="auto" w:line="240" w:before="0" w:after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Cuerpodetexto"/>
        <w:bidi w:val="0"/>
        <w:spacing w:lineRule="auto" w:line="240" w:before="0" w:after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102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58" w:type="dxa"/>
          <w:bottom w:w="55" w:type="dxa"/>
          <w:right w:w="108" w:type="dxa"/>
        </w:tblCellMar>
      </w:tblPr>
      <w:tblGrid>
        <w:gridCol w:w="9102"/>
      </w:tblGrid>
      <w:tr>
        <w:trPr/>
        <w:tc>
          <w:tcPr>
            <w:tcW w:w="9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PROCEDIMIENTO ADMINISTRATIVO EN EL QUE SE VA A INTERMEDIAR LOS DATOS</w:t>
            </w:r>
          </w:p>
        </w:tc>
      </w:tr>
      <w:tr>
        <w:trPr/>
        <w:tc>
          <w:tcPr>
            <w:tcW w:w="9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58" w:type="dxa"/>
              <w:bottom w:w="0" w:type="dxa"/>
            </w:tcMar>
            <w:vAlign w:val="center"/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spacing w:before="57" w:after="57"/>
              <w:ind w:left="0" w:right="227" w:hanging="0"/>
              <w:jc w:val="left"/>
              <w:textAlignment w:val="baseline"/>
              <w:rPr/>
            </w:pPr>
            <w:r>
              <w:rPr>
                <w:rFonts w:cs="Arial" w:ascii="Arial" w:hAnsi="Arial"/>
                <w:b w:val="false"/>
                <w:bCs w:val="false"/>
                <w:i/>
                <w:iCs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Solicitudes a la C</w:t>
            </w:r>
            <w:r>
              <w:rPr>
                <w:rFonts w:cs="Arial" w:ascii="Arial" w:hAnsi="Arial"/>
                <w:b w:val="false"/>
                <w:bCs w:val="false"/>
                <w:i/>
                <w:iCs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em w:val="none"/>
              </w:rPr>
              <w:t xml:space="preserve">onvocatoria de ayudas </w:t>
            </w:r>
            <w:r>
              <w:rPr>
                <w:rFonts w:cs="Arial" w:ascii="Arial" w:hAnsi="Arial"/>
                <w:b w:val="false"/>
                <w:bCs w:val="false"/>
                <w:i/>
                <w:iCs/>
                <w:color w:val="000000"/>
                <w:kern w:val="2"/>
                <w:sz w:val="20"/>
                <w:szCs w:val="20"/>
              </w:rPr>
              <w:t xml:space="preserve">inversiones ruta del vino </w:t>
            </w:r>
            <w:r>
              <w:rPr>
                <w:rFonts w:cs="Arial" w:ascii="Arial" w:hAnsi="Arial"/>
                <w:b w:val="false"/>
                <w:bCs w:val="false"/>
                <w:i/>
                <w:iCs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0"/>
                <w:szCs w:val="20"/>
                <w:u w:val="none"/>
                <w:em w:val="none"/>
              </w:rPr>
              <w:t>del Condado de Huelva 2020</w:t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159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83" w:type="dxa"/>
          <w:bottom w:w="55" w:type="dxa"/>
          <w:right w:w="108" w:type="dxa"/>
        </w:tblCellMar>
      </w:tblPr>
      <w:tblGrid>
        <w:gridCol w:w="3610"/>
        <w:gridCol w:w="3338"/>
        <w:gridCol w:w="2211"/>
      </w:tblGrid>
      <w:tr>
        <w:trPr>
          <w:tblHeader w:val="true"/>
          <w:trHeight w:val="454" w:hRule="atLeast"/>
        </w:trPr>
        <w:tc>
          <w:tcPr>
            <w:tcW w:w="915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bidi w:val="0"/>
              <w:spacing w:before="57" w:after="57"/>
              <w:jc w:val="left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 A APORTAR – DATOS CON NECESIDAD DE CONSENTIMIENTO</w:t>
            </w:r>
          </w:p>
          <w:p>
            <w:pPr>
              <w:pStyle w:val="Normal"/>
              <w:bidi w:val="0"/>
              <w:spacing w:before="57" w:after="57"/>
              <w:jc w:val="both"/>
              <w:rPr/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La Diputación va a iniciar los trámites para solicitar la intermediación de los datos que a continuación se detallan</w:t>
            </w:r>
            <w:bookmarkStart w:id="3" w:name="__DdeLink__7100_1834924099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.</w:t>
            </w:r>
            <w:bookmarkEnd w:id="3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Para que esta administración pueda solicitar estos datos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debe usted prestar consentimiento expreso marcando las casillas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. Si no autorizara esta intermediación deberá aportar estos documentos conforme la convocatoria.</w:t>
            </w:r>
          </w:p>
        </w:tc>
      </w:tr>
      <w:tr>
        <w:trPr>
          <w:tblHeader w:val="true"/>
          <w:trHeight w:val="454" w:hRule="atLeast"/>
        </w:trPr>
        <w:tc>
          <w:tcPr>
            <w:tcW w:w="3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top w:w="0" w:type="dxa"/>
              <w:left w:w="83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</w:t>
            </w:r>
          </w:p>
        </w:tc>
        <w:tc>
          <w:tcPr>
            <w:tcW w:w="33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top w:w="0" w:type="dxa"/>
              <w:left w:w="83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Se va a solicitar a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83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Consiente en autorizar la consulta de este dato</w:t>
            </w:r>
          </w:p>
        </w:tc>
      </w:tr>
      <w:tr>
        <w:trPr>
          <w:trHeight w:val="454" w:hRule="atLeast"/>
        </w:trPr>
        <w:tc>
          <w:tcPr>
            <w:tcW w:w="3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top w:w="0" w:type="dxa"/>
              <w:left w:w="83" w:type="dxa"/>
              <w:bottom w:w="0" w:type="dxa"/>
            </w:tcMar>
            <w:vAlign w:val="center"/>
          </w:tcPr>
          <w:p>
            <w:pPr>
              <w:pStyle w:val="Contenidodelatabla"/>
              <w:rPr/>
            </w:pPr>
            <w:r>
              <w:rPr>
                <w:rFonts w:cs="Arial" w:ascii="Arial" w:hAnsi="Arial"/>
                <w:sz w:val="20"/>
                <w:szCs w:val="20"/>
              </w:rPr>
              <w:t>Situación de estar al corriente de obligaciones frente a la Agencia Tributaria estatal (</w:t>
            </w:r>
            <w:bookmarkStart w:id="4" w:name="__DdeLink__9728_1291019550"/>
            <w:r>
              <w:rPr>
                <w:rFonts w:cs="Arial" w:ascii="Arial" w:hAnsi="Arial"/>
                <w:sz w:val="20"/>
                <w:szCs w:val="20"/>
              </w:rPr>
              <w:t>AEAT</w:t>
            </w:r>
            <w:bookmarkEnd w:id="4"/>
            <w:r>
              <w:rPr>
                <w:rFonts w:cs="Arial" w:ascii="Arial" w:hAnsi="Arial"/>
                <w:sz w:val="20"/>
                <w:szCs w:val="20"/>
              </w:rPr>
              <w:t>)</w:t>
            </w:r>
          </w:p>
        </w:tc>
        <w:tc>
          <w:tcPr>
            <w:tcW w:w="33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top w:w="0" w:type="dxa"/>
              <w:left w:w="83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AEAT</w:t>
            </w:r>
          </w:p>
        </w:tc>
        <w:tc>
          <w:tcPr>
            <w:tcW w:w="2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83" w:type="dxa"/>
              <w:bottom w:w="0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28"/>
                <w:szCs w:val="28"/>
              </w:rPr>
            </w:pPr>
            <w:r>
              <w:rPr>
                <w:rFonts w:eastAsia="Arial" w:cs="Arial" w:ascii="Arial" w:hAnsi="Arial"/>
                <w:b/>
                <w:bCs/>
                <w:sz w:val="28"/>
                <w:szCs w:val="28"/>
              </w:rPr>
              <w:t></w:t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097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3860"/>
        <w:gridCol w:w="3900"/>
        <w:gridCol w:w="1337"/>
      </w:tblGrid>
      <w:tr>
        <w:trPr>
          <w:tblHeader w:val="true"/>
          <w:cantSplit w:val="true"/>
        </w:trPr>
        <w:tc>
          <w:tcPr>
            <w:tcW w:w="909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CONSULTA DE DATOS A LA QUE SE OPONE</w:t>
            </w:r>
          </w:p>
          <w:p>
            <w:pPr>
              <w:pStyle w:val="Normal"/>
              <w:bidi w:val="0"/>
              <w:spacing w:lineRule="auto" w:line="240" w:before="57" w:after="57"/>
              <w:jc w:val="both"/>
              <w:rPr>
                <w:rFonts w:ascii="Arial" w:hAnsi="Arial" w:cs="Aria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Conforme a lo establecido en el artículo 28.2 de la Ley 39/2015 debe indicar los datos que se opone se soliciten a otras administraciones. En este supuesto deberá usted aportarlos directamente durante el procedimiento.</w:t>
            </w:r>
          </w:p>
        </w:tc>
      </w:tr>
      <w:tr>
        <w:trPr>
          <w:tblHeader w:val="true"/>
          <w:cantSplit w:val="true"/>
        </w:trPr>
        <w:tc>
          <w:tcPr>
            <w:tcW w:w="3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CFE7F5" w:val="clear"/>
            <w:tcMar>
              <w:left w:w="48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Cedente</w:t>
            </w:r>
          </w:p>
        </w:tc>
        <w:tc>
          <w:tcPr>
            <w:tcW w:w="3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CFE7F5" w:val="clear"/>
            <w:tcMar>
              <w:left w:w="48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Dato a consultar </w:t>
            </w:r>
          </w:p>
        </w:tc>
        <w:tc>
          <w:tcPr>
            <w:tcW w:w="1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48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Oposición</w:t>
            </w:r>
          </w:p>
        </w:tc>
      </w:tr>
      <w:tr>
        <w:trPr>
          <w:trHeight w:val="181" w:hRule="atLeast"/>
          <w:cantSplit w:val="true"/>
        </w:trPr>
        <w:tc>
          <w:tcPr>
            <w:tcW w:w="3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TGSS</w:t>
            </w:r>
          </w:p>
        </w:tc>
        <w:tc>
          <w:tcPr>
            <w:tcW w:w="3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Estar al Corriente de Pago con la Seguridad Social</w:t>
            </w:r>
          </w:p>
        </w:tc>
        <w:tc>
          <w:tcPr>
            <w:tcW w:w="1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Normal"/>
              <w:bidi w:val="0"/>
              <w:jc w:val="center"/>
              <w:rPr>
                <w:rFonts w:ascii="Arial" w:hAnsi="Arial" w:eastAsia="Arial" w:cs="Arial"/>
                <w:sz w:val="30"/>
                <w:szCs w:val="30"/>
              </w:rPr>
            </w:pPr>
            <w:r>
              <w:rPr>
                <w:rFonts w:eastAsia="Arial" w:cs="Arial" w:ascii="Arial" w:hAnsi="Arial"/>
                <w:sz w:val="30"/>
                <w:szCs w:val="30"/>
              </w:rPr>
              <w:t>□</w:t>
            </w:r>
          </w:p>
        </w:tc>
      </w:tr>
      <w:tr>
        <w:trPr>
          <w:trHeight w:val="181" w:hRule="atLeast"/>
          <w:cantSplit w:val="true"/>
        </w:trPr>
        <w:tc>
          <w:tcPr>
            <w:tcW w:w="3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Ttulo3"/>
              <w:numPr>
                <w:ilvl w:val="2"/>
                <w:numId w:val="1"/>
              </w:numPr>
              <w:bidi w:val="0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Intervención General de la Administración del Estado (Ministerio de Hacienda)</w:t>
            </w:r>
          </w:p>
        </w:tc>
        <w:tc>
          <w:tcPr>
            <w:tcW w:w="3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Concesiones de Subvenciones y Ayudas de BDNS</w:t>
            </w:r>
          </w:p>
        </w:tc>
        <w:tc>
          <w:tcPr>
            <w:tcW w:w="13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Normal"/>
              <w:bidi w:val="0"/>
              <w:jc w:val="center"/>
              <w:rPr>
                <w:rFonts w:ascii="Wingdings" w:hAnsi="Wingdings" w:eastAsia="Arial" w:cs="Wingdings"/>
                <w:sz w:val="30"/>
                <w:szCs w:val="30"/>
              </w:rPr>
            </w:pPr>
            <w:bookmarkStart w:id="5" w:name="__DdeLink__200_3070838386"/>
            <w:bookmarkEnd w:id="5"/>
            <w:r>
              <w:rPr>
                <w:rFonts w:eastAsia="Arial" w:cs="Wingdings" w:ascii="Wingdings" w:hAnsi="Wingdings"/>
                <w:sz w:val="30"/>
                <w:szCs w:val="30"/>
              </w:rPr>
              <w:t>□</w:t>
            </w:r>
          </w:p>
        </w:tc>
      </w:tr>
      <w:tr>
        <w:trPr>
          <w:trHeight w:val="181" w:hRule="atLeast"/>
          <w:cantSplit w:val="true"/>
        </w:trPr>
        <w:tc>
          <w:tcPr>
            <w:tcW w:w="386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Ttulo3"/>
              <w:numPr>
                <w:ilvl w:val="2"/>
                <w:numId w:val="1"/>
              </w:numPr>
              <w:bidi w:val="0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Intervención General de la Administración del Estado (Ministerio de Hacienda)</w:t>
            </w:r>
          </w:p>
        </w:tc>
        <w:tc>
          <w:tcPr>
            <w:tcW w:w="3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Inhabilitaciones para Subvenciones y Ayudas de BDNS</w:t>
            </w:r>
          </w:p>
        </w:tc>
        <w:tc>
          <w:tcPr>
            <w:tcW w:w="13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Normal"/>
              <w:bidi w:val="0"/>
              <w:jc w:val="center"/>
              <w:rPr>
                <w:rFonts w:ascii="Wingdings" w:hAnsi="Wingdings" w:eastAsia="Arial" w:cs="Wingdings"/>
                <w:sz w:val="30"/>
                <w:szCs w:val="30"/>
              </w:rPr>
            </w:pPr>
            <w:r>
              <w:rPr>
                <w:rFonts w:eastAsia="Arial" w:cs="Wingdings" w:ascii="Wingdings" w:hAnsi="Wingdings"/>
                <w:sz w:val="30"/>
                <w:szCs w:val="30"/>
              </w:rPr>
              <w:t>□</w:t>
            </w:r>
          </w:p>
        </w:tc>
      </w:tr>
      <w:tr>
        <w:trPr>
          <w:trHeight w:val="181" w:hRule="atLeast"/>
          <w:cantSplit w:val="true"/>
        </w:trPr>
        <w:tc>
          <w:tcPr>
            <w:tcW w:w="386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CCAA</w:t>
            </w:r>
          </w:p>
        </w:tc>
        <w:tc>
          <w:tcPr>
            <w:tcW w:w="3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Estar al corriente de las obligaciones tributarias</w:t>
            </w:r>
          </w:p>
        </w:tc>
        <w:tc>
          <w:tcPr>
            <w:tcW w:w="13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Normal"/>
              <w:bidi w:val="0"/>
              <w:jc w:val="center"/>
              <w:rPr>
                <w:rFonts w:ascii="Wingdings" w:hAnsi="Wingdings" w:eastAsia="Arial" w:cs="Wingdings"/>
                <w:sz w:val="30"/>
                <w:szCs w:val="30"/>
              </w:rPr>
            </w:pPr>
            <w:r>
              <w:rPr>
                <w:rFonts w:eastAsia="Arial" w:cs="Wingdings" w:ascii="Wingdings" w:hAnsi="Wingdings"/>
                <w:sz w:val="30"/>
                <w:szCs w:val="30"/>
              </w:rPr>
              <w:t>□</w:t>
            </w:r>
          </w:p>
        </w:tc>
      </w:tr>
      <w:tr>
        <w:trPr>
          <w:trHeight w:val="181" w:hRule="atLeast"/>
          <w:cantSplit w:val="true"/>
        </w:trPr>
        <w:tc>
          <w:tcPr>
            <w:tcW w:w="386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bidi w:val="0"/>
              <w:spacing w:before="0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CCAA</w:t>
            </w:r>
          </w:p>
        </w:tc>
        <w:tc>
          <w:tcPr>
            <w:tcW w:w="3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bidi w:val="0"/>
              <w:spacing w:before="0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Corriente de pago para ayudas y subvenciones</w:t>
            </w:r>
          </w:p>
        </w:tc>
        <w:tc>
          <w:tcPr>
            <w:tcW w:w="13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Normal"/>
              <w:bidi w:val="0"/>
              <w:jc w:val="center"/>
              <w:rPr>
                <w:rFonts w:ascii="Wingdings" w:hAnsi="Wingdings" w:eastAsia="Arial" w:cs="Wingdings"/>
                <w:sz w:val="30"/>
                <w:szCs w:val="30"/>
              </w:rPr>
            </w:pPr>
            <w:r>
              <w:rPr>
                <w:rFonts w:eastAsia="Arial" w:cs="Wingdings" w:ascii="Wingdings" w:hAnsi="Wingdings"/>
                <w:sz w:val="30"/>
                <w:szCs w:val="30"/>
              </w:rPr>
              <w:t>□</w:t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701" w:header="794" w:top="1643" w:footer="505" w:bottom="1418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tabs>
          <w:tab w:val="right" w:pos="14598" w:leader="none"/>
        </w:tabs>
        <w:bidi w:val="0"/>
        <w:spacing w:lineRule="auto" w:line="240" w:before="0" w:after="0"/>
        <w:ind w:left="0" w:right="0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ANEXO III</w:t>
      </w:r>
    </w:p>
    <w:p>
      <w:pPr>
        <w:pStyle w:val="Normal"/>
        <w:tabs>
          <w:tab w:val="right" w:pos="14598" w:leader="none"/>
        </w:tabs>
        <w:bidi w:val="0"/>
        <w:spacing w:lineRule="auto" w:line="240" w:before="0" w:after="0"/>
        <w:ind w:left="0" w:right="0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FORMULARIO DE OPOSICIÓN A LA CONSULTA MEDIANTE </w:t>
      </w:r>
    </w:p>
    <w:p>
      <w:pPr>
        <w:pStyle w:val="Normal"/>
        <w:tabs>
          <w:tab w:val="center" w:pos="4819" w:leader="none"/>
          <w:tab w:val="right" w:pos="9638" w:leader="none"/>
        </w:tabs>
        <w:bidi w:val="0"/>
        <w:spacing w:lineRule="auto" w:line="240" w:before="0" w:after="0"/>
        <w:ind w:left="0" w:right="0" w:hanging="0"/>
        <w:jc w:val="center"/>
        <w:rPr>
          <w:rFonts w:ascii="Arial" w:hAnsi="Arial" w:cs="Arial"/>
          <w:b/>
          <w:b/>
          <w:color w:val="auto"/>
          <w:sz w:val="20"/>
          <w:szCs w:val="20"/>
        </w:rPr>
      </w:pPr>
      <w:r>
        <w:rPr>
          <w:rFonts w:cs="Arial" w:ascii="Arial" w:hAnsi="Arial"/>
          <w:b/>
          <w:color w:val="auto"/>
          <w:sz w:val="20"/>
          <w:szCs w:val="20"/>
        </w:rPr>
        <w:tab/>
        <w:t>LA INTERMEDIACIÓN DE DATOS</w:t>
        <w:tab/>
        <w:t>2/2</w:t>
      </w:r>
    </w:p>
    <w:p>
      <w:pPr>
        <w:pStyle w:val="Normal"/>
        <w:tabs>
          <w:tab w:val="right" w:pos="14598" w:leader="none"/>
        </w:tabs>
        <w:bidi w:val="0"/>
        <w:spacing w:lineRule="auto" w:line="240" w:before="0" w:after="0"/>
        <w:ind w:left="0" w:right="0" w:hanging="0"/>
        <w:jc w:val="center"/>
        <w:rPr/>
      </w:pPr>
      <w:r>
        <w:rPr/>
      </w:r>
    </w:p>
    <w:tbl>
      <w:tblPr>
        <w:tblW w:w="9097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48" w:type="dxa"/>
          <w:bottom w:w="0" w:type="dxa"/>
          <w:right w:w="108" w:type="dxa"/>
        </w:tblCellMar>
      </w:tblPr>
      <w:tblGrid>
        <w:gridCol w:w="3860"/>
        <w:gridCol w:w="3900"/>
        <w:gridCol w:w="1337"/>
      </w:tblGrid>
      <w:tr>
        <w:trPr>
          <w:tblHeader w:val="true"/>
          <w:cantSplit w:val="true"/>
        </w:trPr>
        <w:tc>
          <w:tcPr>
            <w:tcW w:w="909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4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CONSULTA DE DATOS A LA QUE SE OPONE</w:t>
            </w:r>
          </w:p>
          <w:p>
            <w:pPr>
              <w:pStyle w:val="Normal"/>
              <w:bidi w:val="0"/>
              <w:spacing w:lineRule="auto" w:line="240" w:before="57" w:after="57"/>
              <w:jc w:val="both"/>
              <w:rPr>
                <w:rFonts w:ascii="Arial" w:hAnsi="Arial" w:cs="Aria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Conforme a lo establecido en el artículo 28.2 de la Ley 39/2015 debe indicar los datos que se opone se soliciten a otras administraciones. En este supuesto deberá usted aportarlos directamente durante el procedimiento.</w:t>
            </w:r>
          </w:p>
        </w:tc>
      </w:tr>
      <w:tr>
        <w:trPr>
          <w:trHeight w:val="181" w:hRule="atLeast"/>
          <w:cantSplit w:val="true"/>
        </w:trPr>
        <w:tc>
          <w:tcPr>
            <w:tcW w:w="386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Consejo General del Notariado</w:t>
            </w:r>
          </w:p>
        </w:tc>
        <w:tc>
          <w:tcPr>
            <w:tcW w:w="3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Copia simple de poderes Notariales</w:t>
            </w:r>
          </w:p>
        </w:tc>
        <w:tc>
          <w:tcPr>
            <w:tcW w:w="13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Normal"/>
              <w:bidi w:val="0"/>
              <w:jc w:val="center"/>
              <w:rPr>
                <w:rFonts w:ascii="Wingdings" w:hAnsi="Wingdings" w:eastAsia="Arial" w:cs="Wingdings"/>
                <w:sz w:val="30"/>
                <w:szCs w:val="30"/>
              </w:rPr>
            </w:pPr>
            <w:r>
              <w:rPr>
                <w:rFonts w:eastAsia="Arial" w:cs="Wingdings" w:ascii="Wingdings" w:hAnsi="Wingdings"/>
                <w:sz w:val="30"/>
                <w:szCs w:val="30"/>
              </w:rPr>
              <w:t>□</w:t>
            </w:r>
          </w:p>
        </w:tc>
      </w:tr>
      <w:tr>
        <w:trPr>
          <w:trHeight w:val="181" w:hRule="atLeast"/>
          <w:cantSplit w:val="true"/>
        </w:trPr>
        <w:tc>
          <w:tcPr>
            <w:tcW w:w="386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Consejo General del Notariado</w:t>
            </w:r>
          </w:p>
        </w:tc>
        <w:tc>
          <w:tcPr>
            <w:tcW w:w="3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Subsistencia de poderes Notariales</w:t>
            </w:r>
          </w:p>
        </w:tc>
        <w:tc>
          <w:tcPr>
            <w:tcW w:w="13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Normal"/>
              <w:bidi w:val="0"/>
              <w:jc w:val="center"/>
              <w:rPr>
                <w:rFonts w:ascii="Wingdings" w:hAnsi="Wingdings" w:eastAsia="Arial" w:cs="Wingdings"/>
                <w:sz w:val="30"/>
                <w:szCs w:val="30"/>
              </w:rPr>
            </w:pPr>
            <w:r>
              <w:rPr>
                <w:rFonts w:eastAsia="Arial" w:cs="Wingdings" w:ascii="Wingdings" w:hAnsi="Wingdings"/>
                <w:sz w:val="30"/>
                <w:szCs w:val="30"/>
              </w:rPr>
              <w:t>□</w:t>
            </w:r>
          </w:p>
        </w:tc>
      </w:tr>
      <w:tr>
        <w:trPr>
          <w:trHeight w:val="181" w:hRule="atLeast"/>
          <w:cantSplit w:val="true"/>
        </w:trPr>
        <w:tc>
          <w:tcPr>
            <w:tcW w:w="386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Consejo General del Notariado</w:t>
            </w:r>
          </w:p>
        </w:tc>
        <w:tc>
          <w:tcPr>
            <w:tcW w:w="39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Contenidodelatabla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Subsistencia de Administradores</w:t>
            </w:r>
          </w:p>
        </w:tc>
        <w:tc>
          <w:tcPr>
            <w:tcW w:w="133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48" w:type="dxa"/>
            </w:tcMar>
            <w:vAlign w:val="center"/>
          </w:tcPr>
          <w:p>
            <w:pPr>
              <w:pStyle w:val="Normal"/>
              <w:bidi w:val="0"/>
              <w:jc w:val="center"/>
              <w:rPr>
                <w:rFonts w:ascii="Wingdings" w:hAnsi="Wingdings" w:eastAsia="Arial" w:cs="Wingdings"/>
                <w:sz w:val="30"/>
                <w:szCs w:val="30"/>
              </w:rPr>
            </w:pPr>
            <w:r>
              <w:rPr>
                <w:rFonts w:eastAsia="Arial" w:cs="Wingdings" w:ascii="Wingdings" w:hAnsi="Wingdings"/>
                <w:sz w:val="30"/>
                <w:szCs w:val="30"/>
              </w:rPr>
              <w:t>□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102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9102"/>
      </w:tblGrid>
      <w:tr>
        <w:trPr/>
        <w:tc>
          <w:tcPr>
            <w:tcW w:w="9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MOTIVOS</w:t>
            </w:r>
          </w:p>
          <w:p>
            <w:pPr>
              <w:pStyle w:val="Normal"/>
              <w:bidi w:val="0"/>
              <w:spacing w:lineRule="auto" w:line="240" w:before="57" w:after="57"/>
              <w:jc w:val="left"/>
              <w:rPr>
                <w:rFonts w:ascii="Arial" w:hAnsi="Arial" w:cs="Arial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Fonts w:cs="Arial" w:ascii="Arial" w:hAnsi="Arial"/>
                <w:b w:val="false"/>
                <w:bCs w:val="false"/>
                <w:sz w:val="16"/>
                <w:szCs w:val="16"/>
              </w:rPr>
              <w:t>Siguiendo los criterios de la Agencia Estatal de Protección de Datos debe motivarse suficientemente la oposición, conforme a Ley, para que sea tenida en cuenta.</w:t>
            </w:r>
          </w:p>
        </w:tc>
      </w:tr>
      <w:tr>
        <w:trPr/>
        <w:tc>
          <w:tcPr>
            <w:tcW w:w="9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b/>
          <w:b/>
          <w:sz w:val="20"/>
          <w:szCs w:val="20"/>
          <w:lang w:val="es-ES"/>
        </w:rPr>
      </w:pPr>
      <w:bookmarkStart w:id="6" w:name="__DdeLink__2462_2065125087211"/>
      <w:bookmarkStart w:id="7" w:name="__DdeLink__2462_2065125087211"/>
      <w:bookmarkEnd w:id="7"/>
      <w:r>
        <w:rPr>
          <w:rFonts w:cs="Arial" w:ascii="Arial" w:hAnsi="Arial"/>
          <w:b/>
          <w:sz w:val="20"/>
          <w:szCs w:val="20"/>
          <w:lang w:val="es-ES"/>
        </w:rPr>
      </w:r>
    </w:p>
    <w:p>
      <w:pPr>
        <w:pStyle w:val="Normal"/>
        <w:spacing w:lineRule="auto" w:line="240" w:before="17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                                           , a           de                             de 20</w:t>
      </w:r>
    </w:p>
    <w:p>
      <w:pPr>
        <w:pStyle w:val="Normal"/>
        <w:spacing w:lineRule="auto" w:line="24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Firmado:____________________________</w:t>
      </w:r>
    </w:p>
    <w:p>
      <w:pPr>
        <w:pStyle w:val="Normal"/>
        <w:spacing w:lineRule="auto" w:line="240"/>
        <w:jc w:val="center"/>
        <w:rPr>
          <w:rFonts w:ascii="Arial" w:hAnsi="Arial" w:cs="Arial"/>
          <w:b/>
          <w:b/>
          <w:bCs/>
          <w:sz w:val="20"/>
          <w:szCs w:val="20"/>
          <w:lang w:eastAsia="es-ES"/>
        </w:rPr>
      </w:pPr>
      <w:r>
        <w:rPr>
          <w:rFonts w:cs="Arial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Arial"/>
          <w:b/>
          <w:b/>
          <w:bCs/>
          <w:sz w:val="20"/>
          <w:szCs w:val="20"/>
          <w:lang w:eastAsia="es-ES"/>
        </w:rPr>
      </w:pPr>
      <w:r>
        <w:rPr>
          <w:rFonts w:cs="Arial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Arial"/>
          <w:b/>
          <w:b/>
          <w:bCs/>
          <w:sz w:val="20"/>
          <w:szCs w:val="20"/>
          <w:lang w:eastAsia="es-ES"/>
        </w:rPr>
      </w:pPr>
      <w:r>
        <w:rPr>
          <w:rFonts w:cs="Arial" w:ascii="Arial" w:hAnsi="Arial"/>
          <w:b/>
          <w:bCs/>
          <w:sz w:val="20"/>
          <w:szCs w:val="20"/>
          <w:lang w:eastAsia="es-ES"/>
        </w:rPr>
      </w:r>
    </w:p>
    <w:tbl>
      <w:tblPr>
        <w:tblW w:w="9159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23" w:type="dxa"/>
          <w:bottom w:w="0" w:type="dxa"/>
          <w:right w:w="108" w:type="dxa"/>
        </w:tblCellMar>
      </w:tblPr>
      <w:tblGrid>
        <w:gridCol w:w="9159"/>
      </w:tblGrid>
      <w:tr>
        <w:trPr>
          <w:trHeight w:val="449" w:hRule="atLeast"/>
          <w:cantSplit w:val="true"/>
        </w:trPr>
        <w:tc>
          <w:tcPr>
            <w:tcW w:w="9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23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PROTECCIÓN DE DATOS</w:t>
            </w:r>
          </w:p>
        </w:tc>
      </w:tr>
      <w:tr>
        <w:trPr>
          <w:trHeight w:val="449" w:hRule="atLeast"/>
          <w:cantSplit w:val="true"/>
        </w:trPr>
        <w:tc>
          <w:tcPr>
            <w:tcW w:w="91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23" w:type="dxa"/>
            </w:tcMar>
            <w:vAlign w:val="center"/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Muydestacado"/>
                <w:rFonts w:cs="Arial" w:ascii="Arial" w:hAnsi="Arial"/>
                <w:b w:val="false"/>
                <w:bCs w:val="false"/>
                <w:color w:val="00000A"/>
                <w:sz w:val="16"/>
                <w:szCs w:val="16"/>
                <w:highlight w:val="white"/>
                <w:lang w:eastAsia="es-ES"/>
              </w:rPr>
      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      </w:r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en el ejercicio de una función pública. Los datos serán tratados por las unidades y servicios de la Diputación de Huelva, no cediéndose a terceros, </w:t>
            </w:r>
            <w:bookmarkStart w:id="8" w:name="__DdeLink__8_353270665911122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salvo prescripción legal o judicial</w:t>
            </w:r>
            <w:bookmarkEnd w:id="8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. Los solicitantes y los titulares de los datos que se van a facilitar tienen, entre otros, derecho a acceder, rectificar y suprimirlos c</w:t>
            </w:r>
            <w:bookmarkStart w:id="9" w:name="__DdeLink__10_3532706659122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on las limitaciones que la ley establece</w:t>
            </w:r>
            <w:bookmarkEnd w:id="9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. Estos derechos se pueden consultar en la información adicional publicada en la dirección web </w:t>
            </w:r>
            <w:hyperlink r:id="rId4">
              <w:r>
                <w:rPr>
                  <w:rStyle w:val="EnlacedeInternet"/>
                </w:rPr>
                <w:t>http://www.diphuelva.es/contenidos/Proteccion-de-Datos/</w:t>
              </w:r>
            </w:hyperlink>
            <w:r>
              <w:rPr>
                <w:rStyle w:val="EnlacedeInternet"/>
                <w:rFonts w:eastAsia="Arial" w:cs="Arial" w:ascii="Arial" w:hAnsi="Arial"/>
                <w:i w:val="false"/>
                <w:iCs w:val="false"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  <w:r>
              <w:rPr>
                <w:rFonts w:eastAsia="Arial" w:cs="Arial" w:ascii="Arial" w:hAnsi="Arial"/>
                <w:i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57"/>
              <w:ind w:left="0" w:right="0" w:hanging="0"/>
              <w:jc w:val="both"/>
              <w:rPr/>
            </w:pPr>
            <w:bookmarkStart w:id="10" w:name="__DdeLink__651_20453902291122"/>
            <w:bookmarkStart w:id="11" w:name="__DdeLink__102_3532706659122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El contacto del Delegado de Protección de Datos de la Diputación de Huelva es</w:t>
            </w:r>
            <w:bookmarkEnd w:id="11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  <w:hyperlink r:id="rId5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dpd.dph@diphuelva.org</w:t>
              </w:r>
            </w:hyperlink>
            <w:bookmarkEnd w:id="10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</w:p>
        </w:tc>
      </w:tr>
    </w:tbl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  <w:t>SRA PRESIDENTA DE LA DIPUTACIÓN PROVINCIAL DE HUELVA</w:t>
      </w:r>
    </w:p>
    <w:sectPr>
      <w:headerReference w:type="default" r:id="rId6"/>
      <w:footerReference w:type="default" r:id="rId7"/>
      <w:type w:val="nextPage"/>
      <w:pgSz w:w="11906" w:h="16838"/>
      <w:pgMar w:left="1134" w:right="1134" w:header="485" w:top="1500" w:footer="348" w:bottom="1378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Helvetica">
    <w:altName w:val="Arial"/>
    <w:charset w:val="01"/>
    <w:family w:val="swiss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default"/>
  </w:font>
  <w:font w:name="Tahoma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Consolas">
    <w:charset w:val="01"/>
    <w:family w:val="modern"/>
    <w:pitch w:val="default"/>
  </w:font>
  <w:font w:name="Cambria">
    <w:charset w:val="01"/>
    <w:family w:val="roman"/>
    <w:pitch w:val="variable"/>
  </w:font>
  <w:font w:name="Arial">
    <w:charset w:val="01"/>
    <w:family w:val="swiss"/>
    <w:pitch w:val="default"/>
  </w:font>
  <w:font w:name="Wingdings">
    <w:charset w:val="01"/>
    <w:family w:val="roman"/>
    <w:pitch w:val="default"/>
  </w:font>
  <w:font w:name="News Gothic MT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autoSpaceDE w:val="false"/>
      <w:spacing w:lineRule="exact" w:line="200" w:before="120" w:after="0"/>
      <w:ind w:left="-108" w:right="-556" w:hanging="0"/>
      <w:rPr/>
    </w:pPr>
    <w:r>
      <w:rPr>
        <w:rFonts w:eastAsia="Helvetica;Arial" w:cs="Helvetica;Arial"/>
        <w:b/>
        <w:bCs/>
        <w:color w:val="0478A8"/>
        <w:sz w:val="20"/>
        <w:szCs w:val="20"/>
        <w:lang w:val="es-ES"/>
      </w:rPr>
      <w:t xml:space="preserve"> </w:t>
    </w:r>
    <w:r>
      <w:rPr>
        <w:rFonts w:eastAsia="Times New Roman" w:cs="Helvetica;Arial"/>
        <w:b/>
        <w:bCs/>
        <w:color w:val="0478A8"/>
        <w:sz w:val="20"/>
        <w:szCs w:val="20"/>
        <w:lang w:val="es-ES"/>
      </w:rPr>
      <w:t>Diputación Provincial de Huelva</w:t>
    </w:r>
    <w:r>
      <w:rPr>
        <w:rFonts w:eastAsia="Times New Roman" w:cs="Helvetica;Arial"/>
        <w:color w:val="0478A8"/>
        <w:sz w:val="20"/>
        <w:szCs w:val="20"/>
        <w:lang w:val="es-ES"/>
      </w:rPr>
      <w:t xml:space="preserve"> |</w:t>
    </w:r>
    <w:r>
      <w:rPr>
        <w:rFonts w:eastAsia="Times New Roman" w:cs="Helvetica;Arial"/>
        <w:color w:val="0478A8"/>
        <w:position w:val="1"/>
        <w:sz w:val="20"/>
        <w:szCs w:val="20"/>
        <w:lang w:val="es-ES"/>
      </w:rPr>
      <w:t xml:space="preserve"> Presidencia </w:t>
    </w:r>
    <w:r>
      <w:rPr>
        <w:rFonts w:eastAsia="Helvetica;Arial" w:cs="Helvetica;Arial"/>
        <w:color w:val="8C8A89"/>
        <w:position w:val="1"/>
        <w:sz w:val="16"/>
        <w:szCs w:val="16"/>
        <w:lang w:val="es-ES"/>
      </w:rPr>
      <w:t xml:space="preserve"> </w:t>
    </w:r>
  </w:p>
  <w:p>
    <w:pPr>
      <w:pStyle w:val="Normal"/>
      <w:widowControl w:val="false"/>
      <w:autoSpaceDE w:val="false"/>
      <w:spacing w:lineRule="exact" w:line="200" w:before="0" w:after="0"/>
      <w:ind w:left="-108" w:right="-556" w:hanging="0"/>
      <w:rPr/>
    </w:pPr>
    <w:r>
      <w:rPr>
        <w:rFonts w:eastAsia="Helvetica;Arial" w:cs="Helvetica;Arial"/>
        <w:color w:val="8C8A89"/>
        <w:sz w:val="16"/>
        <w:szCs w:val="16"/>
        <w:lang w:val="es-ES"/>
      </w:rPr>
      <w:t xml:space="preserve"> </w:t>
    </w:r>
    <w:r>
      <w:rPr>
        <w:rFonts w:eastAsia="Times New Roman" w:cs="Helvetica;Arial"/>
        <w:color w:val="8C8A89"/>
        <w:sz w:val="16"/>
        <w:szCs w:val="16"/>
        <w:lang w:val="es-ES"/>
      </w:rPr>
      <w:t>Avda. Martín Alonso Pinzón 9</w:t>
    </w:r>
    <w:r>
      <w:rPr>
        <w:rFonts w:eastAsia="Times New Roman" w:cs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/>
        <w:color w:val="8C8A89"/>
        <w:sz w:val="16"/>
        <w:szCs w:val="16"/>
        <w:lang w:val="es-ES"/>
      </w:rPr>
      <w:t xml:space="preserve"> 21003 Huelva</w:t>
    </w:r>
    <w:r>
      <w:rPr>
        <w:rFonts w:eastAsia="Times New Roman" w:cs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/>
        <w:color w:val="0478A8"/>
        <w:sz w:val="16"/>
        <w:szCs w:val="16"/>
        <w:lang w:val="es-ES"/>
      </w:rPr>
      <w:t xml:space="preserve"> </w:t>
    </w:r>
    <w:r>
      <w:rPr>
        <w:rFonts w:eastAsia="Times New Roman" w:cs="Helvetica;Arial"/>
        <w:color w:val="8C8A89"/>
        <w:sz w:val="16"/>
        <w:szCs w:val="16"/>
        <w:lang w:val="es-ES"/>
      </w:rPr>
      <w:t>T 959 494 628</w:t>
    </w:r>
    <w:r>
      <w:rPr>
        <w:rFonts w:eastAsia="Times New Roman" w:cs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/>
        <w:color w:val="0478A8"/>
        <w:position w:val="1"/>
        <w:sz w:val="16"/>
        <w:szCs w:val="16"/>
        <w:lang w:val="es-ES"/>
      </w:rPr>
      <w:t xml:space="preserve">| </w:t>
    </w:r>
    <w:hyperlink r:id="rId1">
      <w:r>
        <w:rPr>
          <w:rStyle w:val="EnlacedeInternet"/>
          <w:rFonts w:eastAsia="Times New Roman" w:cs="Helvetica;Arial"/>
          <w:sz w:val="16"/>
          <w:szCs w:val="16"/>
          <w:lang w:val="es-ES"/>
        </w:rPr>
        <w:t>www.diphuelva.es</w:t>
      </w:r>
    </w:hyperlink>
    <w:r>
      <w:rPr>
        <w:rStyle w:val="EnlacedeInternet"/>
        <w:rFonts w:eastAsia="Times New Roman" w:cs="Helvetica;Arial"/>
        <w:color w:val="000000"/>
        <w:sz w:val="16"/>
        <w:szCs w:val="16"/>
        <w:u w:val="none"/>
        <w:lang w:val="es-ES"/>
      </w:rPr>
      <w:t xml:space="preserve"> </w:t>
      <w:tab/>
      <w:tab/>
      <w:t xml:space="preserve">Página </w:t>
    </w:r>
    <w:r>
      <w:rPr>
        <w:rStyle w:val="EnlacedeInternet"/>
        <w:rFonts w:eastAsia="Times New Roman" w:cs="Helvetica;Arial"/>
        <w:color w:val="000000"/>
        <w:sz w:val="16"/>
        <w:szCs w:val="16"/>
        <w:u w:val="none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autoSpaceDE w:val="false"/>
      <w:spacing w:lineRule="exact" w:line="200" w:before="120" w:after="0"/>
      <w:ind w:left="-108" w:right="-556" w:hanging="0"/>
      <w:jc w:val="both"/>
      <w:rPr/>
    </w:pPr>
    <w:r>
      <w:rPr/>
      <w:drawing>
        <wp:inline distT="0" distB="0" distL="0" distR="0">
          <wp:extent cx="148590" cy="148590"/>
          <wp:effectExtent l="0" t="0" r="0" b="0"/>
          <wp:docPr id="2" name="Imagen2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8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4986" t="-4986" r="-4986" b="-4986"/>
                  <a:stretch>
                    <a:fillRect/>
                  </a:stretch>
                </pic:blipFill>
                <pic:spPr bwMode="auto">
                  <a:xfrm>
                    <a:off x="0" y="0"/>
                    <a:ext cx="148590" cy="148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48590" cy="148590"/>
          <wp:effectExtent l="0" t="0" r="0" b="0"/>
          <wp:docPr id="3" name="Imagen2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9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4986" t="-4986" r="-4986" b="-4986"/>
                  <a:stretch>
                    <a:fillRect/>
                  </a:stretch>
                </pic:blipFill>
                <pic:spPr bwMode="auto">
                  <a:xfrm>
                    <a:off x="0" y="0"/>
                    <a:ext cx="148590" cy="148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48590" cy="148590"/>
          <wp:effectExtent l="0" t="0" r="0" b="0"/>
          <wp:docPr id="4" name="Imagen3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0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4986" t="-4986" r="-4986" b="-4986"/>
                  <a:stretch>
                    <a:fillRect/>
                  </a:stretch>
                </pic:blipFill>
                <pic:spPr bwMode="auto">
                  <a:xfrm>
                    <a:off x="0" y="0"/>
                    <a:ext cx="148590" cy="148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48590" cy="148590"/>
          <wp:effectExtent l="0" t="0" r="0" b="0"/>
          <wp:docPr id="5" name="Imagen3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3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4986" t="-4986" r="-4986" b="-4986"/>
                  <a:stretch>
                    <a:fillRect/>
                  </a:stretch>
                </pic:blipFill>
                <pic:spPr bwMode="auto">
                  <a:xfrm>
                    <a:off x="0" y="0"/>
                    <a:ext cx="148590" cy="148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widowControl w:val="false"/>
      <w:ind w:left="-108" w:right="-556" w:hanging="0"/>
      <w:rPr/>
    </w:pPr>
    <w:r>
      <w:rPr>
        <w:rFonts w:eastAsia="Times New Roman" w:cs="Helvetica;Arial" w:ascii="Helvetica;Arial" w:hAnsi="Helvetica;Arial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</w:rPr>
      <w:t xml:space="preserve"> </w:t>
    </w:r>
  </w:p>
  <w:p>
    <w:pPr>
      <w:pStyle w:val="Standard"/>
      <w:widowControl w:val="false"/>
      <w:tabs>
        <w:tab w:val="right" w:pos="9625" w:leader="none"/>
      </w:tabs>
      <w:suppressAutoHyphens w:val="true"/>
      <w:bidi w:val="0"/>
      <w:spacing w:lineRule="exact" w:line="200"/>
      <w:ind w:left="-113" w:right="-113" w:hanging="0"/>
      <w:textAlignment w:val="baseline"/>
      <w:rPr/>
    </w:pPr>
    <w:r>
      <w:rPr>
        <w:rFonts w:eastAsia="Helvetica;Arial" w:cs="Helvetica;Arial" w:ascii="Helvetica;Arial" w:hAnsi="Helvetica;Arial"/>
        <w:color w:val="8C8A89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</w:rPr>
      <w:t>Avda. Martín Alonso Pinzón 9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</w:rPr>
      <w:t>|</w:t>
    </w:r>
    <w:r>
      <w:rPr>
        <w:rFonts w:eastAsia="Times New Roman" w:cs="Helvetica;Arial" w:ascii="Helvetica;Arial" w:hAnsi="Helvetica;Arial"/>
        <w:color w:val="8C8A89"/>
        <w:sz w:val="16"/>
        <w:szCs w:val="16"/>
      </w:rPr>
      <w:t xml:space="preserve"> 21003 Huelva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</w:rPr>
      <w:t>|</w:t>
    </w:r>
    <w:r>
      <w:rPr>
        <w:rFonts w:eastAsia="Times New Roman" w:cs="Helvetica;Arial" w:ascii="Helvetica;Arial" w:hAnsi="Helvetica;Arial"/>
        <w:color w:val="0478A8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</w:rPr>
      <w:t>T 959 494 600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;Arial" w:ascii="Helvetica;Arial" w:hAnsi="Helvetica;Arial"/>
          <w:sz w:val="16"/>
          <w:szCs w:val="16"/>
        </w:rPr>
        <w:t>www.diphuelva.es</w:t>
      </w:r>
    </w:hyperlink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</w:rPr>
      <w:t xml:space="preserve"> </w:t>
      <w:tab/>
      <w:t xml:space="preserve">Página </w:t>
    </w:r>
    <w:r>
      <w:rPr>
        <w:rStyle w:val="EnlacedeInternet"/>
        <w:rFonts w:eastAsia="Times New Roman" w:cs="Helvetica;Arial"/>
        <w:color w:val="000000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Standard"/>
      <w:widowControl w:val="false"/>
      <w:spacing w:lineRule="exact" w:line="200" w:before="120" w:after="0"/>
      <w:ind w:left="-108" w:right="-556" w:hanging="0"/>
      <w:rPr/>
    </w:pPr>
    <w:r>
      <w:rPr>
        <w:lang w:val="es-ES" w:eastAsia="es-ES" w:bidi="ar-SA"/>
      </w:rPr>
      <w:drawing>
        <wp:inline distT="0" distB="0" distL="0" distR="0">
          <wp:extent cx="146685" cy="146685"/>
          <wp:effectExtent l="0" t="0" r="0" b="0"/>
          <wp:docPr id="7" name="Imagen1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17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9186" t="-9186" r="-9186" b="-9186"/>
                  <a:stretch>
                    <a:fillRect/>
                  </a:stretch>
                </pic:blipFill>
                <pic:spPr bwMode="auto">
                  <a:xfrm>
                    <a:off x="0" y="0"/>
                    <a:ext cx="146685" cy="146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46685" cy="146685"/>
          <wp:effectExtent l="0" t="0" r="0" b="0"/>
          <wp:docPr id="8" name="Imagen1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18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9186" t="-9186" r="-9186" b="-9186"/>
                  <a:stretch>
                    <a:fillRect/>
                  </a:stretch>
                </pic:blipFill>
                <pic:spPr bwMode="auto">
                  <a:xfrm>
                    <a:off x="0" y="0"/>
                    <a:ext cx="146685" cy="146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46685" cy="146685"/>
          <wp:effectExtent l="0" t="0" r="0" b="0"/>
          <wp:docPr id="9" name="Imagen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19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9186" t="-9186" r="-9186" b="-9186"/>
                  <a:stretch>
                    <a:fillRect/>
                  </a:stretch>
                </pic:blipFill>
                <pic:spPr bwMode="auto">
                  <a:xfrm>
                    <a:off x="0" y="0"/>
                    <a:ext cx="146685" cy="146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46685" cy="146685"/>
          <wp:effectExtent l="0" t="0" r="0" b="0"/>
          <wp:docPr id="10" name="Imagen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20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9186" t="-9186" r="-9186" b="-9186"/>
                  <a:stretch>
                    <a:fillRect/>
                  </a:stretch>
                </pic:blipFill>
                <pic:spPr bwMode="auto">
                  <a:xfrm>
                    <a:off x="0" y="0"/>
                    <a:ext cx="146685" cy="146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/>
      <w:ind w:left="0" w:right="-567" w:hanging="0"/>
      <w:jc w:val="right"/>
      <w:rPr>
        <w:rFonts w:ascii="News Gothic MT" w:hAnsi="News Gothic MT" w:cs="News Gothic MT"/>
        <w:b/>
        <w:b/>
        <w:i w:val="false"/>
        <w:i w:val="false"/>
        <w:color w:val="000000"/>
        <w:kern w:val="2"/>
        <w:sz w:val="16"/>
      </w:rPr>
    </w:pPr>
    <w:r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-706755</wp:posOffset>
          </wp:positionH>
          <wp:positionV relativeFrom="paragraph">
            <wp:posOffset>-230505</wp:posOffset>
          </wp:positionV>
          <wp:extent cx="1877060" cy="640715"/>
          <wp:effectExtent l="0" t="0" r="0" b="0"/>
          <wp:wrapSquare wrapText="largest"/>
          <wp:docPr id="1" name="Imagen2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144" r="-48" b="-144"/>
                  <a:stretch>
                    <a:fillRect/>
                  </a:stretch>
                </pic:blipFill>
                <pic:spPr bwMode="auto">
                  <a:xfrm>
                    <a:off x="0" y="0"/>
                    <a:ext cx="1877060" cy="640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News Gothic MT" w:ascii="News Gothic MT" w:hAnsi="News Gothic MT"/>
        <w:b/>
        <w:i w:val="false"/>
        <w:color w:val="000000"/>
        <w:kern w:val="2"/>
        <w:sz w:val="16"/>
      </w:rPr>
      <w:t>C</w:t>
    </w:r>
    <w:r>
      <w:rPr>
        <w:rFonts w:cs="News Gothic MT" w:ascii="News Gothic MT" w:hAnsi="News Gothic MT"/>
        <w:b/>
        <w:i w:val="false"/>
        <w:color w:val="000000"/>
        <w:kern w:val="2"/>
        <w:sz w:val="16"/>
      </w:rPr>
      <w:t xml:space="preserve">ONVOCATORIA DE AYUDAS </w:t>
    </w:r>
  </w:p>
  <w:p>
    <w:pPr>
      <w:pStyle w:val="Normal"/>
      <w:widowControl/>
      <w:suppressAutoHyphens w:val="true"/>
      <w:bidi w:val="0"/>
      <w:spacing w:lineRule="auto"/>
      <w:ind w:left="0" w:right="-567" w:hanging="0"/>
      <w:jc w:val="right"/>
      <w:rPr>
        <w:rFonts w:ascii="News Gothic MT" w:hAnsi="News Gothic MT" w:cs="News Gothic MT"/>
        <w:b/>
        <w:b/>
        <w:i w:val="false"/>
        <w:i w:val="false"/>
        <w:color w:val="000000"/>
        <w:kern w:val="2"/>
        <w:sz w:val="16"/>
      </w:rPr>
    </w:pPr>
    <w:r>
      <w:rPr>
        <w:rFonts w:cs="News Gothic MT" w:ascii="News Gothic MT" w:hAnsi="News Gothic MT"/>
        <w:b/>
        <w:i w:val="false"/>
        <w:color w:val="000000"/>
        <w:kern w:val="2"/>
        <w:sz w:val="16"/>
      </w:rPr>
      <w:t>INVERSIONES RUTA DEL VINO</w:t>
    </w:r>
  </w:p>
  <w:p>
    <w:pPr>
      <w:pStyle w:val="Cabecera"/>
      <w:widowControl/>
      <w:suppressAutoHyphens w:val="true"/>
      <w:bidi w:val="0"/>
      <w:spacing w:lineRule="auto"/>
      <w:ind w:left="0" w:right="-567" w:hanging="0"/>
      <w:jc w:val="right"/>
      <w:rPr>
        <w:rFonts w:ascii="News Gothic MT" w:hAnsi="News Gothic MT" w:cs="News Gothic MT"/>
        <w:b/>
        <w:b/>
        <w:bCs/>
        <w:i w:val="false"/>
        <w:i w:val="false"/>
        <w:color w:val="000000"/>
        <w:kern w:val="2"/>
        <w:sz w:val="16"/>
        <w:lang w:val="es-ES" w:eastAsia="es-ES"/>
      </w:rPr>
    </w:pPr>
    <w:r>
      <w:rPr>
        <w:rFonts w:cs="News Gothic MT" w:ascii="News Gothic MT" w:hAnsi="News Gothic MT"/>
        <w:b/>
        <w:bCs/>
        <w:i w:val="false"/>
        <w:color w:val="000000"/>
        <w:kern w:val="2"/>
        <w:sz w:val="16"/>
        <w:lang w:val="es-ES" w:eastAsia="es-ES"/>
      </w:rPr>
      <w:tab/>
      <w:tab/>
      <w:t>DEL CONDADO DE HUELVA 2020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spacing w:lineRule="auto"/>
      <w:ind w:left="0" w:right="0" w:hanging="0"/>
      <w:jc w:val="right"/>
      <w:rPr>
        <w:rFonts w:ascii="News Gothic MT" w:hAnsi="News Gothic MT" w:cs="News Gothic MT"/>
        <w:b/>
        <w:b/>
        <w:i w:val="false"/>
        <w:i w:val="false"/>
        <w:color w:val="000000"/>
        <w:kern w:val="2"/>
        <w:sz w:val="16"/>
      </w:rPr>
    </w:pPr>
    <w:r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-496570</wp:posOffset>
          </wp:positionH>
          <wp:positionV relativeFrom="paragraph">
            <wp:posOffset>-132715</wp:posOffset>
          </wp:positionV>
          <wp:extent cx="1877060" cy="640715"/>
          <wp:effectExtent l="0" t="0" r="0" b="0"/>
          <wp:wrapSquare wrapText="largest"/>
          <wp:docPr id="6" name="Imagen2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2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144" r="-48" b="-144"/>
                  <a:stretch>
                    <a:fillRect/>
                  </a:stretch>
                </pic:blipFill>
                <pic:spPr bwMode="auto">
                  <a:xfrm>
                    <a:off x="0" y="0"/>
                    <a:ext cx="1877060" cy="640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News Gothic MT" w:ascii="News Gothic MT" w:hAnsi="News Gothic MT"/>
        <w:b/>
        <w:i w:val="false"/>
        <w:color w:val="000000"/>
        <w:kern w:val="2"/>
        <w:sz w:val="16"/>
      </w:rPr>
      <w:t>C</w:t>
    </w:r>
    <w:r>
      <w:rPr>
        <w:rFonts w:cs="News Gothic MT" w:ascii="News Gothic MT" w:hAnsi="News Gothic MT"/>
        <w:b/>
        <w:i w:val="false"/>
        <w:color w:val="000000"/>
        <w:kern w:val="2"/>
        <w:sz w:val="16"/>
      </w:rPr>
      <w:t>ONVOCATORIA DE AYUDAS</w:t>
    </w:r>
  </w:p>
  <w:p>
    <w:pPr>
      <w:pStyle w:val="Normal"/>
      <w:bidi w:val="0"/>
      <w:spacing w:lineRule="auto"/>
      <w:ind w:left="0" w:right="0" w:hanging="0"/>
      <w:jc w:val="right"/>
      <w:rPr>
        <w:rFonts w:ascii="News Gothic MT" w:hAnsi="News Gothic MT" w:cs="News Gothic MT"/>
        <w:b/>
        <w:b/>
        <w:i w:val="false"/>
        <w:i w:val="false"/>
        <w:color w:val="000000"/>
        <w:kern w:val="2"/>
        <w:sz w:val="16"/>
      </w:rPr>
    </w:pPr>
    <w:r>
      <w:rPr>
        <w:rFonts w:cs="News Gothic MT" w:ascii="News Gothic MT" w:hAnsi="News Gothic MT"/>
        <w:b/>
        <w:i w:val="false"/>
        <w:color w:val="000000"/>
        <w:kern w:val="2"/>
        <w:sz w:val="16"/>
      </w:rPr>
      <w:t>INVERSIONES RUTA DEL VINO</w:t>
    </w:r>
  </w:p>
  <w:p>
    <w:pPr>
      <w:pStyle w:val="Normal"/>
      <w:bidi w:val="0"/>
      <w:spacing w:lineRule="auto"/>
      <w:ind w:left="0" w:right="0" w:hanging="0"/>
      <w:jc w:val="right"/>
      <w:rPr>
        <w:rFonts w:ascii="News Gothic MT" w:hAnsi="News Gothic MT" w:cs="News Gothic MT"/>
        <w:b/>
        <w:b/>
        <w:i w:val="false"/>
        <w:i w:val="false"/>
        <w:color w:val="000000"/>
        <w:kern w:val="2"/>
        <w:sz w:val="16"/>
      </w:rPr>
    </w:pPr>
    <w:r>
      <w:rPr>
        <w:rFonts w:cs="News Gothic MT" w:ascii="News Gothic MT" w:hAnsi="News Gothic MT"/>
        <w:b/>
        <w:i w:val="false"/>
        <w:color w:val="000000"/>
        <w:kern w:val="2"/>
        <w:sz w:val="16"/>
      </w:rPr>
      <w:t>DEL CONDADO DE HUELVA 2020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tulo3"/>
      <w:numFmt w:val="none"/>
      <w:suff w:val="nothing"/>
      <w:lvlText w:val=""/>
      <w:lvlJc w:val="left"/>
      <w:pPr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65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Helvetica;Arial" w:hAnsi="Helvetica;Arial" w:eastAsia="MS Mincho;ＭＳ 明朝" w:cs="Helvetica;Arial"/>
      <w:color w:val="auto"/>
      <w:sz w:val="24"/>
      <w:szCs w:val="24"/>
      <w:lang w:val="es-ES" w:eastAsia="zh-CN" w:bidi="ar-SA"/>
    </w:rPr>
  </w:style>
  <w:style w:type="paragraph" w:styleId="Ttulo1">
    <w:name w:val="Heading 1"/>
    <w:basedOn w:val="Normal"/>
    <w:next w:val="Normal"/>
    <w:qFormat/>
    <w:pPr>
      <w:keepNext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3">
    <w:name w:val="Heading 3"/>
    <w:basedOn w:val="Ttulo"/>
    <w:next w:val="Cuerpodetexto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n" w:hAnsi="Liberation Serif;Times New Roman" w:eastAsia="Arial Unicode MS" w:cs="Mangal"/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WW8Num7z0">
    <w:name w:val="WW8Num7z0"/>
    <w:qFormat/>
    <w:rPr>
      <w:rFonts w:ascii="Symbol" w:hAnsi="Symbol" w:cs="OpenSymbol;Arial Unicode MS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character" w:styleId="WW8Num8z0">
    <w:name w:val="WW8Num8z0"/>
    <w:qFormat/>
    <w:rPr>
      <w:rFonts w:ascii="Symbol" w:hAnsi="Symbol" w:cs="OpenSymbol;Arial Unicode MS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9z0">
    <w:name w:val="WW8Num9z0"/>
    <w:qFormat/>
    <w:rPr>
      <w:rFonts w:ascii="Symbol" w:hAnsi="Symbol" w:cs="OpenSymbol;Arial Unicode M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10z0">
    <w:name w:val="WW8Num10z0"/>
    <w:qFormat/>
    <w:rPr>
      <w:b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rFonts w:ascii="Symbol" w:hAnsi="Symbol" w:cs="Symbol"/>
    </w:rPr>
  </w:style>
  <w:style w:type="character" w:styleId="WW8Num11z1">
    <w:name w:val="WW8Num11z1"/>
    <w:qFormat/>
    <w:rPr>
      <w:rFonts w:ascii="Arial" w:hAnsi="Arial" w:eastAsia="MS Mincho;ＭＳ 明朝" w:cs="Arial"/>
      <w:color w:val="CE181E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1z4">
    <w:name w:val="WW8Num11z4"/>
    <w:qFormat/>
    <w:rPr>
      <w:rFonts w:ascii="Courier New" w:hAnsi="Courier New" w:cs="Courier New"/>
    </w:rPr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>
      <w:rFonts w:ascii="Arial" w:hAnsi="Arial" w:eastAsia="MS Mincho;ＭＳ 明朝" w:cs="Arial"/>
    </w:rPr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/>
  </w:style>
  <w:style w:type="character" w:styleId="WW8Num17z1">
    <w:name w:val="WW8Num17z1"/>
    <w:qFormat/>
    <w:rPr>
      <w:color w:val="000000"/>
    </w:rPr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/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>
      <w:rFonts w:ascii="Symbol" w:hAnsi="Symbol" w:cs="Symbol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20z0">
    <w:name w:val="WW8Num20z0"/>
    <w:qFormat/>
    <w:rPr/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Fuentedeprrafopredeter">
    <w:name w:val="Fuente de párrafo predeter.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uentedeprrafopredeter1">
    <w:name w:val="Fuente de párrafo predeter.1"/>
    <w:qFormat/>
    <w:rPr/>
  </w:style>
  <w:style w:type="character" w:styleId="PiedepginaCar">
    <w:name w:val="Pie de página Car"/>
    <w:qFormat/>
    <w:rPr>
      <w:sz w:val="24"/>
      <w:szCs w:val="24"/>
      <w:lang w:val="es-ES" w:bidi="ar-SA"/>
    </w:rPr>
  </w:style>
  <w:style w:type="character" w:styleId="EnlacedeInternet">
    <w:name w:val="Enlace de Internet"/>
    <w:rPr>
      <w:color w:val="0000FF"/>
      <w:u w:val="single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character" w:styleId="Destaquemayor">
    <w:name w:val="Destaque mayor"/>
    <w:qFormat/>
    <w:rPr>
      <w:b/>
      <w:bCs/>
    </w:rPr>
  </w:style>
  <w:style w:type="character" w:styleId="TextodegloboCar">
    <w:name w:val="Texto de globo Car"/>
    <w:qFormat/>
    <w:rPr>
      <w:rFonts w:ascii="Tahoma" w:hAnsi="Tahoma" w:eastAsia="MS Mincho;ＭＳ 明朝" w:cs="Tahoma"/>
      <w:sz w:val="16"/>
      <w:szCs w:val="16"/>
      <w:lang w:val="es-ES" w:eastAsia="zh-CN"/>
    </w:rPr>
  </w:style>
  <w:style w:type="character" w:styleId="WWEnlacedeInternet">
    <w:name w:val="WW-Enlace de Internet"/>
    <w:qFormat/>
    <w:rPr>
      <w:color w:val="0000FF"/>
      <w:u w:val="single"/>
    </w:rPr>
  </w:style>
  <w:style w:type="character" w:styleId="Caracteresdenotaalpie">
    <w:name w:val="Caracteres de nota al pie"/>
    <w:qFormat/>
    <w:rPr>
      <w:vertAlign w:val="superscript"/>
    </w:rPr>
  </w:style>
  <w:style w:type="character" w:styleId="Muydestacado">
    <w:name w:val="Muy destacado"/>
    <w:qFormat/>
    <w:rPr>
      <w:b/>
      <w:bCs/>
    </w:rPr>
  </w:style>
  <w:style w:type="character" w:styleId="EnlacedeInternetvisitado">
    <w:name w:val="Enlace de Internet visitado"/>
    <w:rPr>
      <w:color w:val="800000"/>
      <w:u w:val="single"/>
      <w:lang w:val="zxx" w:eastAsia="zxx" w:bidi="zxx"/>
    </w:rPr>
  </w:style>
  <w:style w:type="character" w:styleId="Ancladenotaalpie">
    <w:name w:val="Ancla de nota al pie"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WWCaracteresdenotafinal">
    <w:name w:val="WW-Caracteres de nota final"/>
    <w:qFormat/>
    <w:rPr/>
  </w:style>
  <w:style w:type="character" w:styleId="Ninguno">
    <w:name w:val="Ninguno"/>
    <w:qFormat/>
    <w:rPr/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ascii="Helvetica;Arial" w:hAnsi="Helvetica;Arial" w:cs="Helvetica;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Helvetica;Arial"/>
    </w:rPr>
  </w:style>
  <w:style w:type="paragraph" w:styleId="Ttulo11">
    <w:name w:val="Título1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;Cambria Math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;Cambria Math"/>
      <w:i/>
      <w:iCs/>
      <w:sz w:val="24"/>
      <w:szCs w:val="24"/>
    </w:rPr>
  </w:style>
  <w:style w:type="paragraph" w:styleId="Encabezado1">
    <w:name w:val="Encabezado1"/>
    <w:basedOn w:val="Normal"/>
    <w:next w:val="Cuerpodetexto"/>
    <w:qFormat/>
    <w:pPr>
      <w:keepNext/>
      <w:spacing w:before="240" w:after="120"/>
    </w:pPr>
    <w:rPr>
      <w:rFonts w:ascii="Helvetica;Arial" w:hAnsi="Helvetica;Arial" w:eastAsia="Arial Unicode MS" w:cs="Arial Unicode MS"/>
      <w:sz w:val="28"/>
      <w:szCs w:val="28"/>
    </w:rPr>
  </w:style>
  <w:style w:type="paragraph" w:styleId="Pie">
    <w:name w:val="Pie"/>
    <w:basedOn w:val="Normal"/>
    <w:qFormat/>
    <w:pPr>
      <w:suppressLineNumbers/>
      <w:spacing w:before="120" w:after="120"/>
    </w:pPr>
    <w:rPr>
      <w:rFonts w:ascii="Helvetica;Arial" w:hAnsi="Helvetica;Arial" w:cs="Helvetica;Arial"/>
      <w:i/>
      <w:iCs/>
      <w:sz w:val="22"/>
      <w:szCs w:val="24"/>
    </w:rPr>
  </w:style>
  <w:style w:type="paragraph" w:styleId="Cabecera">
    <w:name w:val="Head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>
      <w:rFonts w:ascii="Times New Roman" w:hAnsi="Times New Roman" w:eastAsia="Times New Roman" w:cs="Times New Roman"/>
      <w:lang w:val="es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widowControl w:val="false"/>
      <w:spacing w:before="280" w:after="280"/>
    </w:pPr>
    <w:rPr>
      <w:rFonts w:ascii="Times New Roman" w:hAnsi="Times New Roman" w:eastAsia="Times New Roman" w:cs="Times New Roman"/>
      <w:lang w:val="es-ES"/>
    </w:rPr>
  </w:style>
  <w:style w:type="paragraph" w:styleId="Textopreformateado">
    <w:name w:val="Texto preformateado"/>
    <w:basedOn w:val="Normal"/>
    <w:qFormat/>
    <w:pPr>
      <w:widowControl w:val="false"/>
    </w:pPr>
    <w:rPr>
      <w:rFonts w:ascii="Consolas" w:hAnsi="Consolas" w:eastAsia="Arial Unicode MS" w:cs="Droid Sans Devanagari;Times New Roman"/>
      <w:sz w:val="20"/>
      <w:szCs w:val="20"/>
      <w:lang w:val="es-ES" w:bidi="hi-IN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;Cambria Math"/>
      <w:color w:val="auto"/>
      <w:kern w:val="2"/>
      <w:sz w:val="24"/>
      <w:szCs w:val="24"/>
      <w:lang w:val="es-ES" w:eastAsia="zh-CN" w:bidi="hi-IN"/>
    </w:rPr>
  </w:style>
  <w:style w:type="paragraph" w:styleId="Contenidodelmarco">
    <w:name w:val="Contenido del marco"/>
    <w:basedOn w:val="Normal"/>
    <w:qFormat/>
    <w:pPr/>
    <w:rPr/>
  </w:style>
  <w:style w:type="paragraph" w:styleId="PreformattedText">
    <w:name w:val="Preformatted Text"/>
    <w:basedOn w:val="Standard"/>
    <w:qFormat/>
    <w:pPr>
      <w:widowControl w:val="false"/>
      <w:suppressAutoHyphens w:val="true"/>
      <w:spacing w:before="0" w:after="0"/>
    </w:pPr>
    <w:rPr>
      <w:rFonts w:ascii="Consolas" w:hAnsi="Consolas" w:eastAsia="Arial Unicode MS" w:cs="Droid Sans Devanagari"/>
      <w:sz w:val="20"/>
      <w:szCs w:val="20"/>
      <w:lang w:eastAsia="zh-CN" w:bidi="hi-IN"/>
    </w:rPr>
  </w:style>
  <w:style w:type="paragraph" w:styleId="Textbody">
    <w:name w:val="Text body"/>
    <w:basedOn w:val="Standard"/>
    <w:qFormat/>
    <w:pPr>
      <w:spacing w:lineRule="auto" w:line="288" w:before="0" w:after="140"/>
    </w:pPr>
    <w:rPr/>
  </w:style>
  <w:style w:type="paragraph" w:styleId="Notaalpie">
    <w:name w:val="Footnote Text"/>
    <w:basedOn w:val="Normal"/>
    <w:pPr>
      <w:suppressLineNumbers/>
      <w:ind w:left="339" w:right="0" w:hanging="339"/>
    </w:pPr>
    <w:rPr>
      <w:sz w:val="20"/>
      <w:szCs w:val="20"/>
    </w:rPr>
  </w:style>
  <w:style w:type="paragraph" w:styleId="ListParagraph">
    <w:name w:val="List Paragraph"/>
    <w:basedOn w:val="Normal"/>
    <w:qFormat/>
    <w:pPr>
      <w:spacing w:before="0" w:after="120"/>
      <w:ind w:left="720" w:right="0" w:hanging="0"/>
      <w:contextualSpacing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http://www.diphuelva.es/contenidos/Proteccion-de-Datos/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eader" Target="header2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2.wmf"/><Relationship Id="rId3" Type="http://schemas.openxmlformats.org/officeDocument/2006/relationships/image" Target="media/image3.wmf"/><Relationship Id="rId4" Type="http://schemas.openxmlformats.org/officeDocument/2006/relationships/image" Target="media/image4.wmf"/><Relationship Id="rId5" Type="http://schemas.openxmlformats.org/officeDocument/2006/relationships/image" Target="media/image5.wmf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7.wmf"/><Relationship Id="rId3" Type="http://schemas.openxmlformats.org/officeDocument/2006/relationships/image" Target="media/image8.wmf"/><Relationship Id="rId4" Type="http://schemas.openxmlformats.org/officeDocument/2006/relationships/image" Target="media/image9.wmf"/><Relationship Id="rId5" Type="http://schemas.openxmlformats.org/officeDocument/2006/relationships/image" Target="media/image10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6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635</TotalTime>
  <Application>LibreOffice/5.4.1.2$Linux_X86_64 LibreOffice_project/ea7cb86e6eeb2bf3a5af73a8f7777ac570321527</Application>
  <Pages>2</Pages>
  <Words>717</Words>
  <Characters>3909</Characters>
  <CharactersWithSpaces>4645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2019-03-25T19:47:00Z</dcterms:created>
  <dc:creator>Angeles Cárdenas Ferrándiz</dc:creator>
  <dc:description/>
  <dc:language>es-ES</dc:language>
  <cp:lastModifiedBy/>
  <cp:lastPrinted>2019-04-03T08:47:00Z</cp:lastPrinted>
  <dcterms:modified xsi:type="dcterms:W3CDTF">2020-12-17T13:45:32Z</dcterms:modified>
  <cp:revision>150</cp:revision>
  <dc:subject/>
  <dc:title/>
</cp:coreProperties>
</file>