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332" w:rsidRDefault="003B1332">
      <w:pPr>
        <w:spacing w:line="276" w:lineRule="auto"/>
        <w:ind w:firstLine="708"/>
        <w:rPr>
          <w:rFonts w:cs="Arial"/>
          <w:szCs w:val="22"/>
        </w:rPr>
      </w:pPr>
    </w:p>
    <w:p w:rsidR="003B1332" w:rsidRDefault="00C90EF7">
      <w:pPr>
        <w:spacing w:line="276" w:lineRule="auto"/>
        <w:jc w:val="center"/>
        <w:rPr>
          <w:rFonts w:cs="Arial"/>
          <w:b/>
          <w:i/>
          <w:szCs w:val="22"/>
          <w:u w:val="single"/>
        </w:rPr>
      </w:pPr>
      <w:r>
        <w:rPr>
          <w:rFonts w:cs="Arial"/>
          <w:b/>
          <w:i/>
          <w:szCs w:val="22"/>
          <w:u w:val="single"/>
        </w:rPr>
        <w:t>CONVOCATORIA PARA LA CONCESIÓN DE AYUDAS ECONÓMICAS PARA LA SUSTITUCIÓN DE CARPINTERÍA EXTERIOR RECAYENTE A VÍA PÚBLICA EN  INMUEBLES EN EL CASCO URBANO DE CHELVA, AHILLAS Y VILLAR DE TEJAS</w:t>
      </w:r>
    </w:p>
    <w:p w:rsidR="003B1332" w:rsidRDefault="003B1332">
      <w:pPr>
        <w:spacing w:line="276" w:lineRule="auto"/>
        <w:ind w:left="709"/>
        <w:rPr>
          <w:rFonts w:cs="Arial"/>
          <w:b/>
          <w:szCs w:val="22"/>
          <w:shd w:val="clear" w:color="auto" w:fill="FFFFFF"/>
        </w:rPr>
      </w:pPr>
    </w:p>
    <w:p w:rsidR="003B1332" w:rsidRDefault="00C90EF7">
      <w:pPr>
        <w:pStyle w:val="Textoindependiente"/>
      </w:pPr>
      <w:r>
        <w:rPr>
          <w:rFonts w:cs="Arial"/>
          <w:b/>
          <w:szCs w:val="22"/>
        </w:rPr>
        <w:t xml:space="preserve">1. </w:t>
      </w:r>
      <w:r>
        <w:rPr>
          <w:rFonts w:cs="Arial"/>
          <w:b/>
          <w:szCs w:val="22"/>
          <w:u w:val="single"/>
        </w:rPr>
        <w:t>Bases Reguladoras</w:t>
      </w:r>
    </w:p>
    <w:p w:rsidR="003B1332" w:rsidRDefault="00C90EF7">
      <w:pPr>
        <w:pStyle w:val="Textoindependiente"/>
      </w:pPr>
      <w:r>
        <w:rPr>
          <w:rFonts w:cs="Arial"/>
          <w:szCs w:val="22"/>
        </w:rPr>
        <w:t> </w:t>
      </w:r>
      <w:r>
        <w:rPr>
          <w:rFonts w:cs="Arial"/>
          <w:szCs w:val="22"/>
        </w:rPr>
        <w:tab/>
        <w:t xml:space="preserve">Las bases reguladoras de la concesión de estas subvenciones están contenidas en la  Ordenanza municipal reguladora de las bases específicas reguladoras para la concesión de ayudas económicas para la sustitución de carpintería exterior recayente a vía pública en inmuebles del casco urbano de Chelva, Ahillas y Villar de Tejas, aprobada en fecha 29 de mayo de 2020 y publicada en el </w:t>
      </w:r>
      <w:r>
        <w:rPr>
          <w:rFonts w:cs="Arial"/>
          <w:i/>
          <w:szCs w:val="22"/>
        </w:rPr>
        <w:t>Boletín Oficial de la Provincia</w:t>
      </w:r>
      <w:r>
        <w:rPr>
          <w:rFonts w:cs="Arial"/>
          <w:szCs w:val="22"/>
        </w:rPr>
        <w:t xml:space="preserve"> n</w:t>
      </w:r>
      <w:proofErr w:type="gramStart"/>
      <w:r>
        <w:rPr>
          <w:rFonts w:cs="Arial"/>
          <w:szCs w:val="22"/>
        </w:rPr>
        <w:t>.º</w:t>
      </w:r>
      <w:proofErr w:type="gramEnd"/>
      <w:r>
        <w:rPr>
          <w:rFonts w:cs="Arial"/>
          <w:szCs w:val="22"/>
        </w:rPr>
        <w:t xml:space="preserve"> 147 de fecha 3 de agosto de 2020.</w:t>
      </w:r>
    </w:p>
    <w:p w:rsidR="003B1332" w:rsidRDefault="00C90EF7">
      <w:pPr>
        <w:pStyle w:val="Textoindependiente"/>
        <w:rPr>
          <w:rFonts w:cs="Arial"/>
          <w:szCs w:val="22"/>
          <w:highlight w:val="white"/>
        </w:rPr>
      </w:pPr>
      <w:r>
        <w:rPr>
          <w:rFonts w:cs="Arial"/>
          <w:szCs w:val="22"/>
        </w:rPr>
        <w:t> </w:t>
      </w:r>
      <w:r>
        <w:rPr>
          <w:rFonts w:cs="Arial"/>
          <w:szCs w:val="22"/>
        </w:rPr>
        <w:tab/>
        <w:t>El procedimiento para la concesión de estas subvenciones será en régimen </w:t>
      </w:r>
      <w:r>
        <w:rPr>
          <w:rFonts w:cs="Arial"/>
          <w:szCs w:val="22"/>
          <w:shd w:val="clear" w:color="auto" w:fill="FFFFFF"/>
        </w:rPr>
        <w:t xml:space="preserve">de concesión directa, dado que las ayudas reguladas se establecen, siempre que exista disponibilidad presupuestaria, como un derecho del/la peticionario/a que reúna las condiciones para su concesión, es decir, no concurre con ningún otro para obtenerlas, ya que por el mero hecho de cumplir las condiciones y los requisitos exigidos, se deberá conceder la subvención, dentro del límite global de disponibilidad presupuestaria anual, resultando de aplicación lo previsto en el artículo 22.2.c) de la Ley 38/2003, de 17 de noviembre, </w:t>
      </w:r>
    </w:p>
    <w:p w:rsidR="003B1332" w:rsidRDefault="003B1332">
      <w:pPr>
        <w:pStyle w:val="Textoindependiente"/>
      </w:pPr>
    </w:p>
    <w:p w:rsidR="003B1332" w:rsidRDefault="00C90EF7">
      <w:pPr>
        <w:pStyle w:val="Textoindependiente"/>
      </w:pPr>
      <w:r>
        <w:rPr>
          <w:rFonts w:cs="Arial"/>
          <w:b/>
          <w:szCs w:val="22"/>
        </w:rPr>
        <w:t xml:space="preserve">2. </w:t>
      </w:r>
      <w:r>
        <w:rPr>
          <w:rFonts w:cs="Arial"/>
          <w:b/>
          <w:szCs w:val="22"/>
          <w:u w:val="single"/>
        </w:rPr>
        <w:t>Créditos Presupuestarios</w:t>
      </w:r>
    </w:p>
    <w:p w:rsidR="003B1332" w:rsidRDefault="00C90EF7">
      <w:pPr>
        <w:pStyle w:val="Textoindependiente"/>
      </w:pPr>
      <w:r>
        <w:rPr>
          <w:rFonts w:cs="Arial"/>
          <w:szCs w:val="22"/>
        </w:rPr>
        <w:t> </w:t>
      </w:r>
      <w:r>
        <w:rPr>
          <w:rFonts w:cs="Arial"/>
          <w:szCs w:val="22"/>
        </w:rPr>
        <w:tab/>
        <w:t>Los créditos presupuestarios a los que se imputa la subvención son los siguientes: 1522.48006 y la cuantía total máxima de las subvenciones convocadas es de 7.000 euros</w:t>
      </w:r>
      <w:r>
        <w:rPr>
          <w:rFonts w:cs="Arial"/>
          <w:i/>
          <w:szCs w:val="22"/>
        </w:rPr>
        <w:t>.</w:t>
      </w:r>
    </w:p>
    <w:p w:rsidR="003B1332" w:rsidRDefault="00C90EF7">
      <w:pPr>
        <w:pStyle w:val="Textoindependiente"/>
      </w:pPr>
      <w:r>
        <w:rPr>
          <w:rFonts w:cs="Arial"/>
          <w:szCs w:val="22"/>
        </w:rPr>
        <w:t> </w:t>
      </w:r>
    </w:p>
    <w:p w:rsidR="003B1332" w:rsidRDefault="00C90EF7">
      <w:pPr>
        <w:pStyle w:val="Textoindependiente"/>
        <w:rPr>
          <w:rFonts w:cs="Arial"/>
          <w:b/>
          <w:szCs w:val="22"/>
          <w:u w:val="single"/>
        </w:rPr>
      </w:pPr>
      <w:r>
        <w:rPr>
          <w:rFonts w:cs="Arial"/>
          <w:b/>
          <w:szCs w:val="22"/>
        </w:rPr>
        <w:t xml:space="preserve">3. </w:t>
      </w:r>
      <w:r>
        <w:rPr>
          <w:rFonts w:cs="Arial"/>
          <w:b/>
          <w:szCs w:val="22"/>
          <w:u w:val="single"/>
        </w:rPr>
        <w:t>Objeto, Condiciones y Finalidad de la Subvención</w:t>
      </w:r>
    </w:p>
    <w:p w:rsidR="003B1332" w:rsidRDefault="003B1332">
      <w:pPr>
        <w:pStyle w:val="Textoindependiente"/>
        <w:rPr>
          <w:rFonts w:cs="Arial"/>
          <w:b/>
          <w:szCs w:val="22"/>
          <w:u w:val="single"/>
        </w:rPr>
      </w:pPr>
    </w:p>
    <w:p w:rsidR="003B1332" w:rsidRDefault="00C90EF7">
      <w:pPr>
        <w:pStyle w:val="Textoindependiente"/>
      </w:pPr>
      <w:r>
        <w:rPr>
          <w:rFonts w:cs="Arial"/>
          <w:szCs w:val="22"/>
        </w:rPr>
        <w:tab/>
        <w:t>La presente convocatoria tiene por finalidad fomentar y regular las actuaciones de sustitución de carpinterías exteriores recayentes a la vía pública en inmuebles en el casco urbano de Chelva, Ahillas y Villar de Tejas</w:t>
      </w:r>
      <w:r>
        <w:rPr>
          <w:szCs w:val="22"/>
        </w:rPr>
        <w:t xml:space="preserve"> para mantener en buen estado de conservación las viviendas, alargando así la vida del patrimonio urbano, a la vez que se fomenta la economía del municipio.</w:t>
      </w:r>
    </w:p>
    <w:p w:rsidR="003B1332" w:rsidRDefault="003B1332">
      <w:pPr>
        <w:spacing w:line="276" w:lineRule="auto"/>
        <w:ind w:firstLine="708"/>
        <w:rPr>
          <w:rFonts w:cs="Arial"/>
          <w:szCs w:val="22"/>
        </w:rPr>
      </w:pPr>
    </w:p>
    <w:p w:rsidR="003B1332" w:rsidRDefault="003B1332">
      <w:pPr>
        <w:spacing w:line="276" w:lineRule="auto"/>
        <w:ind w:firstLine="708"/>
        <w:rPr>
          <w:rFonts w:cs="Arial"/>
          <w:szCs w:val="22"/>
        </w:rPr>
      </w:pPr>
    </w:p>
    <w:p w:rsidR="003B1332" w:rsidRDefault="00C90EF7">
      <w:pPr>
        <w:spacing w:line="276" w:lineRule="auto"/>
        <w:ind w:firstLine="708"/>
        <w:rPr>
          <w:rFonts w:cs="Arial"/>
          <w:szCs w:val="22"/>
        </w:rPr>
      </w:pPr>
      <w:r>
        <w:rPr>
          <w:rFonts w:cs="Arial"/>
          <w:szCs w:val="22"/>
        </w:rPr>
        <w:t>Se pueden acoger a esta convocatoria de subvenciones las actuaciones ejecutadas en el período comprendido entre el 01/01/2020 y la fecha en la que finalice el plazo de presentación de solicitudes establecida en esta convocatoria.</w:t>
      </w:r>
    </w:p>
    <w:p w:rsidR="003B1332" w:rsidRDefault="003B1332">
      <w:pPr>
        <w:spacing w:line="276" w:lineRule="auto"/>
        <w:ind w:firstLine="708"/>
        <w:rPr>
          <w:rFonts w:cs="Arial"/>
          <w:szCs w:val="22"/>
        </w:rPr>
      </w:pPr>
    </w:p>
    <w:p w:rsidR="003B1332" w:rsidRDefault="00C90EF7">
      <w:pPr>
        <w:spacing w:line="276" w:lineRule="auto"/>
        <w:ind w:firstLine="708"/>
        <w:rPr>
          <w:rFonts w:cs="Arial"/>
          <w:szCs w:val="22"/>
        </w:rPr>
      </w:pPr>
      <w:r>
        <w:rPr>
          <w:rFonts w:cs="Arial"/>
          <w:szCs w:val="22"/>
        </w:rPr>
        <w:t>La obtención de la subvención quedará sometida al cumplimiento de las siguientes condiciones:</w:t>
      </w:r>
    </w:p>
    <w:p w:rsidR="003B1332" w:rsidRDefault="003B1332">
      <w:pPr>
        <w:spacing w:line="276" w:lineRule="auto"/>
        <w:ind w:firstLine="708"/>
        <w:rPr>
          <w:rFonts w:cs="Arial"/>
          <w:szCs w:val="22"/>
        </w:rPr>
      </w:pPr>
    </w:p>
    <w:p w:rsidR="003B1332" w:rsidRDefault="00C90EF7">
      <w:pPr>
        <w:numPr>
          <w:ilvl w:val="0"/>
          <w:numId w:val="1"/>
        </w:numPr>
        <w:spacing w:line="276" w:lineRule="auto"/>
        <w:ind w:firstLine="708"/>
        <w:rPr>
          <w:rFonts w:cs="Arial"/>
          <w:szCs w:val="22"/>
        </w:rPr>
      </w:pPr>
      <w:r>
        <w:rPr>
          <w:rFonts w:cs="Arial"/>
          <w:szCs w:val="22"/>
        </w:rPr>
        <w:t>El inmueble deberá estar ubicado en casco urbano de Chelva, Ahillas o Villar de tejas.</w:t>
      </w:r>
    </w:p>
    <w:p w:rsidR="003B1332" w:rsidRDefault="00C90EF7">
      <w:pPr>
        <w:numPr>
          <w:ilvl w:val="0"/>
          <w:numId w:val="1"/>
        </w:numPr>
        <w:spacing w:line="276" w:lineRule="auto"/>
        <w:ind w:firstLine="708"/>
        <w:rPr>
          <w:rFonts w:cs="Arial"/>
          <w:szCs w:val="22"/>
        </w:rPr>
      </w:pPr>
      <w:r>
        <w:rPr>
          <w:rFonts w:cs="Arial"/>
          <w:szCs w:val="22"/>
        </w:rPr>
        <w:t>El edificio debe contar con los requisitos legales de uso y no debe estar en situación de fuera de ordenación. En caso de haber sido designado por el Decreto 168/2012, de 2 de noviembre, del Consell, como inmueble con elementos impropios, deberá procederse a retirar los mismos. En caso de que el inmueble disponga de zócalos impropios en fachada, será imprescindible su retirada para poder acceder a la subvención.</w:t>
      </w:r>
    </w:p>
    <w:p w:rsidR="003B1332" w:rsidRDefault="00C90EF7">
      <w:pPr>
        <w:spacing w:line="276" w:lineRule="auto"/>
        <w:ind w:left="780"/>
        <w:rPr>
          <w:rFonts w:cs="Arial"/>
          <w:szCs w:val="22"/>
        </w:rPr>
      </w:pPr>
      <w:r>
        <w:rPr>
          <w:rFonts w:cs="Arial"/>
          <w:szCs w:val="22"/>
        </w:rPr>
        <w:t>Estas actuaciones serán medidas obligatorias para la concesión de la subvención.</w:t>
      </w:r>
    </w:p>
    <w:p w:rsidR="003B1332" w:rsidRDefault="00C90EF7">
      <w:pPr>
        <w:numPr>
          <w:ilvl w:val="0"/>
          <w:numId w:val="1"/>
        </w:numPr>
        <w:spacing w:line="276" w:lineRule="auto"/>
        <w:ind w:firstLine="708"/>
        <w:rPr>
          <w:rFonts w:cs="Arial"/>
          <w:szCs w:val="22"/>
        </w:rPr>
      </w:pPr>
      <w:r>
        <w:rPr>
          <w:rFonts w:cs="Arial"/>
          <w:szCs w:val="22"/>
        </w:rPr>
        <w:t>Las carpinterías exteriores sustituidas deben recaer a la vía pública.</w:t>
      </w:r>
    </w:p>
    <w:p w:rsidR="003B1332" w:rsidRDefault="00C90EF7">
      <w:pPr>
        <w:numPr>
          <w:ilvl w:val="0"/>
          <w:numId w:val="1"/>
        </w:numPr>
        <w:spacing w:line="276" w:lineRule="auto"/>
        <w:ind w:firstLine="708"/>
        <w:rPr>
          <w:rFonts w:cs="Arial"/>
          <w:szCs w:val="22"/>
        </w:rPr>
      </w:pPr>
      <w:r>
        <w:rPr>
          <w:rFonts w:cs="Arial"/>
          <w:szCs w:val="22"/>
        </w:rPr>
        <w:t>Las obras objeto de subvención deben disponer de las correspondientes licencias administrativas, y deberán cumplir la normativa vigente de cada zona urbanística así como las condiciones que eventualmente imponga la Administración competente en materia de patrimonio, en su caso.</w:t>
      </w:r>
    </w:p>
    <w:p w:rsidR="003B1332" w:rsidRDefault="00C90EF7">
      <w:pPr>
        <w:numPr>
          <w:ilvl w:val="0"/>
          <w:numId w:val="1"/>
        </w:numPr>
        <w:spacing w:line="276" w:lineRule="auto"/>
        <w:ind w:firstLine="708"/>
        <w:rPr>
          <w:rFonts w:cs="Arial"/>
          <w:szCs w:val="22"/>
        </w:rPr>
      </w:pPr>
      <w:r>
        <w:rPr>
          <w:rFonts w:cs="Arial"/>
          <w:szCs w:val="22"/>
        </w:rPr>
        <w:t xml:space="preserve">Las intervenciones previstas deben tener en cuenta la carpintería original así como la normativa vigente de la zona urbanística que le corresponda al inmueble, tanto en cuanto a composición como por los materiales de acabados. </w:t>
      </w:r>
    </w:p>
    <w:p w:rsidR="003B1332" w:rsidRDefault="00C90EF7">
      <w:pPr>
        <w:numPr>
          <w:ilvl w:val="0"/>
          <w:numId w:val="1"/>
        </w:numPr>
        <w:spacing w:line="276" w:lineRule="auto"/>
        <w:ind w:firstLine="708"/>
        <w:rPr>
          <w:rFonts w:cs="Arial"/>
          <w:szCs w:val="22"/>
        </w:rPr>
      </w:pPr>
      <w:r>
        <w:rPr>
          <w:rFonts w:cs="Arial"/>
          <w:szCs w:val="22"/>
        </w:rPr>
        <w:t>El tono de la carpintería de madera dentro de la zona declarada Bien de Interés Cultural (BIC) deberá ser el tradicional rojo almagra. En el resto de zonas urbanísticas la carpintería deberá ser acorde con el entorno y con la normativa vigente. En el caso de edificios plurifamiliares se deberá aportar acuerdo de la comunidad de propietarios respecto de la estética de fachada acorde con la normativa vigente.</w:t>
      </w:r>
    </w:p>
    <w:p w:rsidR="003B1332" w:rsidRDefault="00C90EF7">
      <w:pPr>
        <w:spacing w:line="276" w:lineRule="auto"/>
        <w:ind w:firstLine="708"/>
        <w:rPr>
          <w:rFonts w:cs="Arial"/>
          <w:szCs w:val="22"/>
        </w:rPr>
      </w:pPr>
      <w:r>
        <w:rPr>
          <w:rFonts w:cs="Arial"/>
          <w:szCs w:val="22"/>
        </w:rPr>
        <w:t>El cumplimiento de las condiciones del apartado d) se deberá acreditar antes del pago de la subvención.</w:t>
      </w:r>
    </w:p>
    <w:p w:rsidR="003B1332" w:rsidRDefault="003B1332">
      <w:pPr>
        <w:spacing w:line="276" w:lineRule="auto"/>
        <w:ind w:firstLine="708"/>
        <w:rPr>
          <w:rFonts w:cs="Arial"/>
          <w:szCs w:val="22"/>
        </w:rPr>
      </w:pPr>
    </w:p>
    <w:p w:rsidR="003B1332" w:rsidRDefault="00C90EF7">
      <w:pPr>
        <w:spacing w:line="276" w:lineRule="auto"/>
        <w:ind w:firstLine="708"/>
        <w:rPr>
          <w:rFonts w:cs="Arial"/>
          <w:szCs w:val="22"/>
        </w:rPr>
      </w:pPr>
      <w:r>
        <w:rPr>
          <w:rFonts w:cs="Arial"/>
          <w:szCs w:val="22"/>
        </w:rPr>
        <w:t>Todas las actuaciones y obras deberán garantizar su coherencia técnica y constructiva con el estado de conservación del edificio así como su efectiva contribución a la mejora de las condiciones de uso, seguridad u ornato del edificio y la supresión de zócalos, en su caso.</w:t>
      </w:r>
    </w:p>
    <w:p w:rsidR="003B1332" w:rsidRDefault="003B1332">
      <w:pPr>
        <w:spacing w:line="276" w:lineRule="auto"/>
        <w:ind w:firstLine="708"/>
        <w:rPr>
          <w:rFonts w:cs="Arial"/>
          <w:szCs w:val="22"/>
        </w:rPr>
      </w:pPr>
    </w:p>
    <w:p w:rsidR="003B1332" w:rsidRDefault="00C90EF7">
      <w:pPr>
        <w:spacing w:line="276" w:lineRule="auto"/>
        <w:ind w:firstLine="708"/>
        <w:rPr>
          <w:rFonts w:cs="Arial"/>
          <w:szCs w:val="22"/>
        </w:rPr>
      </w:pPr>
      <w:r>
        <w:rPr>
          <w:rFonts w:cs="Arial"/>
          <w:szCs w:val="22"/>
        </w:rPr>
        <w:t>En cualquier caso, quedarán excluidas del ámbito de la subvención regulada por las presentes bases:</w:t>
      </w:r>
    </w:p>
    <w:p w:rsidR="003B1332" w:rsidRDefault="00C90EF7">
      <w:pPr>
        <w:spacing w:line="276" w:lineRule="auto"/>
        <w:ind w:firstLine="708"/>
        <w:rPr>
          <w:rFonts w:cs="Arial"/>
          <w:szCs w:val="22"/>
        </w:rPr>
      </w:pPr>
      <w:r>
        <w:rPr>
          <w:rFonts w:cs="Arial"/>
          <w:szCs w:val="22"/>
        </w:rPr>
        <w:t>- Edificios en situación de fuera de ordenación.</w:t>
      </w:r>
    </w:p>
    <w:p w:rsidR="003B1332" w:rsidRDefault="00C90EF7">
      <w:pPr>
        <w:spacing w:line="276" w:lineRule="auto"/>
        <w:ind w:firstLine="708"/>
        <w:rPr>
          <w:rFonts w:cs="Arial"/>
          <w:szCs w:val="22"/>
        </w:rPr>
      </w:pPr>
      <w:r>
        <w:rPr>
          <w:rFonts w:cs="Arial"/>
          <w:szCs w:val="22"/>
        </w:rPr>
        <w:t>- Obras que impliquen la demolición de elementos protegidos patrimonialmente.</w:t>
      </w:r>
    </w:p>
    <w:p w:rsidR="003B1332" w:rsidRDefault="00C90EF7">
      <w:pPr>
        <w:spacing w:line="276" w:lineRule="auto"/>
        <w:ind w:firstLine="708"/>
        <w:rPr>
          <w:rFonts w:cs="Arial"/>
          <w:szCs w:val="22"/>
        </w:rPr>
      </w:pPr>
      <w:r>
        <w:rPr>
          <w:rFonts w:cs="Arial"/>
          <w:szCs w:val="22"/>
        </w:rPr>
        <w:t>- Edificios en los que se haya iniciado, resuelto o no, un expediente de infracción urbanística.</w:t>
      </w:r>
    </w:p>
    <w:p w:rsidR="003B1332" w:rsidRDefault="00C90EF7">
      <w:pPr>
        <w:spacing w:line="276" w:lineRule="auto"/>
        <w:ind w:firstLine="708"/>
        <w:rPr>
          <w:rFonts w:cs="Arial"/>
          <w:szCs w:val="22"/>
        </w:rPr>
      </w:pPr>
      <w:r>
        <w:rPr>
          <w:rFonts w:cs="Arial"/>
          <w:szCs w:val="22"/>
        </w:rPr>
        <w:t>- Obras que no se adecuen a la normativa urbanística de la zona en que se ubique el inmueble</w:t>
      </w:r>
    </w:p>
    <w:p w:rsidR="003B1332" w:rsidRDefault="00C90EF7">
      <w:pPr>
        <w:spacing w:line="276" w:lineRule="auto"/>
        <w:ind w:firstLine="708"/>
        <w:rPr>
          <w:rFonts w:cs="Arial"/>
          <w:szCs w:val="22"/>
        </w:rPr>
      </w:pPr>
      <w:r>
        <w:rPr>
          <w:rFonts w:cs="Arial"/>
          <w:szCs w:val="22"/>
        </w:rPr>
        <w:t>- Acabados que no se corresponden con los autorizados en la normativa urbanística de la zona o por las bases de referencia</w:t>
      </w:r>
    </w:p>
    <w:p w:rsidR="003B1332" w:rsidRDefault="00C90EF7">
      <w:pPr>
        <w:spacing w:line="276" w:lineRule="auto"/>
        <w:ind w:firstLine="708"/>
        <w:rPr>
          <w:rFonts w:cs="Arial"/>
          <w:szCs w:val="22"/>
        </w:rPr>
      </w:pPr>
      <w:r>
        <w:rPr>
          <w:rFonts w:cs="Arial"/>
          <w:szCs w:val="22"/>
        </w:rPr>
        <w:t xml:space="preserve">- Inmuebles que hayan sido beneficiarios de otras subvenciones </w:t>
      </w:r>
      <w:r>
        <w:t>provenientes de  una administración pública o entidad privada para el mismo concepto subvencionable indicado en la presente convocatoria.</w:t>
      </w:r>
    </w:p>
    <w:p w:rsidR="003B1332" w:rsidRDefault="003B1332">
      <w:pPr>
        <w:spacing w:line="276" w:lineRule="auto"/>
        <w:ind w:firstLine="708"/>
        <w:rPr>
          <w:rFonts w:cs="Arial"/>
          <w:szCs w:val="22"/>
        </w:rPr>
      </w:pPr>
    </w:p>
    <w:p w:rsidR="003B1332" w:rsidRDefault="00C90EF7">
      <w:pPr>
        <w:spacing w:line="276" w:lineRule="auto"/>
        <w:ind w:firstLine="708"/>
        <w:rPr>
          <w:rFonts w:cs="Arial"/>
          <w:szCs w:val="22"/>
        </w:rPr>
      </w:pPr>
      <w:r>
        <w:rPr>
          <w:rFonts w:cs="Arial"/>
          <w:szCs w:val="22"/>
        </w:rPr>
        <w:t>El importe de la subvención será del 25% del presupuesto de ejecución material de las obras, siempre que la obra sea ejecutada con una empresa con sede social en el municipio de Chelva como medida de fomento de la economía y del empleo local. En todo caso, el importe máximo de la subvención será de 300€ por obra.</w:t>
      </w:r>
    </w:p>
    <w:p w:rsidR="003B1332" w:rsidRDefault="003B1332">
      <w:pPr>
        <w:spacing w:line="276" w:lineRule="auto"/>
        <w:ind w:firstLine="708"/>
        <w:rPr>
          <w:rFonts w:cs="Arial"/>
          <w:szCs w:val="22"/>
        </w:rPr>
      </w:pPr>
    </w:p>
    <w:p w:rsidR="003B1332" w:rsidRDefault="00C90EF7">
      <w:pPr>
        <w:spacing w:line="276" w:lineRule="auto"/>
        <w:ind w:firstLine="708"/>
        <w:rPr>
          <w:rFonts w:cs="Arial"/>
          <w:szCs w:val="22"/>
        </w:rPr>
      </w:pPr>
      <w:r>
        <w:rPr>
          <w:rFonts w:cs="Arial"/>
          <w:szCs w:val="22"/>
        </w:rPr>
        <w:t>En caso de que el importe global de las subvenciones solicitadas exceda la dotación presupuestaria, la comisión técnica evaluadora elaborará una propuesta de resolución para acomodar la cuantía global a la consignación presupuestaria disponible al número total de solicitudes.</w:t>
      </w:r>
    </w:p>
    <w:p w:rsidR="003B1332" w:rsidRDefault="003B1332">
      <w:pPr>
        <w:spacing w:line="276" w:lineRule="auto"/>
        <w:ind w:firstLine="708"/>
        <w:rPr>
          <w:rFonts w:cs="Arial"/>
          <w:szCs w:val="22"/>
        </w:rPr>
      </w:pPr>
    </w:p>
    <w:p w:rsidR="003B1332" w:rsidRDefault="003B1332">
      <w:pPr>
        <w:spacing w:line="276" w:lineRule="auto"/>
        <w:rPr>
          <w:rFonts w:cs="Arial"/>
          <w:b/>
          <w:szCs w:val="22"/>
          <w:shd w:val="clear" w:color="auto" w:fill="FFFFFF"/>
        </w:rPr>
      </w:pPr>
    </w:p>
    <w:p w:rsidR="003B1332" w:rsidRDefault="00C90EF7">
      <w:pPr>
        <w:pStyle w:val="Textoindependiente"/>
      </w:pPr>
      <w:r>
        <w:rPr>
          <w:rFonts w:cs="Arial"/>
          <w:b/>
          <w:szCs w:val="22"/>
        </w:rPr>
        <w:t xml:space="preserve">4. </w:t>
      </w:r>
      <w:r>
        <w:rPr>
          <w:rFonts w:cs="Arial"/>
          <w:b/>
          <w:szCs w:val="22"/>
          <w:u w:val="single"/>
        </w:rPr>
        <w:t>Requisitos de los Solicitantes</w:t>
      </w:r>
    </w:p>
    <w:p w:rsidR="003B1332" w:rsidRDefault="00C90EF7">
      <w:pPr>
        <w:spacing w:line="276" w:lineRule="auto"/>
        <w:ind w:firstLine="708"/>
        <w:rPr>
          <w:rFonts w:cs="Arial"/>
          <w:szCs w:val="22"/>
        </w:rPr>
      </w:pPr>
      <w:r>
        <w:rPr>
          <w:rFonts w:cs="Arial"/>
          <w:szCs w:val="22"/>
        </w:rPr>
        <w:t>La solicitud de la subvención se realizará por la propiedad del inmueble, tanto si se trata de una o más personas físicas, de una sociedad mercantil, como de una comunidad de propietarios. En este último supuesto será necesario, por tanto, que la comunidad esté legalmente constituida. Las subvenciones se otorgarán a la propiedad en su conjunto, nunca a título individual.</w:t>
      </w:r>
    </w:p>
    <w:p w:rsidR="003B1332" w:rsidRDefault="003B1332">
      <w:pPr>
        <w:spacing w:line="276" w:lineRule="auto"/>
        <w:ind w:firstLine="708"/>
        <w:rPr>
          <w:rFonts w:cs="Arial"/>
          <w:szCs w:val="22"/>
        </w:rPr>
      </w:pPr>
    </w:p>
    <w:p w:rsidR="003B1332" w:rsidRDefault="00C90EF7">
      <w:pPr>
        <w:spacing w:line="276" w:lineRule="auto"/>
        <w:ind w:firstLine="708"/>
        <w:rPr>
          <w:rFonts w:cs="Arial"/>
          <w:szCs w:val="22"/>
        </w:rPr>
      </w:pPr>
      <w:r>
        <w:rPr>
          <w:rFonts w:cs="Arial"/>
          <w:szCs w:val="22"/>
        </w:rPr>
        <w:t>Sin embargo, no pueden ser beneficiarios:</w:t>
      </w:r>
    </w:p>
    <w:p w:rsidR="003B1332" w:rsidRDefault="00C90EF7">
      <w:pPr>
        <w:spacing w:line="276" w:lineRule="auto"/>
        <w:ind w:firstLine="708"/>
        <w:rPr>
          <w:rFonts w:cs="Arial"/>
          <w:szCs w:val="22"/>
        </w:rPr>
      </w:pPr>
      <w:r>
        <w:rPr>
          <w:rFonts w:cs="Arial"/>
          <w:szCs w:val="22"/>
        </w:rPr>
        <w:t>- Quien incurra en alguna de las prohibiciones establecidas en el artículo 13.2 de la LGS.</w:t>
      </w:r>
    </w:p>
    <w:p w:rsidR="003B1332" w:rsidRDefault="00C90EF7">
      <w:pPr>
        <w:pStyle w:val="Textoindependiente"/>
      </w:pPr>
      <w:r>
        <w:rPr>
          <w:rFonts w:cs="Arial"/>
          <w:szCs w:val="22"/>
        </w:rPr>
        <w:tab/>
        <w:t>- Quién, en el momento que el órgano instructor de la convocatoria tenga que hacer la propuesta de resolución definitiva, no esté al corriente en el cumplimiento de las obligaciones tributarias y con la Seguridad Social ante la Administración del Estado y con las obligaciones contraídas con el Ayuntamiento de Chelva.</w:t>
      </w:r>
    </w:p>
    <w:p w:rsidR="003B1332" w:rsidRDefault="003B1332">
      <w:pPr>
        <w:spacing w:line="276" w:lineRule="auto"/>
        <w:rPr>
          <w:rFonts w:cs="Arial"/>
          <w:b/>
          <w:szCs w:val="22"/>
          <w:shd w:val="clear" w:color="auto" w:fill="FFFFFF"/>
        </w:rPr>
      </w:pPr>
    </w:p>
    <w:p w:rsidR="003B1332" w:rsidRDefault="00C90EF7">
      <w:pPr>
        <w:pStyle w:val="Textoindependiente"/>
        <w:rPr>
          <w:rFonts w:cs="Arial"/>
          <w:b/>
          <w:szCs w:val="22"/>
          <w:u w:val="single"/>
        </w:rPr>
      </w:pPr>
      <w:r>
        <w:rPr>
          <w:rFonts w:cs="Arial"/>
          <w:b/>
          <w:szCs w:val="22"/>
        </w:rPr>
        <w:t xml:space="preserve">5. </w:t>
      </w:r>
      <w:r>
        <w:rPr>
          <w:rFonts w:cs="Arial"/>
          <w:b/>
          <w:szCs w:val="22"/>
          <w:u w:val="single"/>
        </w:rPr>
        <w:t>Órgano Competente para la Instrucción y Resolución</w:t>
      </w:r>
    </w:p>
    <w:p w:rsidR="003B1332" w:rsidRDefault="00C90EF7">
      <w:pPr>
        <w:pStyle w:val="Textoindependiente"/>
      </w:pPr>
      <w:r>
        <w:rPr>
          <w:rFonts w:cs="Arial"/>
          <w:szCs w:val="22"/>
        </w:rPr>
        <w:tab/>
        <w:t>El órgano competente para la instrucción del expediente es el Concejal de Obras, Urbanismo y Servicios</w:t>
      </w:r>
      <w:r>
        <w:rPr>
          <w:rFonts w:cs="Arial"/>
          <w:i/>
          <w:szCs w:val="22"/>
        </w:rPr>
        <w:t>.</w:t>
      </w:r>
    </w:p>
    <w:p w:rsidR="003B1332" w:rsidRDefault="00C90EF7">
      <w:pPr>
        <w:pStyle w:val="Textoindependiente"/>
      </w:pPr>
      <w:r>
        <w:rPr>
          <w:rFonts w:cs="Arial"/>
          <w:szCs w:val="22"/>
        </w:rPr>
        <w:tab/>
        <w:t>El órgano competente para resolver será el Alcalde de la Corporación, tal y como establece el artículo 11 de las Bases que regulan esta subvención</w:t>
      </w:r>
      <w:r>
        <w:rPr>
          <w:rFonts w:cs="Arial"/>
          <w:i/>
          <w:szCs w:val="22"/>
        </w:rPr>
        <w:t>.</w:t>
      </w:r>
    </w:p>
    <w:p w:rsidR="003B1332" w:rsidRDefault="00C90EF7">
      <w:pPr>
        <w:pStyle w:val="Textoindependiente"/>
      </w:pPr>
      <w:r>
        <w:rPr>
          <w:rFonts w:cs="Arial"/>
          <w:szCs w:val="22"/>
        </w:rPr>
        <w:tab/>
        <w:t>El órgano instructor, cuando haya recibido el informe de la comisión técnica evaluadora (formada por dos técnicos municipales) sobre las solicitudes de subvenciones y, haya comprobado que los solicitantes cumplen los requisitos, dictará la propuesta de resolución definitiva, la cual deberá incluir la relación de personas o entidades beneficiarias, con la descripción del edificio objeto de las obras, su presupuesto y el importe de la subvención, además del resto de solicitudes con propuesta justificada de desestimación, en su caso.</w:t>
      </w:r>
    </w:p>
    <w:p w:rsidR="003B1332" w:rsidRDefault="00C90EF7">
      <w:pPr>
        <w:pStyle w:val="Textoindependiente"/>
      </w:pPr>
      <w:r>
        <w:rPr>
          <w:rFonts w:cs="Arial"/>
          <w:szCs w:val="22"/>
        </w:rPr>
        <w:tab/>
        <w:t>Posteriormente, la Alcaldía resolverá la convocatoria, con la indicación de los extremos contenidos en la propuesta de resolución definitiva.</w:t>
      </w:r>
    </w:p>
    <w:p w:rsidR="003B1332" w:rsidRDefault="00C90EF7">
      <w:pPr>
        <w:pStyle w:val="Textoindependiente"/>
      </w:pPr>
      <w:r>
        <w:rPr>
          <w:rFonts w:cs="Arial"/>
          <w:szCs w:val="22"/>
        </w:rPr>
        <w:t> </w:t>
      </w:r>
    </w:p>
    <w:p w:rsidR="003B1332" w:rsidRDefault="00C90EF7">
      <w:pPr>
        <w:pStyle w:val="Textoindependiente"/>
      </w:pPr>
      <w:r>
        <w:rPr>
          <w:rFonts w:cs="Arial"/>
          <w:b/>
          <w:szCs w:val="22"/>
        </w:rPr>
        <w:t xml:space="preserve">6. </w:t>
      </w:r>
      <w:r>
        <w:rPr>
          <w:rFonts w:cs="Arial"/>
          <w:b/>
          <w:szCs w:val="22"/>
          <w:u w:val="single"/>
        </w:rPr>
        <w:t>Plazo de Presentación de Solicitudes y Documentación</w:t>
      </w:r>
    </w:p>
    <w:p w:rsidR="003B1332" w:rsidRDefault="00C90EF7">
      <w:pPr>
        <w:pStyle w:val="Textoindependiente"/>
        <w:rPr>
          <w:rFonts w:cs="Arial"/>
          <w:szCs w:val="22"/>
          <w:highlight w:val="white"/>
        </w:rPr>
      </w:pPr>
      <w:r>
        <w:rPr>
          <w:rFonts w:cs="Arial"/>
          <w:szCs w:val="22"/>
        </w:rPr>
        <w:tab/>
        <w:t xml:space="preserve"> Las solicitudes se formularán en el modelo que figura como Anexo de esta convocatoria. Se dirigirán al Sr. Alcalde-Presidente del Ayuntamiento, y se presentarán preferiblemente de manera telemática a través de la sede electrónica del Ayuntamiento, </w:t>
      </w:r>
      <w:hyperlink r:id="rId7">
        <w:r>
          <w:rPr>
            <w:rStyle w:val="EnlacedeInternet"/>
            <w:rFonts w:cs="Arial"/>
            <w:szCs w:val="22"/>
          </w:rPr>
          <w:t>http://chelva.sedelectronica.es</w:t>
        </w:r>
      </w:hyperlink>
      <w:r>
        <w:rPr>
          <w:rFonts w:cs="Arial"/>
          <w:szCs w:val="22"/>
        </w:rPr>
        <w:t xml:space="preserve"> o presencialmente en el Registro de entrada del Ayuntamiento o por cualquiera de los medios señalados en el artículo 16.4 de la Ley 39/2015, de 1 de octubre, del Procedimiento Administrativo Común de las Administraciones Públicas, en el plazo de treinta días naturales desde el día siguiente a la publicación del extracto de la convocatoria en el </w:t>
      </w:r>
      <w:r>
        <w:rPr>
          <w:rFonts w:cs="Arial"/>
          <w:i/>
          <w:szCs w:val="22"/>
        </w:rPr>
        <w:t>Boletín Oficial de la Provincia.</w:t>
      </w:r>
      <w:r>
        <w:rPr>
          <w:rFonts w:cs="Arial"/>
          <w:szCs w:val="22"/>
        </w:rPr>
        <w:t xml:space="preserve"> </w:t>
      </w:r>
    </w:p>
    <w:p w:rsidR="003B1332" w:rsidRDefault="00C90EF7">
      <w:pPr>
        <w:spacing w:line="276" w:lineRule="auto"/>
        <w:ind w:firstLine="708"/>
        <w:rPr>
          <w:rFonts w:cs="Arial"/>
          <w:szCs w:val="22"/>
        </w:rPr>
      </w:pPr>
      <w:r>
        <w:rPr>
          <w:rFonts w:cs="Arial"/>
          <w:szCs w:val="22"/>
        </w:rPr>
        <w:t xml:space="preserve"> Se deberá adjuntar la siguiente documentación:</w:t>
      </w:r>
    </w:p>
    <w:p w:rsidR="003B1332" w:rsidRDefault="00C90EF7">
      <w:pPr>
        <w:spacing w:line="276" w:lineRule="auto"/>
        <w:ind w:firstLine="708"/>
        <w:rPr>
          <w:rFonts w:cs="Arial"/>
          <w:szCs w:val="22"/>
        </w:rPr>
      </w:pPr>
      <w:r>
        <w:rPr>
          <w:rFonts w:cs="Arial"/>
          <w:szCs w:val="22"/>
        </w:rPr>
        <w:t>1) Modelo de solicitud de subvención con indicación de los datos del inmueble y del solicitante, (anexo 1).</w:t>
      </w:r>
    </w:p>
    <w:p w:rsidR="003B1332" w:rsidRDefault="00C90EF7">
      <w:pPr>
        <w:spacing w:line="276" w:lineRule="auto"/>
        <w:ind w:firstLine="708"/>
        <w:rPr>
          <w:rFonts w:cs="Arial"/>
          <w:szCs w:val="22"/>
        </w:rPr>
      </w:pPr>
      <w:r>
        <w:rPr>
          <w:rFonts w:cs="Arial"/>
          <w:szCs w:val="22"/>
        </w:rPr>
        <w:t>2) Fotocopia del NIF de la persona solicitante o de su representante legal.</w:t>
      </w:r>
    </w:p>
    <w:p w:rsidR="003B1332" w:rsidRDefault="00C90EF7">
      <w:pPr>
        <w:spacing w:line="276" w:lineRule="auto"/>
        <w:ind w:firstLine="708"/>
        <w:rPr>
          <w:rFonts w:cs="Arial"/>
          <w:szCs w:val="22"/>
        </w:rPr>
      </w:pPr>
      <w:r>
        <w:rPr>
          <w:rFonts w:cs="Arial"/>
          <w:szCs w:val="22"/>
        </w:rPr>
        <w:t>3) En su caso, documentación acreditativa de la vigencia del cargo de representante legal en virtud de la cual actúa el firmante de la solicitud.</w:t>
      </w:r>
    </w:p>
    <w:p w:rsidR="003B1332" w:rsidRDefault="00C90EF7">
      <w:pPr>
        <w:spacing w:line="276" w:lineRule="auto"/>
        <w:ind w:firstLine="708"/>
        <w:rPr>
          <w:rFonts w:cs="Arial"/>
          <w:szCs w:val="22"/>
        </w:rPr>
      </w:pPr>
      <w:r>
        <w:rPr>
          <w:rFonts w:cs="Arial"/>
          <w:szCs w:val="22"/>
        </w:rPr>
        <w:t>4) Acuerdo de la comunidad de propietarios de solicitar la ayuda y de realizar los trabajos de acuerdo con las normas y ordenanzas municipales y las condiciones de la convocatoria, en su caso.</w:t>
      </w:r>
    </w:p>
    <w:p w:rsidR="003B1332" w:rsidRDefault="00C90EF7">
      <w:pPr>
        <w:spacing w:line="276" w:lineRule="auto"/>
        <w:ind w:firstLine="708"/>
        <w:rPr>
          <w:rFonts w:cs="Arial"/>
          <w:szCs w:val="22"/>
        </w:rPr>
      </w:pPr>
      <w:r>
        <w:rPr>
          <w:rFonts w:cs="Arial"/>
          <w:szCs w:val="22"/>
        </w:rPr>
        <w:t>5) Documentación fotográfica del edificio (generales y de detalle de los elementos donde se pretende intervenir) en el estado previo a la intervención.</w:t>
      </w:r>
    </w:p>
    <w:p w:rsidR="003B1332" w:rsidRDefault="00C90EF7">
      <w:pPr>
        <w:spacing w:line="276" w:lineRule="auto"/>
        <w:ind w:firstLine="708"/>
        <w:rPr>
          <w:rFonts w:cs="Arial"/>
          <w:szCs w:val="22"/>
        </w:rPr>
      </w:pPr>
      <w:r>
        <w:rPr>
          <w:rFonts w:cs="Arial"/>
          <w:szCs w:val="22"/>
        </w:rPr>
        <w:lastRenderedPageBreak/>
        <w:t>6) Proyecto técnico o en caso de que no sea necesaria la presentación de proyecto redactado por técnico competente, se deberá aportar la siguiente documentación:</w:t>
      </w:r>
    </w:p>
    <w:p w:rsidR="003B1332" w:rsidRDefault="00C90EF7">
      <w:pPr>
        <w:spacing w:line="276" w:lineRule="auto"/>
        <w:ind w:firstLine="708"/>
        <w:rPr>
          <w:rFonts w:cs="Arial"/>
          <w:szCs w:val="22"/>
        </w:rPr>
      </w:pPr>
      <w:r>
        <w:rPr>
          <w:rFonts w:cs="Arial"/>
          <w:szCs w:val="22"/>
        </w:rPr>
        <w:t>- Presupuesto detallado por capítulos, con mediciones de cada una de las partidas y oficios, y aplicación de precios unitarios.</w:t>
      </w:r>
    </w:p>
    <w:p w:rsidR="003B1332" w:rsidRDefault="00C90EF7">
      <w:pPr>
        <w:spacing w:line="276" w:lineRule="auto"/>
        <w:ind w:firstLine="708"/>
        <w:rPr>
          <w:rFonts w:cs="Arial"/>
          <w:szCs w:val="22"/>
        </w:rPr>
      </w:pPr>
      <w:r>
        <w:rPr>
          <w:rFonts w:cs="Arial"/>
          <w:szCs w:val="22"/>
        </w:rPr>
        <w:t xml:space="preserve">7) Ficha de terceros </w:t>
      </w:r>
    </w:p>
    <w:p w:rsidR="003B1332" w:rsidRDefault="003B1332">
      <w:pPr>
        <w:spacing w:line="276" w:lineRule="auto"/>
        <w:ind w:firstLine="708"/>
        <w:rPr>
          <w:rFonts w:cs="Arial"/>
          <w:szCs w:val="22"/>
        </w:rPr>
      </w:pPr>
    </w:p>
    <w:p w:rsidR="003B1332" w:rsidRDefault="00C90EF7">
      <w:pPr>
        <w:spacing w:line="276" w:lineRule="auto"/>
        <w:ind w:firstLine="708"/>
        <w:rPr>
          <w:rFonts w:cs="Arial"/>
          <w:szCs w:val="22"/>
        </w:rPr>
      </w:pPr>
      <w:r>
        <w:rPr>
          <w:rFonts w:cs="Arial"/>
          <w:szCs w:val="22"/>
        </w:rPr>
        <w:t>La presentación de la solicitud implica la plena aceptación y el conocimiento de las bases y la convocatoria correspondiente.</w:t>
      </w:r>
    </w:p>
    <w:p w:rsidR="003B1332" w:rsidRDefault="003B1332">
      <w:pPr>
        <w:spacing w:line="276" w:lineRule="auto"/>
        <w:ind w:firstLine="708"/>
        <w:rPr>
          <w:rFonts w:cs="Arial"/>
          <w:szCs w:val="22"/>
        </w:rPr>
      </w:pPr>
    </w:p>
    <w:p w:rsidR="003B1332" w:rsidRDefault="003B1332">
      <w:pPr>
        <w:spacing w:line="276" w:lineRule="auto"/>
        <w:ind w:firstLine="708"/>
        <w:rPr>
          <w:rFonts w:cs="Arial"/>
          <w:szCs w:val="22"/>
          <w:shd w:val="clear" w:color="auto" w:fill="FFFFFF"/>
        </w:rPr>
      </w:pPr>
    </w:p>
    <w:p w:rsidR="003B1332" w:rsidRDefault="00C90EF7">
      <w:pPr>
        <w:pStyle w:val="Textoindependiente"/>
      </w:pPr>
      <w:r>
        <w:rPr>
          <w:rFonts w:cs="Arial"/>
          <w:b/>
          <w:szCs w:val="22"/>
        </w:rPr>
        <w:t xml:space="preserve">7. </w:t>
      </w:r>
      <w:r>
        <w:rPr>
          <w:rFonts w:cs="Arial"/>
          <w:b/>
          <w:szCs w:val="22"/>
          <w:u w:val="single"/>
        </w:rPr>
        <w:t>Plazo de Resolución y Notificación</w:t>
      </w:r>
    </w:p>
    <w:p w:rsidR="003B1332" w:rsidRDefault="00C90EF7">
      <w:pPr>
        <w:pStyle w:val="Textoindependiente"/>
      </w:pPr>
      <w:r>
        <w:rPr>
          <w:rFonts w:cs="Arial"/>
          <w:szCs w:val="22"/>
        </w:rPr>
        <w:tab/>
        <w:t> La Alcaldía debe adoptar la correspondiente resolución en el plazo máximo de dos meses, a contar desde la fecha de finalización del plazo de presentación de solicitudes.</w:t>
      </w:r>
    </w:p>
    <w:p w:rsidR="003B1332" w:rsidRDefault="00C90EF7">
      <w:pPr>
        <w:pStyle w:val="Textoindependiente"/>
      </w:pPr>
      <w:r>
        <w:rPr>
          <w:rFonts w:cs="Arial"/>
          <w:szCs w:val="22"/>
        </w:rPr>
        <w:tab/>
        <w:t>El vencimiento del plazo máximo sin haberse notificado la resolución legitima a los interesados para entender desestimada por silencio administrativo la solicitud de concesión de la subvención.</w:t>
      </w:r>
    </w:p>
    <w:p w:rsidR="003B1332" w:rsidRDefault="00C90EF7">
      <w:pPr>
        <w:pStyle w:val="Textoindependiente"/>
      </w:pPr>
      <w:r>
        <w:rPr>
          <w:rFonts w:cs="Arial"/>
          <w:szCs w:val="22"/>
        </w:rPr>
        <w:tab/>
        <w:t>La resolución debe ser notificada a todos los beneficiarios de manera individualizada en el plazo máximo de 10 días desde la fecha del acuerdo.</w:t>
      </w:r>
    </w:p>
    <w:p w:rsidR="003B1332" w:rsidRDefault="00C90EF7">
      <w:pPr>
        <w:pStyle w:val="Textoindependiente"/>
      </w:pPr>
      <w:r>
        <w:rPr>
          <w:rFonts w:cs="Arial"/>
          <w:szCs w:val="22"/>
        </w:rPr>
        <w:tab/>
      </w:r>
    </w:p>
    <w:p w:rsidR="003B1332" w:rsidRDefault="00C90EF7">
      <w:pPr>
        <w:pStyle w:val="Textoindependiente"/>
        <w:rPr>
          <w:rFonts w:cs="Arial"/>
          <w:szCs w:val="22"/>
        </w:rPr>
      </w:pPr>
      <w:r>
        <w:rPr>
          <w:rFonts w:cs="Arial"/>
          <w:szCs w:val="22"/>
        </w:rPr>
        <w:t> </w:t>
      </w:r>
      <w:r>
        <w:rPr>
          <w:rFonts w:cs="Arial"/>
          <w:b/>
          <w:szCs w:val="22"/>
        </w:rPr>
        <w:t xml:space="preserve">8. </w:t>
      </w:r>
      <w:r>
        <w:rPr>
          <w:rFonts w:cs="Arial"/>
          <w:b/>
          <w:szCs w:val="22"/>
          <w:u w:val="single"/>
        </w:rPr>
        <w:t>Subsanación de las Solicitudes</w:t>
      </w:r>
    </w:p>
    <w:p w:rsidR="003B1332" w:rsidRDefault="00C90EF7">
      <w:pPr>
        <w:pStyle w:val="Textoindependiente"/>
      </w:pPr>
      <w:r>
        <w:rPr>
          <w:rFonts w:cs="Arial"/>
          <w:szCs w:val="22"/>
        </w:rPr>
        <w:tab/>
        <w:t>En caso de que la instancia o la documentación fueran incorrectas o incompletas, el órgano instructor tiene que requerir la rectificación o los documentos que falten. Si en el plazo de 10 días hábiles el interesado no hace la rectificación o no presenta los documentos requeridos, el Ayuntamiento, después de haber tomado la resolución pertinente, considerará que desiste de su petición, de acuerdo con el artículo 68.1 de la Ley 39/2015, de 1 de octubre, del Procedimiento Administrativo Común de las Administraciones Públicas.</w:t>
      </w:r>
    </w:p>
    <w:p w:rsidR="003B1332" w:rsidRDefault="00C90EF7">
      <w:pPr>
        <w:pStyle w:val="Textoindependiente"/>
      </w:pPr>
      <w:r>
        <w:rPr>
          <w:rFonts w:cs="Arial"/>
          <w:b/>
          <w:szCs w:val="22"/>
        </w:rPr>
        <w:t xml:space="preserve">9. </w:t>
      </w:r>
      <w:r>
        <w:rPr>
          <w:rFonts w:cs="Arial"/>
          <w:b/>
          <w:szCs w:val="22"/>
          <w:u w:val="single"/>
        </w:rPr>
        <w:t>Fin de la Vía Administrativa</w:t>
      </w:r>
    </w:p>
    <w:p w:rsidR="003B1332" w:rsidRDefault="00C90EF7">
      <w:pPr>
        <w:pStyle w:val="Textoindependiente"/>
      </w:pPr>
      <w:r>
        <w:rPr>
          <w:rFonts w:cs="Arial"/>
          <w:szCs w:val="22"/>
        </w:rPr>
        <w:tab/>
        <w:t>El acto de resolución de la subvención agota la vía administrativa.  </w:t>
      </w:r>
    </w:p>
    <w:p w:rsidR="003B1332" w:rsidRDefault="00C90EF7">
      <w:pPr>
        <w:pStyle w:val="Textoindependiente"/>
      </w:pPr>
      <w:r>
        <w:rPr>
          <w:rFonts w:cs="Arial"/>
          <w:szCs w:val="22"/>
        </w:rPr>
        <w:tab/>
        <w:t xml:space="preserve">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w:t>
      </w:r>
      <w:r>
        <w:rPr>
          <w:rFonts w:cs="Arial"/>
          <w:szCs w:val="22"/>
        </w:rPr>
        <w:lastRenderedPageBreak/>
        <w:t>administrativo ante el Juzgado de lo Contencioso-Administrativo de Valencia, en el plazo de dos meses, a contar desde el día siguiente al de la recepción de la notificación, de conformidad con el artículo 46 de la Ley 29/1998, de 13 de julio, de la Jurisdicción Contencioso-Administrativa.</w:t>
      </w:r>
    </w:p>
    <w:p w:rsidR="003B1332" w:rsidRDefault="00C90EF7">
      <w:pPr>
        <w:pStyle w:val="Textoindependiente"/>
      </w:pPr>
      <w:r>
        <w:rPr>
          <w:rFonts w:cs="Arial"/>
          <w:szCs w:val="22"/>
        </w:rPr>
        <w:t> </w:t>
      </w:r>
    </w:p>
    <w:p w:rsidR="003B1332" w:rsidRDefault="00C90EF7">
      <w:pPr>
        <w:pStyle w:val="Textoindependiente"/>
      </w:pPr>
      <w:r>
        <w:rPr>
          <w:rFonts w:cs="Arial"/>
          <w:b/>
          <w:szCs w:val="22"/>
        </w:rPr>
        <w:t xml:space="preserve">10. </w:t>
      </w:r>
      <w:r>
        <w:rPr>
          <w:rFonts w:cs="Arial"/>
          <w:b/>
          <w:szCs w:val="22"/>
          <w:u w:val="single"/>
        </w:rPr>
        <w:t>Medios de notificación o publicación</w:t>
      </w:r>
    </w:p>
    <w:p w:rsidR="003B1332" w:rsidRDefault="00C90EF7">
      <w:pPr>
        <w:pStyle w:val="Textoindependiente"/>
        <w:rPr>
          <w:rFonts w:cs="Arial"/>
          <w:szCs w:val="22"/>
        </w:rPr>
      </w:pPr>
      <w:r>
        <w:rPr>
          <w:rFonts w:cs="Arial"/>
          <w:szCs w:val="22"/>
        </w:rPr>
        <w:tab/>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rsidR="003B1332" w:rsidRDefault="00C90EF7">
      <w:pPr>
        <w:pStyle w:val="Textoindependiente"/>
      </w:pPr>
      <w:r>
        <w:rPr>
          <w:rFonts w:cs="Arial"/>
          <w:szCs w:val="22"/>
        </w:rPr>
        <w:t> </w:t>
      </w:r>
    </w:p>
    <w:p w:rsidR="003B1332" w:rsidRDefault="00C90EF7">
      <w:pPr>
        <w:pStyle w:val="Textoindependiente"/>
      </w:pPr>
      <w:r>
        <w:rPr>
          <w:rFonts w:cs="Arial"/>
          <w:szCs w:val="22"/>
        </w:rPr>
        <w:t> </w:t>
      </w:r>
    </w:p>
    <w:p w:rsidR="003B1332" w:rsidRDefault="00C90EF7">
      <w:pPr>
        <w:pStyle w:val="Textoindependiente"/>
        <w:rPr>
          <w:rFonts w:cs="Arial"/>
          <w:szCs w:val="22"/>
        </w:rPr>
      </w:pPr>
      <w:r>
        <w:rPr>
          <w:rFonts w:cs="Arial"/>
          <w:szCs w:val="22"/>
        </w:rPr>
        <w:tab/>
      </w:r>
    </w:p>
    <w:p w:rsidR="003B1332" w:rsidRDefault="003B1332">
      <w:pPr>
        <w:spacing w:line="276" w:lineRule="auto"/>
        <w:ind w:firstLine="708"/>
        <w:rPr>
          <w:rFonts w:cs="Arial"/>
          <w:szCs w:val="22"/>
          <w:shd w:val="clear" w:color="auto" w:fill="FFFFFF"/>
        </w:rPr>
      </w:pPr>
    </w:p>
    <w:p w:rsidR="003B1332" w:rsidRDefault="003B1332">
      <w:pPr>
        <w:spacing w:line="276" w:lineRule="auto"/>
        <w:rPr>
          <w:rFonts w:cs="Arial"/>
          <w:color w:val="FF0000"/>
          <w:szCs w:val="22"/>
          <w:highlight w:val="white"/>
        </w:rPr>
      </w:pPr>
    </w:p>
    <w:p w:rsidR="003B1332" w:rsidRDefault="003B1332">
      <w:pPr>
        <w:spacing w:line="276" w:lineRule="auto"/>
        <w:ind w:firstLine="708"/>
        <w:rPr>
          <w:rFonts w:cs="Arial"/>
          <w:szCs w:val="22"/>
          <w:shd w:val="clear" w:color="auto" w:fill="FFFFFF"/>
        </w:rPr>
      </w:pPr>
    </w:p>
    <w:p w:rsidR="003B1332" w:rsidRDefault="003B1332">
      <w:pPr>
        <w:spacing w:line="276" w:lineRule="auto"/>
        <w:ind w:firstLine="708"/>
        <w:rPr>
          <w:rFonts w:cs="Arial"/>
          <w:szCs w:val="22"/>
          <w:shd w:val="clear" w:color="auto" w:fill="FFFFFF"/>
        </w:rPr>
      </w:pPr>
    </w:p>
    <w:p w:rsidR="003B1332" w:rsidRDefault="003B1332">
      <w:pPr>
        <w:spacing w:line="276" w:lineRule="auto"/>
        <w:ind w:firstLine="708"/>
        <w:rPr>
          <w:rFonts w:cs="Arial"/>
          <w:szCs w:val="22"/>
          <w:shd w:val="clear" w:color="auto" w:fill="FFFFFF"/>
        </w:rPr>
      </w:pPr>
    </w:p>
    <w:sectPr w:rsidR="003B1332" w:rsidSect="003B1332">
      <w:headerReference w:type="default" r:id="rId8"/>
      <w:headerReference w:type="first" r:id="rId9"/>
      <w:pgSz w:w="11906" w:h="16838"/>
      <w:pgMar w:top="2104" w:right="1701" w:bottom="1418" w:left="1560" w:header="709" w:footer="0" w:gutter="0"/>
      <w:cols w:space="720"/>
      <w:formProt w:val="0"/>
      <w:titlePg/>
      <w:docGrid w:linePitch="360" w:charSpace="-2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12E9" w:rsidRDefault="006212E9" w:rsidP="003B1332">
      <w:r>
        <w:separator/>
      </w:r>
    </w:p>
  </w:endnote>
  <w:endnote w:type="continuationSeparator" w:id="0">
    <w:p w:rsidR="006212E9" w:rsidRDefault="006212E9" w:rsidP="003B13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Gautami">
    <w:panose1 w:val="020B0502040204020203"/>
    <w:charset w:val="00"/>
    <w:family w:val="swiss"/>
    <w:pitch w:val="variable"/>
    <w:sig w:usb0="002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12E9" w:rsidRDefault="006212E9" w:rsidP="003B1332">
      <w:r>
        <w:separator/>
      </w:r>
    </w:p>
  </w:footnote>
  <w:footnote w:type="continuationSeparator" w:id="0">
    <w:p w:rsidR="006212E9" w:rsidRDefault="006212E9" w:rsidP="003B13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332" w:rsidRDefault="00C90EF7">
    <w:pPr>
      <w:tabs>
        <w:tab w:val="left" w:pos="-426"/>
        <w:tab w:val="left" w:pos="-142"/>
      </w:tabs>
      <w:ind w:right="941"/>
    </w:pPr>
    <w:r>
      <w:t xml:space="preserve">             </w:t>
    </w:r>
    <w:r>
      <w:rPr>
        <w:noProof/>
      </w:rPr>
      <w:drawing>
        <wp:inline distT="0" distB="0" distL="0" distR="0">
          <wp:extent cx="390525" cy="666750"/>
          <wp:effectExtent l="0" t="0" r="0" b="0"/>
          <wp:docPr id="1" name="Imagen 1"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ESCUDO"/>
                  <pic:cNvPicPr>
                    <a:picLocks noChangeAspect="1" noChangeArrowheads="1"/>
                  </pic:cNvPicPr>
                </pic:nvPicPr>
                <pic:blipFill>
                  <a:blip r:embed="rId1"/>
                  <a:stretch>
                    <a:fillRect/>
                  </a:stretch>
                </pic:blipFill>
                <pic:spPr bwMode="auto">
                  <a:xfrm>
                    <a:off x="0" y="0"/>
                    <a:ext cx="390525" cy="666750"/>
                  </a:xfrm>
                  <a:prstGeom prst="rect">
                    <a:avLst/>
                  </a:prstGeom>
                </pic:spPr>
              </pic:pic>
            </a:graphicData>
          </a:graphic>
        </wp:inline>
      </w:drawing>
    </w:r>
  </w:p>
  <w:p w:rsidR="003B1332" w:rsidRDefault="003B1332">
    <w:pPr>
      <w:rPr>
        <w:sz w:val="8"/>
      </w:rPr>
    </w:pPr>
  </w:p>
  <w:p w:rsidR="003B1332" w:rsidRDefault="00C90EF7">
    <w:pPr>
      <w:ind w:right="5952"/>
      <w:jc w:val="center"/>
    </w:pPr>
    <w:r>
      <w:rPr>
        <w:noProof/>
      </w:rPr>
      <w:drawing>
        <wp:inline distT="0" distB="0" distL="0" distR="0">
          <wp:extent cx="1352550" cy="142875"/>
          <wp:effectExtent l="0" t="0" r="0" b="0"/>
          <wp:docPr id="2" name="Imagen 2" descr="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YUNTAMIENTO"/>
                  <pic:cNvPicPr>
                    <a:picLocks noChangeAspect="1" noChangeArrowheads="1"/>
                  </pic:cNvPicPr>
                </pic:nvPicPr>
                <pic:blipFill>
                  <a:blip r:embed="rId2"/>
                  <a:stretch>
                    <a:fillRect/>
                  </a:stretch>
                </pic:blipFill>
                <pic:spPr bwMode="auto">
                  <a:xfrm>
                    <a:off x="0" y="0"/>
                    <a:ext cx="1352550" cy="142875"/>
                  </a:xfrm>
                  <a:prstGeom prst="rect">
                    <a:avLst/>
                  </a:prstGeom>
                </pic:spPr>
              </pic:pic>
            </a:graphicData>
          </a:graphic>
        </wp:inline>
      </w:drawing>
    </w:r>
  </w:p>
  <w:p w:rsidR="003B1332" w:rsidRDefault="003B1332">
    <w:pPr>
      <w:ind w:right="5952"/>
      <w:jc w:val="center"/>
      <w:rPr>
        <w:sz w:val="6"/>
      </w:rPr>
    </w:pPr>
  </w:p>
  <w:p w:rsidR="003B1332" w:rsidRDefault="00C90EF7">
    <w:pPr>
      <w:ind w:right="6010"/>
      <w:jc w:val="center"/>
      <w:rPr>
        <w:b/>
        <w:szCs w:val="26"/>
      </w:rPr>
    </w:pPr>
    <w:proofErr w:type="gramStart"/>
    <w:r>
      <w:rPr>
        <w:szCs w:val="26"/>
      </w:rPr>
      <w:t>de</w:t>
    </w:r>
    <w:proofErr w:type="gramEnd"/>
    <w:r>
      <w:rPr>
        <w:sz w:val="24"/>
        <w:szCs w:val="24"/>
      </w:rPr>
      <w:t xml:space="preserve"> </w:t>
    </w:r>
    <w:r>
      <w:rPr>
        <w:b/>
        <w:szCs w:val="26"/>
      </w:rPr>
      <w:t>CHELVA</w:t>
    </w:r>
  </w:p>
  <w:p w:rsidR="003B1332" w:rsidRDefault="003B1332">
    <w:pPr>
      <w:rPr>
        <w:sz w:val="14"/>
      </w:rPr>
    </w:pPr>
  </w:p>
  <w:p w:rsidR="003B1332" w:rsidRDefault="00C90EF7">
    <w:pPr>
      <w:rPr>
        <w:rFonts w:ascii="Comic Sans MS" w:hAnsi="Comic Sans MS"/>
        <w:sz w:val="16"/>
        <w:szCs w:val="16"/>
      </w:rPr>
    </w:pPr>
    <w:r>
      <w:rPr>
        <w:rFonts w:ascii="Comic Sans MS" w:hAnsi="Comic Sans MS"/>
        <w:sz w:val="16"/>
        <w:szCs w:val="16"/>
      </w:rPr>
      <w:t xml:space="preserve">  Plaza Mayor Nº 1   46176-</w:t>
    </w:r>
    <w:r>
      <w:rPr>
        <w:rFonts w:ascii="Comic Sans MS" w:hAnsi="Comic Sans MS"/>
        <w:b/>
        <w:sz w:val="16"/>
        <w:szCs w:val="16"/>
      </w:rPr>
      <w:t>CHELVA</w:t>
    </w:r>
    <w:r>
      <w:rPr>
        <w:rFonts w:ascii="Comic Sans MS" w:hAnsi="Comic Sans MS"/>
        <w:sz w:val="16"/>
        <w:szCs w:val="16"/>
      </w:rPr>
      <w:t xml:space="preserve"> (VALENCIA)</w:t>
    </w:r>
  </w:p>
  <w:p w:rsidR="003B1332" w:rsidRDefault="00C90EF7">
    <w:pPr>
      <w:rPr>
        <w:rFonts w:ascii="Comic Sans MS" w:hAnsi="Comic Sans MS"/>
        <w:sz w:val="16"/>
        <w:szCs w:val="16"/>
      </w:rPr>
    </w:pPr>
    <w:r>
      <w:rPr>
        <w:rFonts w:ascii="Comic Sans MS" w:hAnsi="Comic Sans MS"/>
        <w:sz w:val="16"/>
        <w:szCs w:val="16"/>
      </w:rPr>
      <w:t xml:space="preserve">  </w:t>
    </w:r>
    <w:r>
      <w:rPr>
        <w:rFonts w:ascii="Comic Sans MS" w:hAnsi="Comic Sans MS"/>
        <w:sz w:val="16"/>
        <w:szCs w:val="16"/>
        <w:lang w:val="en-GB"/>
      </w:rPr>
      <w:t>C.I.F. P-4610800-</w:t>
    </w:r>
    <w:proofErr w:type="gramStart"/>
    <w:r>
      <w:rPr>
        <w:rFonts w:ascii="Comic Sans MS" w:hAnsi="Comic Sans MS"/>
        <w:sz w:val="16"/>
        <w:szCs w:val="16"/>
        <w:lang w:val="en-GB"/>
      </w:rPr>
      <w:t xml:space="preserve">G  </w:t>
    </w:r>
    <w:proofErr w:type="spellStart"/>
    <w:r>
      <w:rPr>
        <w:rFonts w:ascii="Comic Sans MS" w:hAnsi="Comic Sans MS"/>
        <w:sz w:val="16"/>
        <w:szCs w:val="16"/>
        <w:lang w:val="en-GB"/>
      </w:rPr>
      <w:t>Telf</w:t>
    </w:r>
    <w:proofErr w:type="spellEnd"/>
    <w:proofErr w:type="gramEnd"/>
    <w:r>
      <w:rPr>
        <w:rFonts w:ascii="Comic Sans MS" w:hAnsi="Comic Sans MS"/>
        <w:sz w:val="16"/>
        <w:szCs w:val="16"/>
        <w:lang w:val="en-GB"/>
      </w:rPr>
      <w:t xml:space="preserve">. (34) 962100011   Fax.  </w:t>
    </w:r>
    <w:r>
      <w:rPr>
        <w:rFonts w:ascii="Comic Sans MS" w:hAnsi="Comic Sans MS"/>
        <w:sz w:val="16"/>
        <w:szCs w:val="16"/>
      </w:rPr>
      <w:t>(34) 962100986</w:t>
    </w:r>
  </w:p>
  <w:p w:rsidR="003B1332" w:rsidRDefault="003B133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332" w:rsidRDefault="003B1332">
    <w:pPr>
      <w:pStyle w:val="Header"/>
    </w:pPr>
  </w:p>
  <w:p w:rsidR="003B1332" w:rsidRDefault="00C90EF7">
    <w:pPr>
      <w:tabs>
        <w:tab w:val="left" w:pos="-426"/>
        <w:tab w:val="left" w:pos="-142"/>
      </w:tabs>
      <w:ind w:right="941"/>
    </w:pPr>
    <w:r>
      <w:t xml:space="preserve">             </w:t>
    </w:r>
    <w:r>
      <w:rPr>
        <w:noProof/>
      </w:rPr>
      <w:drawing>
        <wp:inline distT="0" distB="0" distL="0" distR="0">
          <wp:extent cx="390525" cy="666750"/>
          <wp:effectExtent l="0" t="0" r="0" b="0"/>
          <wp:docPr id="3" name="Imagen 1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5" descr="ESCUDO"/>
                  <pic:cNvPicPr>
                    <a:picLocks noChangeAspect="1" noChangeArrowheads="1"/>
                  </pic:cNvPicPr>
                </pic:nvPicPr>
                <pic:blipFill>
                  <a:blip r:embed="rId1"/>
                  <a:stretch>
                    <a:fillRect/>
                  </a:stretch>
                </pic:blipFill>
                <pic:spPr bwMode="auto">
                  <a:xfrm>
                    <a:off x="0" y="0"/>
                    <a:ext cx="390525" cy="666750"/>
                  </a:xfrm>
                  <a:prstGeom prst="rect">
                    <a:avLst/>
                  </a:prstGeom>
                </pic:spPr>
              </pic:pic>
            </a:graphicData>
          </a:graphic>
        </wp:inline>
      </w:drawing>
    </w:r>
  </w:p>
  <w:p w:rsidR="003B1332" w:rsidRDefault="003B1332">
    <w:pPr>
      <w:rPr>
        <w:sz w:val="8"/>
      </w:rPr>
    </w:pPr>
  </w:p>
  <w:p w:rsidR="003B1332" w:rsidRDefault="00C90EF7">
    <w:pPr>
      <w:ind w:right="5952"/>
      <w:jc w:val="center"/>
    </w:pPr>
    <w:r>
      <w:rPr>
        <w:noProof/>
      </w:rPr>
      <w:drawing>
        <wp:inline distT="0" distB="0" distL="0" distR="0">
          <wp:extent cx="1352550" cy="142875"/>
          <wp:effectExtent l="0" t="0" r="0" b="0"/>
          <wp:docPr id="4" name="Imagen 16" descr="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6" descr="AYUNTAMIENTO"/>
                  <pic:cNvPicPr>
                    <a:picLocks noChangeAspect="1" noChangeArrowheads="1"/>
                  </pic:cNvPicPr>
                </pic:nvPicPr>
                <pic:blipFill>
                  <a:blip r:embed="rId2"/>
                  <a:stretch>
                    <a:fillRect/>
                  </a:stretch>
                </pic:blipFill>
                <pic:spPr bwMode="auto">
                  <a:xfrm>
                    <a:off x="0" y="0"/>
                    <a:ext cx="1352550" cy="142875"/>
                  </a:xfrm>
                  <a:prstGeom prst="rect">
                    <a:avLst/>
                  </a:prstGeom>
                </pic:spPr>
              </pic:pic>
            </a:graphicData>
          </a:graphic>
        </wp:inline>
      </w:drawing>
    </w:r>
  </w:p>
  <w:p w:rsidR="003B1332" w:rsidRDefault="003B1332">
    <w:pPr>
      <w:ind w:right="5952"/>
      <w:jc w:val="center"/>
      <w:rPr>
        <w:sz w:val="6"/>
      </w:rPr>
    </w:pPr>
  </w:p>
  <w:p w:rsidR="003B1332" w:rsidRDefault="00C90EF7">
    <w:pPr>
      <w:ind w:right="6010"/>
      <w:jc w:val="center"/>
      <w:rPr>
        <w:b/>
        <w:szCs w:val="26"/>
      </w:rPr>
    </w:pPr>
    <w:proofErr w:type="gramStart"/>
    <w:r>
      <w:rPr>
        <w:szCs w:val="26"/>
      </w:rPr>
      <w:t>de</w:t>
    </w:r>
    <w:proofErr w:type="gramEnd"/>
    <w:r>
      <w:rPr>
        <w:sz w:val="24"/>
        <w:szCs w:val="24"/>
      </w:rPr>
      <w:t xml:space="preserve"> </w:t>
    </w:r>
    <w:r>
      <w:rPr>
        <w:b/>
        <w:szCs w:val="26"/>
      </w:rPr>
      <w:t>CHELVA</w:t>
    </w:r>
  </w:p>
  <w:p w:rsidR="003B1332" w:rsidRDefault="003B1332">
    <w:pPr>
      <w:rPr>
        <w:sz w:val="14"/>
      </w:rPr>
    </w:pPr>
  </w:p>
  <w:p w:rsidR="003B1332" w:rsidRDefault="00C90EF7">
    <w:pPr>
      <w:rPr>
        <w:rFonts w:ascii="Comic Sans MS" w:hAnsi="Comic Sans MS"/>
        <w:sz w:val="16"/>
        <w:szCs w:val="16"/>
      </w:rPr>
    </w:pPr>
    <w:r>
      <w:rPr>
        <w:rFonts w:ascii="Comic Sans MS" w:hAnsi="Comic Sans MS"/>
        <w:sz w:val="16"/>
        <w:szCs w:val="16"/>
      </w:rPr>
      <w:t xml:space="preserve">  Plaza Mayor Nº 1   46176-</w:t>
    </w:r>
    <w:r>
      <w:rPr>
        <w:rFonts w:ascii="Comic Sans MS" w:hAnsi="Comic Sans MS"/>
        <w:b/>
        <w:sz w:val="16"/>
        <w:szCs w:val="16"/>
      </w:rPr>
      <w:t>CHELVA</w:t>
    </w:r>
    <w:r>
      <w:rPr>
        <w:rFonts w:ascii="Comic Sans MS" w:hAnsi="Comic Sans MS"/>
        <w:sz w:val="16"/>
        <w:szCs w:val="16"/>
      </w:rPr>
      <w:t xml:space="preserve"> (VALENCIA)</w:t>
    </w:r>
  </w:p>
  <w:p w:rsidR="003B1332" w:rsidRDefault="00C90EF7">
    <w:pPr>
      <w:rPr>
        <w:rFonts w:ascii="Comic Sans MS" w:hAnsi="Comic Sans MS"/>
        <w:sz w:val="16"/>
        <w:szCs w:val="16"/>
      </w:rPr>
    </w:pPr>
    <w:r>
      <w:rPr>
        <w:rFonts w:ascii="Comic Sans MS" w:hAnsi="Comic Sans MS"/>
        <w:sz w:val="16"/>
        <w:szCs w:val="16"/>
      </w:rPr>
      <w:t xml:space="preserve">  </w:t>
    </w:r>
    <w:r>
      <w:rPr>
        <w:rFonts w:ascii="Comic Sans MS" w:hAnsi="Comic Sans MS"/>
        <w:sz w:val="16"/>
        <w:szCs w:val="16"/>
        <w:lang w:val="en-GB"/>
      </w:rPr>
      <w:t>C.I.F. P-4610800-</w:t>
    </w:r>
    <w:proofErr w:type="gramStart"/>
    <w:r>
      <w:rPr>
        <w:rFonts w:ascii="Comic Sans MS" w:hAnsi="Comic Sans MS"/>
        <w:sz w:val="16"/>
        <w:szCs w:val="16"/>
        <w:lang w:val="en-GB"/>
      </w:rPr>
      <w:t xml:space="preserve">G  </w:t>
    </w:r>
    <w:proofErr w:type="spellStart"/>
    <w:r>
      <w:rPr>
        <w:rFonts w:ascii="Comic Sans MS" w:hAnsi="Comic Sans MS"/>
        <w:sz w:val="16"/>
        <w:szCs w:val="16"/>
        <w:lang w:val="en-GB"/>
      </w:rPr>
      <w:t>Telf</w:t>
    </w:r>
    <w:proofErr w:type="spellEnd"/>
    <w:proofErr w:type="gramEnd"/>
    <w:r>
      <w:rPr>
        <w:rFonts w:ascii="Comic Sans MS" w:hAnsi="Comic Sans MS"/>
        <w:sz w:val="16"/>
        <w:szCs w:val="16"/>
        <w:lang w:val="en-GB"/>
      </w:rPr>
      <w:t xml:space="preserve">. (34) 962100011   Fax.  </w:t>
    </w:r>
    <w:r>
      <w:rPr>
        <w:rFonts w:ascii="Comic Sans MS" w:hAnsi="Comic Sans MS"/>
        <w:sz w:val="16"/>
        <w:szCs w:val="16"/>
      </w:rPr>
      <w:t>(34) 962100986</w:t>
    </w:r>
  </w:p>
  <w:p w:rsidR="003B1332" w:rsidRDefault="003B133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607A39"/>
    <w:multiLevelType w:val="multilevel"/>
    <w:tmpl w:val="5CF82E52"/>
    <w:lvl w:ilvl="0">
      <w:start w:val="1"/>
      <w:numFmt w:val="low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1">
    <w:nsid w:val="3FD2114A"/>
    <w:multiLevelType w:val="multilevel"/>
    <w:tmpl w:val="0158E5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641703E3"/>
    <w:multiLevelType w:val="multilevel"/>
    <w:tmpl w:val="B9AEB9F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autoHyphenation/>
  <w:hyphenationZone w:val="425"/>
  <w:characterSpacingControl w:val="doNotCompress"/>
  <w:footnotePr>
    <w:footnote w:id="-1"/>
    <w:footnote w:id="0"/>
  </w:footnotePr>
  <w:endnotePr>
    <w:endnote w:id="-1"/>
    <w:endnote w:id="0"/>
  </w:endnotePr>
  <w:compat/>
  <w:rsids>
    <w:rsidRoot w:val="003B1332"/>
    <w:rsid w:val="002C6A90"/>
    <w:rsid w:val="003B1332"/>
    <w:rsid w:val="006212E9"/>
    <w:rsid w:val="00AC49D1"/>
    <w:rsid w:val="00C90EF7"/>
    <w:rsid w:val="00FF3A2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1E8"/>
    <w:pPr>
      <w:jc w:val="both"/>
    </w:pPr>
    <w:rPr>
      <w:rFonts w:ascii="Arial" w:hAnsi="Arial" w:cs="Gautami"/>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TMLconformatoprevioCar">
    <w:name w:val="HTML con formato previo Car"/>
    <w:link w:val="HTMLconformatoprevio"/>
    <w:qFormat/>
    <w:rsid w:val="00A8427E"/>
    <w:rPr>
      <w:rFonts w:ascii="Courier New" w:hAnsi="Courier New" w:cs="Courier New"/>
    </w:rPr>
  </w:style>
  <w:style w:type="character" w:customStyle="1" w:styleId="EnlacedeInternet">
    <w:name w:val="Enlace de Internet"/>
    <w:rsid w:val="00850AA2"/>
    <w:rPr>
      <w:color w:val="000080"/>
      <w:u w:val="single"/>
    </w:rPr>
  </w:style>
  <w:style w:type="paragraph" w:styleId="Ttulo">
    <w:name w:val="Title"/>
    <w:basedOn w:val="Normal"/>
    <w:next w:val="Textoindependiente"/>
    <w:qFormat/>
    <w:rsid w:val="001A5DCF"/>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A5DCF"/>
    <w:pPr>
      <w:spacing w:after="140" w:line="288" w:lineRule="auto"/>
    </w:pPr>
  </w:style>
  <w:style w:type="paragraph" w:styleId="Lista">
    <w:name w:val="List"/>
    <w:basedOn w:val="Textoindependiente"/>
    <w:rsid w:val="001A5DCF"/>
    <w:rPr>
      <w:rFonts w:cs="Mangal"/>
    </w:rPr>
  </w:style>
  <w:style w:type="paragraph" w:customStyle="1" w:styleId="Caption">
    <w:name w:val="Caption"/>
    <w:basedOn w:val="Normal"/>
    <w:qFormat/>
    <w:rsid w:val="001A5DCF"/>
    <w:pPr>
      <w:suppressLineNumbers/>
      <w:spacing w:before="120" w:after="120"/>
    </w:pPr>
    <w:rPr>
      <w:rFonts w:cs="Mangal"/>
      <w:i/>
      <w:iCs/>
      <w:sz w:val="24"/>
      <w:szCs w:val="24"/>
    </w:rPr>
  </w:style>
  <w:style w:type="paragraph" w:customStyle="1" w:styleId="ndice">
    <w:name w:val="Índice"/>
    <w:basedOn w:val="Normal"/>
    <w:qFormat/>
    <w:rsid w:val="001A5DCF"/>
    <w:pPr>
      <w:suppressLineNumbers/>
    </w:pPr>
    <w:rPr>
      <w:rFonts w:cs="Mangal"/>
    </w:rPr>
  </w:style>
  <w:style w:type="paragraph" w:customStyle="1" w:styleId="Cabeceraypie">
    <w:name w:val="Cabecera y pie"/>
    <w:basedOn w:val="Normal"/>
    <w:qFormat/>
    <w:rsid w:val="003B1332"/>
  </w:style>
  <w:style w:type="paragraph" w:customStyle="1" w:styleId="Header">
    <w:name w:val="Header"/>
    <w:basedOn w:val="Normal"/>
    <w:rsid w:val="000853D0"/>
    <w:pPr>
      <w:tabs>
        <w:tab w:val="center" w:pos="4252"/>
        <w:tab w:val="right" w:pos="8504"/>
      </w:tabs>
    </w:pPr>
  </w:style>
  <w:style w:type="paragraph" w:customStyle="1" w:styleId="Footer">
    <w:name w:val="Footer"/>
    <w:basedOn w:val="Normal"/>
    <w:rsid w:val="000853D0"/>
    <w:pPr>
      <w:tabs>
        <w:tab w:val="center" w:pos="4252"/>
        <w:tab w:val="right" w:pos="8504"/>
      </w:tabs>
    </w:pPr>
  </w:style>
  <w:style w:type="paragraph" w:styleId="Textodeglobo">
    <w:name w:val="Balloon Text"/>
    <w:basedOn w:val="Normal"/>
    <w:semiHidden/>
    <w:qFormat/>
    <w:rsid w:val="000853D0"/>
    <w:rPr>
      <w:rFonts w:ascii="Tahoma" w:hAnsi="Tahoma" w:cs="Tahoma"/>
      <w:sz w:val="16"/>
      <w:szCs w:val="16"/>
    </w:rPr>
  </w:style>
  <w:style w:type="paragraph" w:styleId="HTMLconformatoprevio">
    <w:name w:val="HTML Preformatted"/>
    <w:basedOn w:val="Normal"/>
    <w:link w:val="HTMLconformatoprevioCar"/>
    <w:qFormat/>
    <w:rsid w:val="00A84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msonospacing0">
    <w:name w:val="msonospacing"/>
    <w:basedOn w:val="Normal"/>
    <w:qFormat/>
    <w:rsid w:val="00A8427E"/>
    <w:pPr>
      <w:spacing w:beforeAutospacing="1" w:afterAutospacing="1"/>
      <w:jc w:val="left"/>
    </w:pPr>
    <w:rPr>
      <w:rFonts w:ascii="Times New Roman" w:hAnsi="Times New Roman" w:cs="Times New Roman"/>
      <w:sz w:val="24"/>
      <w:szCs w:val="24"/>
    </w:rPr>
  </w:style>
  <w:style w:type="paragraph" w:styleId="Prrafodelista">
    <w:name w:val="List Paragraph"/>
    <w:basedOn w:val="Normal"/>
    <w:uiPriority w:val="34"/>
    <w:qFormat/>
    <w:rsid w:val="00920955"/>
    <w:pPr>
      <w:ind w:left="708"/>
    </w:pPr>
  </w:style>
  <w:style w:type="paragraph" w:styleId="NormalWeb">
    <w:name w:val="Normal (Web)"/>
    <w:basedOn w:val="Normal"/>
    <w:uiPriority w:val="99"/>
    <w:unhideWhenUsed/>
    <w:qFormat/>
    <w:rsid w:val="004A215B"/>
    <w:pPr>
      <w:spacing w:beforeAutospacing="1" w:afterAutospacing="1"/>
      <w:jc w:val="left"/>
    </w:pPr>
    <w:rPr>
      <w:rFonts w:ascii="Times New Roman" w:hAnsi="Times New Roman" w:cs="Times New Roman"/>
      <w:sz w:val="24"/>
      <w:szCs w:val="24"/>
    </w:rPr>
  </w:style>
  <w:style w:type="paragraph" w:customStyle="1" w:styleId="Default">
    <w:name w:val="Default"/>
    <w:qFormat/>
    <w:rsid w:val="00035DA3"/>
    <w:rPr>
      <w:rFonts w:ascii="Arial" w:hAnsi="Arial" w:cs="Arial"/>
      <w:color w:val="000000"/>
      <w:sz w:val="24"/>
      <w:szCs w:val="24"/>
    </w:rPr>
  </w:style>
  <w:style w:type="paragraph" w:customStyle="1" w:styleId="western">
    <w:name w:val="western"/>
    <w:basedOn w:val="Normal"/>
    <w:qFormat/>
    <w:rsid w:val="00343427"/>
    <w:pPr>
      <w:spacing w:beforeAutospacing="1" w:after="119"/>
      <w:jc w:val="left"/>
    </w:pPr>
    <w:rPr>
      <w:rFonts w:cs="Arial"/>
      <w:color w:val="000000"/>
      <w:sz w:val="20"/>
    </w:rPr>
  </w:style>
  <w:style w:type="paragraph" w:customStyle="1" w:styleId="Tablanormal1">
    <w:name w:val="Tabla normal1"/>
    <w:qFormat/>
    <w:rsid w:val="003B1332"/>
    <w:rPr>
      <w:rFonts w:eastAsia="Symbol"/>
    </w:rPr>
  </w:style>
  <w:style w:type="table" w:styleId="Tablaconcuadrcula">
    <w:name w:val="Table Grid"/>
    <w:basedOn w:val="Tablanormal"/>
    <w:rsid w:val="004B3BEA"/>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helva.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1782</Words>
  <Characters>9806</Characters>
  <Application>Microsoft Office Word</Application>
  <DocSecurity>0</DocSecurity>
  <Lines>81</Lines>
  <Paragraphs>23</Paragraphs>
  <ScaleCrop>false</ScaleCrop>
  <Company>Gabinete Psicoanalítico Baumgarten</Company>
  <LinksUpToDate>false</LinksUpToDate>
  <CharactersWithSpaces>11565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Samuel</dc:creator>
  <dc:description/>
  <cp:lastModifiedBy>AEDL</cp:lastModifiedBy>
  <cp:revision>3</cp:revision>
  <cp:lastPrinted>2015-04-08T10:08:00Z</cp:lastPrinted>
  <dcterms:created xsi:type="dcterms:W3CDTF">2020-12-10T18:23:00Z</dcterms:created>
  <dcterms:modified xsi:type="dcterms:W3CDTF">2020-12-10T18:24:00Z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Gabinete Psicoanalítico Baumgarten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