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591" w:rsidRPr="00C857A6" w:rsidRDefault="00C46591" w:rsidP="00E66F7C">
      <w:pPr>
        <w:rPr>
          <w:rFonts w:eastAsia="ArialMT" w:cs="Arial"/>
          <w:b/>
          <w:sz w:val="22"/>
          <w:szCs w:val="22"/>
        </w:rPr>
      </w:pPr>
    </w:p>
    <w:p w:rsidR="00537D24" w:rsidRPr="00C857A6" w:rsidRDefault="00C857A6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  <w:r w:rsidRPr="00C857A6">
        <w:rPr>
          <w:rFonts w:cs="Arial"/>
          <w:b/>
          <w:sz w:val="22"/>
          <w:szCs w:val="22"/>
        </w:rPr>
        <w:t xml:space="preserve">CONVOCATORIA DE AYUDAS </w:t>
      </w:r>
      <w:r w:rsidR="00537D24" w:rsidRPr="00C857A6">
        <w:rPr>
          <w:rFonts w:cs="Arial"/>
          <w:b/>
          <w:sz w:val="22"/>
          <w:szCs w:val="22"/>
        </w:rPr>
        <w:t xml:space="preserve">PARA LA MOVILIDAD SOSTENIBLE DE </w:t>
      </w:r>
      <w:r w:rsidRPr="00C857A6">
        <w:rPr>
          <w:rFonts w:cs="Arial"/>
          <w:b/>
          <w:sz w:val="22"/>
          <w:szCs w:val="22"/>
        </w:rPr>
        <w:t xml:space="preserve">AUTÓNOMOS Y </w:t>
      </w:r>
      <w:r w:rsidR="00537D24" w:rsidRPr="00C857A6">
        <w:rPr>
          <w:rFonts w:cs="Arial"/>
          <w:b/>
          <w:sz w:val="22"/>
          <w:szCs w:val="22"/>
        </w:rPr>
        <w:t xml:space="preserve">MICROEMPRESAS 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  <w:r w:rsidRPr="00C857A6">
        <w:rPr>
          <w:rFonts w:cs="Arial"/>
          <w:b/>
          <w:sz w:val="22"/>
          <w:szCs w:val="22"/>
        </w:rPr>
        <w:t>1. Objeto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El objetivo de esta convocatoria es promover modelos de negocio ambientalmente sostenibles, fomentando la compra de vehículos eléctricos, e híbridos </w:t>
      </w:r>
      <w:proofErr w:type="spellStart"/>
      <w:r w:rsidRPr="00C857A6">
        <w:rPr>
          <w:rFonts w:cs="Arial"/>
          <w:sz w:val="22"/>
          <w:szCs w:val="22"/>
        </w:rPr>
        <w:t>enchufables</w:t>
      </w:r>
      <w:proofErr w:type="spellEnd"/>
      <w:r w:rsidRPr="00C857A6">
        <w:rPr>
          <w:rFonts w:cs="Arial"/>
          <w:sz w:val="22"/>
          <w:szCs w:val="22"/>
        </w:rPr>
        <w:t xml:space="preserve"> de autonomía superior a 40km, destinados al servicio de taxi o uso comercial, por parte de trabajadores autónomos y microempresas de </w:t>
      </w:r>
      <w:proofErr w:type="spellStart"/>
      <w:r w:rsidRPr="00C857A6">
        <w:rPr>
          <w:rFonts w:cs="Arial"/>
          <w:sz w:val="22"/>
          <w:szCs w:val="22"/>
        </w:rPr>
        <w:t>Molins</w:t>
      </w:r>
      <w:proofErr w:type="spellEnd"/>
      <w:r w:rsidRPr="00C857A6">
        <w:rPr>
          <w:rFonts w:cs="Arial"/>
          <w:sz w:val="22"/>
          <w:szCs w:val="22"/>
        </w:rPr>
        <w:t xml:space="preserve"> de </w:t>
      </w:r>
      <w:proofErr w:type="spellStart"/>
      <w:r w:rsidRPr="00C857A6">
        <w:rPr>
          <w:rFonts w:cs="Arial"/>
          <w:sz w:val="22"/>
          <w:szCs w:val="22"/>
        </w:rPr>
        <w:t>Rei</w:t>
      </w:r>
      <w:proofErr w:type="spellEnd"/>
      <w:r w:rsidRPr="00C857A6">
        <w:rPr>
          <w:rFonts w:cs="Arial"/>
          <w:sz w:val="22"/>
          <w:szCs w:val="22"/>
        </w:rPr>
        <w:t xml:space="preserve">. 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El cambio climático asociado con el rápido aumento de la temperatura de nuestro planeta que constituye el mayor desafío ambiental y socioeconómico al que se enfrentan los países a escala mundial. Las emisiones de gases de efecto invernadero están creciendo, y las emisiones de CO2 son el principal gas de efecto invernadero, y por lo tanto es necesario que el sector empresarial sea socialmente responsable, que los modelos de negocio sean compatibles con las limitaciones medioambientales y contribuyan a una movilidad sostenible y mejoren la calidad del aire. 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>Por esta razón, con el fin de contribuir a la reactivación económica de las empresas, y no perder puestos de trabajo, y promover medidas que promuevan empresas ambientalmente sosteni</w:t>
      </w:r>
      <w:r w:rsidR="00C857A6">
        <w:rPr>
          <w:rFonts w:cs="Arial"/>
          <w:sz w:val="22"/>
          <w:szCs w:val="22"/>
        </w:rPr>
        <w:t>bles, se establecen ayudas</w:t>
      </w:r>
      <w:r w:rsidRPr="00C857A6">
        <w:rPr>
          <w:rFonts w:cs="Arial"/>
          <w:sz w:val="22"/>
          <w:szCs w:val="22"/>
        </w:rPr>
        <w:t xml:space="preserve"> para la movilidad sostenible de los autónomos y las microempresas. 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  <w:r w:rsidRPr="00C857A6">
        <w:rPr>
          <w:rFonts w:cs="Arial"/>
          <w:b/>
          <w:sz w:val="22"/>
          <w:szCs w:val="22"/>
        </w:rPr>
        <w:t>2. Bases reguladoras y normativas aplicables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Las bases reguladoras específicas de la convocatoria de </w:t>
      </w:r>
      <w:r w:rsidR="00C857A6">
        <w:rPr>
          <w:rFonts w:cs="Arial"/>
          <w:sz w:val="22"/>
          <w:szCs w:val="22"/>
        </w:rPr>
        <w:t>ayudas</w:t>
      </w:r>
      <w:r w:rsidRPr="00C857A6">
        <w:rPr>
          <w:rFonts w:cs="Arial"/>
          <w:sz w:val="22"/>
          <w:szCs w:val="22"/>
        </w:rPr>
        <w:t xml:space="preserve"> para la movilidad sostenible de los trabajadores autónomos y de las microempresas fueron aprobadas por la Sesión Plenaria del Ayuntamiento de </w:t>
      </w:r>
      <w:proofErr w:type="spellStart"/>
      <w:r w:rsidRPr="00C857A6">
        <w:rPr>
          <w:rFonts w:cs="Arial"/>
          <w:sz w:val="22"/>
          <w:szCs w:val="22"/>
        </w:rPr>
        <w:t>Molins</w:t>
      </w:r>
      <w:proofErr w:type="spellEnd"/>
      <w:r w:rsidRPr="00C857A6">
        <w:rPr>
          <w:rFonts w:cs="Arial"/>
          <w:sz w:val="22"/>
          <w:szCs w:val="22"/>
        </w:rPr>
        <w:t xml:space="preserve"> de </w:t>
      </w:r>
      <w:proofErr w:type="spellStart"/>
      <w:r w:rsidRPr="00C857A6">
        <w:rPr>
          <w:rFonts w:cs="Arial"/>
          <w:sz w:val="22"/>
          <w:szCs w:val="22"/>
        </w:rPr>
        <w:t>Rei</w:t>
      </w:r>
      <w:proofErr w:type="spellEnd"/>
      <w:r w:rsidRPr="00C857A6">
        <w:rPr>
          <w:rFonts w:cs="Arial"/>
          <w:sz w:val="22"/>
          <w:szCs w:val="22"/>
        </w:rPr>
        <w:t xml:space="preserve">, en una sesión ordinaria celebrada el 30 de septiembre de 2020, y publicada íntegramente en el Boletín Oficial de la Provincia de Barcelona, de 27 de octubre de 2020, con número de registro CVE 20200266.  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Estas subvenciones se rigen por la Ordenanza reguladora de la concesión de subvenciones del Ayuntamiento de </w:t>
      </w:r>
      <w:proofErr w:type="spellStart"/>
      <w:r w:rsidRPr="00C857A6">
        <w:rPr>
          <w:rFonts w:cs="Arial"/>
          <w:sz w:val="22"/>
          <w:szCs w:val="22"/>
        </w:rPr>
        <w:t>Molins</w:t>
      </w:r>
      <w:proofErr w:type="spellEnd"/>
      <w:r w:rsidRPr="00C857A6">
        <w:rPr>
          <w:rFonts w:cs="Arial"/>
          <w:sz w:val="22"/>
          <w:szCs w:val="22"/>
        </w:rPr>
        <w:t xml:space="preserve"> de </w:t>
      </w:r>
      <w:proofErr w:type="spellStart"/>
      <w:r w:rsidRPr="00C857A6">
        <w:rPr>
          <w:rFonts w:cs="Arial"/>
          <w:sz w:val="22"/>
          <w:szCs w:val="22"/>
        </w:rPr>
        <w:t>Rei</w:t>
      </w:r>
      <w:proofErr w:type="spellEnd"/>
      <w:r w:rsidRPr="00C857A6">
        <w:rPr>
          <w:rFonts w:cs="Arial"/>
          <w:sz w:val="22"/>
          <w:szCs w:val="22"/>
        </w:rPr>
        <w:t>, publicada íntegramente en el Boletín Oficial de la provincia de Barcelona de 15 de febrero de 2018, así como por la Ley 38/2003, de 17 de noviembre, de Subvenciones Generales y Real Decreto 887/2006, de 21 de junio, que la desarrolla.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  <w:r w:rsidRPr="00C857A6">
        <w:rPr>
          <w:rFonts w:cs="Arial"/>
          <w:b/>
          <w:sz w:val="22"/>
          <w:szCs w:val="22"/>
        </w:rPr>
        <w:t>3. Disponibilidad presupuestaria</w:t>
      </w: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outlineLvl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>La disponibilidad del crédito presupuestario inicial para 2020 es la siguiente aplicación presupuestaria:</w:t>
      </w:r>
    </w:p>
    <w:p w:rsidR="000D1AB0" w:rsidRPr="00C857A6" w:rsidRDefault="000D1AB0" w:rsidP="001A15BF">
      <w:pPr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</w:rPr>
      </w:pPr>
    </w:p>
    <w:p w:rsidR="007C7722" w:rsidRPr="00C857A6" w:rsidRDefault="007C7722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Style w:val="Tablaconcuadrcula"/>
        <w:tblW w:w="8771" w:type="dxa"/>
        <w:jc w:val="center"/>
        <w:tblLook w:val="04A0"/>
      </w:tblPr>
      <w:tblGrid>
        <w:gridCol w:w="2376"/>
        <w:gridCol w:w="4678"/>
        <w:gridCol w:w="1717"/>
      </w:tblGrid>
      <w:tr w:rsidR="007C7722" w:rsidRPr="00C857A6" w:rsidTr="00C857A6">
        <w:trPr>
          <w:trHeight w:val="653"/>
          <w:jc w:val="center"/>
        </w:trPr>
        <w:tc>
          <w:tcPr>
            <w:tcW w:w="2376" w:type="dxa"/>
            <w:vAlign w:val="center"/>
          </w:tcPr>
          <w:p w:rsidR="007C7722" w:rsidRPr="00C857A6" w:rsidRDefault="007C7722" w:rsidP="00C857A6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C857A6">
              <w:rPr>
                <w:rFonts w:cs="Arial"/>
                <w:b/>
                <w:sz w:val="22"/>
                <w:szCs w:val="22"/>
              </w:rPr>
              <w:t>APLICACIÓ</w:t>
            </w:r>
            <w:r w:rsidR="00C857A6">
              <w:rPr>
                <w:rFonts w:cs="Arial"/>
                <w:b/>
                <w:sz w:val="22"/>
                <w:szCs w:val="22"/>
              </w:rPr>
              <w:t>N PRES</w:t>
            </w:r>
            <w:r w:rsidRPr="00C857A6">
              <w:rPr>
                <w:rFonts w:cs="Arial"/>
                <w:b/>
                <w:sz w:val="22"/>
                <w:szCs w:val="22"/>
              </w:rPr>
              <w:t>UP</w:t>
            </w:r>
            <w:r w:rsidR="00C857A6">
              <w:rPr>
                <w:rFonts w:cs="Arial"/>
                <w:b/>
                <w:sz w:val="22"/>
                <w:szCs w:val="22"/>
              </w:rPr>
              <w:t>UESTA</w:t>
            </w:r>
            <w:r w:rsidRPr="00C857A6">
              <w:rPr>
                <w:rFonts w:cs="Arial"/>
                <w:b/>
                <w:sz w:val="22"/>
                <w:szCs w:val="22"/>
              </w:rPr>
              <w:t>RIA</w:t>
            </w:r>
          </w:p>
        </w:tc>
        <w:tc>
          <w:tcPr>
            <w:tcW w:w="4678" w:type="dxa"/>
            <w:vAlign w:val="center"/>
          </w:tcPr>
          <w:p w:rsidR="007C7722" w:rsidRPr="00C857A6" w:rsidRDefault="007C7722" w:rsidP="00E66F7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C857A6">
              <w:rPr>
                <w:rFonts w:cs="Arial"/>
                <w:b/>
                <w:sz w:val="22"/>
                <w:szCs w:val="22"/>
              </w:rPr>
              <w:t>CONCEPT</w:t>
            </w:r>
            <w:r w:rsidR="00C857A6">
              <w:rPr>
                <w:rFonts w:cs="Arial"/>
                <w:b/>
                <w:sz w:val="22"/>
                <w:szCs w:val="22"/>
              </w:rPr>
              <w:t>O</w:t>
            </w:r>
          </w:p>
        </w:tc>
        <w:tc>
          <w:tcPr>
            <w:tcW w:w="1717" w:type="dxa"/>
            <w:vAlign w:val="center"/>
          </w:tcPr>
          <w:p w:rsidR="00C857A6" w:rsidRDefault="00C857A6" w:rsidP="00E66F7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CRÈDITO</w:t>
            </w:r>
          </w:p>
          <w:p w:rsidR="007C7722" w:rsidRPr="00C857A6" w:rsidRDefault="008A0A13" w:rsidP="00E66F7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C857A6">
              <w:rPr>
                <w:rFonts w:cs="Arial"/>
                <w:b/>
                <w:sz w:val="22"/>
                <w:szCs w:val="22"/>
              </w:rPr>
              <w:t xml:space="preserve">INICIAL </w:t>
            </w:r>
            <w:r w:rsidR="007C7722" w:rsidRPr="00C857A6">
              <w:rPr>
                <w:rFonts w:cs="Arial"/>
                <w:b/>
                <w:sz w:val="22"/>
                <w:szCs w:val="22"/>
              </w:rPr>
              <w:t>20</w:t>
            </w:r>
            <w:r w:rsidR="00447C2E" w:rsidRPr="00C857A6">
              <w:rPr>
                <w:rFonts w:cs="Arial"/>
                <w:b/>
                <w:sz w:val="22"/>
                <w:szCs w:val="22"/>
              </w:rPr>
              <w:t>20</w:t>
            </w:r>
          </w:p>
        </w:tc>
      </w:tr>
      <w:tr w:rsidR="007C7722" w:rsidRPr="00C857A6" w:rsidTr="0015445F">
        <w:trPr>
          <w:jc w:val="center"/>
        </w:trPr>
        <w:tc>
          <w:tcPr>
            <w:tcW w:w="2376" w:type="dxa"/>
            <w:vAlign w:val="center"/>
          </w:tcPr>
          <w:p w:rsidR="007C7722" w:rsidRPr="00C857A6" w:rsidRDefault="0015445F" w:rsidP="00E66F7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C857A6">
              <w:rPr>
                <w:rFonts w:cs="Arial"/>
                <w:sz w:val="22"/>
                <w:szCs w:val="22"/>
              </w:rPr>
              <w:t>5200/433101/4700</w:t>
            </w:r>
            <w:r w:rsidR="001A15BF" w:rsidRPr="00C857A6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678" w:type="dxa"/>
            <w:vAlign w:val="center"/>
          </w:tcPr>
          <w:p w:rsidR="007C7722" w:rsidRPr="00C857A6" w:rsidRDefault="00C857A6" w:rsidP="00C857A6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ayudas Movilidad S</w:t>
            </w:r>
            <w:r w:rsidRPr="00C857A6">
              <w:rPr>
                <w:rFonts w:cs="Arial"/>
                <w:sz w:val="22"/>
                <w:szCs w:val="22"/>
              </w:rPr>
              <w:t>ostenible autónomos y microempresas</w:t>
            </w:r>
          </w:p>
        </w:tc>
        <w:tc>
          <w:tcPr>
            <w:tcW w:w="1717" w:type="dxa"/>
            <w:vAlign w:val="center"/>
          </w:tcPr>
          <w:p w:rsidR="007C7722" w:rsidRPr="00C857A6" w:rsidRDefault="0015445F" w:rsidP="0015445F">
            <w:pPr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C857A6">
              <w:rPr>
                <w:rFonts w:cs="Arial"/>
                <w:sz w:val="22"/>
                <w:szCs w:val="22"/>
              </w:rPr>
              <w:t>20.000€</w:t>
            </w:r>
          </w:p>
        </w:tc>
      </w:tr>
    </w:tbl>
    <w:p w:rsidR="007C7722" w:rsidRPr="00C857A6" w:rsidRDefault="007C7722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3D202B" w:rsidRDefault="00C857A6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La conce</w:t>
      </w:r>
      <w:r w:rsidR="00537D24" w:rsidRPr="00C857A6">
        <w:rPr>
          <w:rFonts w:cs="Arial"/>
          <w:sz w:val="22"/>
          <w:szCs w:val="22"/>
        </w:rPr>
        <w:t>sió</w:t>
      </w:r>
      <w:r>
        <w:rPr>
          <w:rFonts w:cs="Arial"/>
          <w:sz w:val="22"/>
          <w:szCs w:val="22"/>
        </w:rPr>
        <w:t>n de la</w:t>
      </w:r>
      <w:r w:rsidR="00537D24" w:rsidRPr="00C857A6">
        <w:rPr>
          <w:rFonts w:cs="Arial"/>
          <w:sz w:val="22"/>
          <w:szCs w:val="22"/>
        </w:rPr>
        <w:t>s subvencion</w:t>
      </w:r>
      <w:r>
        <w:rPr>
          <w:rFonts w:cs="Arial"/>
          <w:sz w:val="22"/>
          <w:szCs w:val="22"/>
        </w:rPr>
        <w:t>es está condicionada a la existencia de cré</w:t>
      </w:r>
      <w:r w:rsidR="00537D24" w:rsidRPr="00C857A6">
        <w:rPr>
          <w:rFonts w:cs="Arial"/>
          <w:sz w:val="22"/>
          <w:szCs w:val="22"/>
        </w:rPr>
        <w:t>dit</w:t>
      </w:r>
      <w:r>
        <w:rPr>
          <w:rFonts w:cs="Arial"/>
          <w:sz w:val="22"/>
          <w:szCs w:val="22"/>
        </w:rPr>
        <w:t xml:space="preserve">o adecuado y </w:t>
      </w:r>
      <w:r w:rsidR="00537D24" w:rsidRPr="00C857A6">
        <w:rPr>
          <w:rFonts w:cs="Arial"/>
          <w:sz w:val="22"/>
          <w:szCs w:val="22"/>
        </w:rPr>
        <w:t>suficient</w:t>
      </w:r>
      <w:r>
        <w:rPr>
          <w:rFonts w:cs="Arial"/>
          <w:sz w:val="22"/>
          <w:szCs w:val="22"/>
        </w:rPr>
        <w:t>e</w:t>
      </w:r>
      <w:r w:rsidR="00537D24" w:rsidRPr="00C857A6">
        <w:rPr>
          <w:rFonts w:cs="Arial"/>
          <w:sz w:val="22"/>
          <w:szCs w:val="22"/>
        </w:rPr>
        <w:t xml:space="preserve"> en el moment</w:t>
      </w:r>
      <w:r>
        <w:rPr>
          <w:rFonts w:cs="Arial"/>
          <w:sz w:val="22"/>
          <w:szCs w:val="22"/>
        </w:rPr>
        <w:t>o</w:t>
      </w:r>
      <w:r w:rsidR="00537D24" w:rsidRPr="00C857A6">
        <w:rPr>
          <w:rFonts w:cs="Arial"/>
          <w:sz w:val="22"/>
          <w:szCs w:val="22"/>
        </w:rPr>
        <w:t xml:space="preserve"> de la resolució</w:t>
      </w:r>
      <w:r>
        <w:rPr>
          <w:rFonts w:cs="Arial"/>
          <w:sz w:val="22"/>
          <w:szCs w:val="22"/>
        </w:rPr>
        <w:t>n del otorgamiento</w:t>
      </w:r>
      <w:r w:rsidR="00537D24" w:rsidRPr="00C857A6">
        <w:rPr>
          <w:rFonts w:cs="Arial"/>
          <w:sz w:val="22"/>
          <w:szCs w:val="22"/>
        </w:rPr>
        <w:t>.</w:t>
      </w:r>
    </w:p>
    <w:p w:rsidR="00D85247" w:rsidRDefault="00D85247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D85247" w:rsidRPr="00C857A6" w:rsidRDefault="00D85247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37D24" w:rsidRPr="00C857A6" w:rsidRDefault="00537D24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5445F" w:rsidRPr="00C857A6" w:rsidRDefault="00C857A6" w:rsidP="00C857A6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4. Soli</w:t>
      </w:r>
      <w:r w:rsidR="0015445F" w:rsidRPr="00C857A6">
        <w:rPr>
          <w:rFonts w:cs="Arial"/>
          <w:b/>
        </w:rPr>
        <w:t>citant</w:t>
      </w:r>
      <w:r>
        <w:rPr>
          <w:rFonts w:cs="Arial"/>
          <w:b/>
        </w:rPr>
        <w:t>es y</w:t>
      </w:r>
      <w:r w:rsidR="0015445F" w:rsidRPr="00C857A6">
        <w:rPr>
          <w:rFonts w:cs="Arial"/>
          <w:b/>
        </w:rPr>
        <w:t xml:space="preserve"> </w:t>
      </w:r>
      <w:r>
        <w:rPr>
          <w:rFonts w:cs="Arial"/>
          <w:b/>
        </w:rPr>
        <w:t>gastos</w:t>
      </w:r>
      <w:r w:rsidR="00434F3D" w:rsidRPr="00C857A6">
        <w:rPr>
          <w:rFonts w:cs="Arial"/>
          <w:b/>
        </w:rPr>
        <w:t xml:space="preserve"> subvencionables</w:t>
      </w: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Esta subvención puede ser solicitada por empresas que cumplan las condiciones y requisitos establecidos en los artículos 3 y 4 de las bases reguladoras específicas para la convocatoria de subvenciones para la movilidad sostenible para trabajadores autónomos y microempresas. </w:t>
      </w: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El Ayuntamiento de </w:t>
      </w:r>
      <w:proofErr w:type="spellStart"/>
      <w:r w:rsidRPr="00C857A6">
        <w:rPr>
          <w:rFonts w:cs="Arial"/>
          <w:sz w:val="22"/>
          <w:szCs w:val="22"/>
        </w:rPr>
        <w:t>Molins</w:t>
      </w:r>
      <w:proofErr w:type="spellEnd"/>
      <w:r w:rsidRPr="00C857A6">
        <w:rPr>
          <w:rFonts w:cs="Arial"/>
          <w:sz w:val="22"/>
          <w:szCs w:val="22"/>
        </w:rPr>
        <w:t xml:space="preserve"> de </w:t>
      </w:r>
      <w:proofErr w:type="spellStart"/>
      <w:r w:rsidRPr="00C857A6">
        <w:rPr>
          <w:rFonts w:cs="Arial"/>
          <w:sz w:val="22"/>
          <w:szCs w:val="22"/>
        </w:rPr>
        <w:t>Rei</w:t>
      </w:r>
      <w:proofErr w:type="spellEnd"/>
      <w:r w:rsidRPr="00C857A6">
        <w:rPr>
          <w:rFonts w:cs="Arial"/>
          <w:sz w:val="22"/>
          <w:szCs w:val="22"/>
        </w:rPr>
        <w:t xml:space="preserve"> subvencionará con un importe máximo de 2.000 euros por empresa para la financiación de la adquisición de vehículos eléctricos al 100%, con un importe máximo de 1.000 euros para vehículos híbridos </w:t>
      </w:r>
      <w:proofErr w:type="spellStart"/>
      <w:r w:rsidRPr="00C857A6">
        <w:rPr>
          <w:rFonts w:cs="Arial"/>
          <w:sz w:val="22"/>
          <w:szCs w:val="22"/>
        </w:rPr>
        <w:t>enchufables</w:t>
      </w:r>
      <w:proofErr w:type="spellEnd"/>
      <w:r w:rsidRPr="00C857A6">
        <w:rPr>
          <w:rFonts w:cs="Arial"/>
          <w:sz w:val="22"/>
          <w:szCs w:val="22"/>
        </w:rPr>
        <w:t xml:space="preserve"> con una autonomía superior a 40 km, destinados al uso de taxi o uso comercial. Estas cantidades se incrementarán en un 10% en el caso de acreditar el desguace de un vehículo autorizado para uso comercial o taxi sin etiqueta ambiental de la DGT de la que fue propietario, en los tres meses anteriores a la adquisición del vehículo subvencionado.  </w:t>
      </w: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Los vehículos subvencionables deben ser de cuatro ruedas, incluidas en el permiso de conducción B1, B o C1. </w:t>
      </w: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 xml:space="preserve">Las motocicletas eléctricas también serán subvencionadas para uso comercial, con una subvención máxima del 10% del precio de venta antes del IVA, y con un umbral máximo de subvención de 350 euros.  </w:t>
      </w: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37D24" w:rsidRPr="00C857A6" w:rsidRDefault="00537D24" w:rsidP="00537D2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C857A6">
        <w:rPr>
          <w:rFonts w:cs="Arial"/>
          <w:sz w:val="22"/>
          <w:szCs w:val="22"/>
        </w:rPr>
        <w:t>Las subvenciones se otorgarán exclusivamente para la compra de vehículos nuevos, mediante una adquisición directa o adquisición mediante arrendamiento o alquiler, o mediante l</w:t>
      </w:r>
      <w:r w:rsidR="00D85247">
        <w:rPr>
          <w:rFonts w:cs="Arial"/>
          <w:sz w:val="22"/>
          <w:szCs w:val="22"/>
        </w:rPr>
        <w:t xml:space="preserve">a compra de un vehículo </w:t>
      </w:r>
      <w:proofErr w:type="spellStart"/>
      <w:r w:rsidR="00D85247">
        <w:rPr>
          <w:rFonts w:cs="Arial"/>
          <w:sz w:val="22"/>
          <w:szCs w:val="22"/>
        </w:rPr>
        <w:t>seminuev</w:t>
      </w:r>
      <w:r w:rsidRPr="00C857A6">
        <w:rPr>
          <w:rFonts w:cs="Arial"/>
          <w:sz w:val="22"/>
          <w:szCs w:val="22"/>
        </w:rPr>
        <w:t>o</w:t>
      </w:r>
      <w:proofErr w:type="spellEnd"/>
      <w:r w:rsidRPr="00C857A6">
        <w:rPr>
          <w:rFonts w:cs="Arial"/>
          <w:sz w:val="22"/>
          <w:szCs w:val="22"/>
        </w:rPr>
        <w:t xml:space="preserve"> (registrado por primera vez a su nombre después del 1 de enero de 2020), de un importe antes del IVA de hasta 35.000 euros, o 45.000 euros en el caso de personas con movilidad reducida. Una transmisión posterior del vehículo no está sujeta a subvención.</w:t>
      </w:r>
    </w:p>
    <w:p w:rsidR="007C7722" w:rsidRPr="00C857A6" w:rsidRDefault="007C7722" w:rsidP="00E66F7C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4F1217" w:rsidRPr="00C857A6" w:rsidRDefault="004F1217" w:rsidP="004F1217">
      <w:pPr>
        <w:rPr>
          <w:rFonts w:cs="Arial"/>
          <w:b/>
          <w:sz w:val="22"/>
          <w:szCs w:val="22"/>
        </w:rPr>
      </w:pPr>
    </w:p>
    <w:p w:rsidR="00D85247" w:rsidRDefault="00A66560" w:rsidP="00D85247">
      <w:pPr>
        <w:jc w:val="left"/>
        <w:rPr>
          <w:rFonts w:cs="Arial"/>
          <w:sz w:val="22"/>
          <w:szCs w:val="22"/>
        </w:rPr>
      </w:pPr>
      <w:r>
        <w:rPr>
          <w:rFonts w:cs="Arial"/>
          <w:b/>
          <w:color w:val="111111"/>
          <w:sz w:val="22"/>
          <w:szCs w:val="22"/>
        </w:rPr>
        <w:t>5</w:t>
      </w:r>
      <w:r w:rsidR="00C857A6" w:rsidRPr="00D85247">
        <w:rPr>
          <w:rFonts w:cs="Arial"/>
          <w:b/>
          <w:color w:val="111111"/>
          <w:sz w:val="22"/>
          <w:szCs w:val="22"/>
        </w:rPr>
        <w:t>. Presentación de la solicitud y plazo</w:t>
      </w:r>
      <w:r w:rsidR="00C857A6" w:rsidRPr="00C857A6">
        <w:rPr>
          <w:rFonts w:cs="Arial"/>
          <w:color w:val="111111"/>
          <w:sz w:val="22"/>
          <w:szCs w:val="22"/>
        </w:rPr>
        <w:br/>
      </w:r>
      <w:r w:rsidR="00C857A6" w:rsidRPr="00C857A6">
        <w:rPr>
          <w:rFonts w:cs="Arial"/>
          <w:color w:val="111111"/>
          <w:sz w:val="22"/>
          <w:szCs w:val="22"/>
        </w:rPr>
        <w:br/>
        <w:t>Se pueden obtener solicitudes y anexos para asistir a esta convocatoria:</w:t>
      </w:r>
      <w:r w:rsidR="00C857A6" w:rsidRPr="00C857A6">
        <w:rPr>
          <w:rFonts w:cs="Arial"/>
          <w:color w:val="111111"/>
          <w:sz w:val="22"/>
          <w:szCs w:val="22"/>
        </w:rPr>
        <w:br/>
      </w:r>
      <w:r w:rsidR="00C857A6" w:rsidRPr="00C857A6">
        <w:rPr>
          <w:rFonts w:cs="Arial"/>
          <w:color w:val="111111"/>
          <w:sz w:val="22"/>
          <w:szCs w:val="22"/>
        </w:rPr>
        <w:br/>
        <w:t xml:space="preserve">- en la web </w:t>
      </w:r>
      <w:hyperlink r:id="rId8" w:tgtFrame="_blank" w:history="1">
        <w:r w:rsidR="00C857A6" w:rsidRPr="00C857A6">
          <w:rPr>
            <w:rStyle w:val="Hipervnculo"/>
            <w:rFonts w:cs="Arial"/>
            <w:sz w:val="22"/>
            <w:szCs w:val="22"/>
          </w:rPr>
          <w:t>www.espaiempresa.cat</w:t>
        </w:r>
      </w:hyperlink>
      <w:r w:rsidR="00C857A6" w:rsidRPr="00C857A6">
        <w:rPr>
          <w:rFonts w:cs="Arial"/>
          <w:color w:val="111111"/>
          <w:sz w:val="22"/>
          <w:szCs w:val="22"/>
        </w:rPr>
        <w:br/>
        <w:t xml:space="preserve">- en persona en la Oficina de </w:t>
      </w:r>
      <w:r w:rsidR="00D85247">
        <w:rPr>
          <w:rFonts w:cs="Arial"/>
          <w:color w:val="111111"/>
          <w:sz w:val="22"/>
          <w:szCs w:val="22"/>
        </w:rPr>
        <w:t xml:space="preserve">Atención a la </w:t>
      </w:r>
      <w:r w:rsidR="00C857A6" w:rsidRPr="00C857A6">
        <w:rPr>
          <w:rFonts w:cs="Arial"/>
          <w:color w:val="111111"/>
          <w:sz w:val="22"/>
          <w:szCs w:val="22"/>
        </w:rPr>
        <w:t xml:space="preserve">Empresa del Ayuntamiento de </w:t>
      </w:r>
      <w:proofErr w:type="spellStart"/>
      <w:r w:rsidR="00C857A6" w:rsidRPr="00C857A6">
        <w:rPr>
          <w:rFonts w:cs="Arial"/>
          <w:color w:val="111111"/>
          <w:sz w:val="22"/>
          <w:szCs w:val="22"/>
        </w:rPr>
        <w:t>Molins</w:t>
      </w:r>
      <w:proofErr w:type="spellEnd"/>
      <w:r w:rsidR="00C857A6" w:rsidRPr="00C857A6">
        <w:rPr>
          <w:rFonts w:cs="Arial"/>
          <w:color w:val="111111"/>
          <w:sz w:val="22"/>
          <w:szCs w:val="22"/>
        </w:rPr>
        <w:t xml:space="preserve"> de </w:t>
      </w:r>
      <w:proofErr w:type="spellStart"/>
      <w:r w:rsidR="00C857A6" w:rsidRPr="00C857A6">
        <w:rPr>
          <w:rFonts w:cs="Arial"/>
          <w:color w:val="111111"/>
          <w:sz w:val="22"/>
          <w:szCs w:val="22"/>
        </w:rPr>
        <w:t>Rei</w:t>
      </w:r>
      <w:proofErr w:type="spellEnd"/>
      <w:r w:rsidR="00C857A6" w:rsidRPr="00C857A6">
        <w:rPr>
          <w:rFonts w:cs="Arial"/>
          <w:color w:val="111111"/>
          <w:sz w:val="22"/>
          <w:szCs w:val="22"/>
        </w:rPr>
        <w:t xml:space="preserve">, situada en la plaza del </w:t>
      </w:r>
      <w:proofErr w:type="spellStart"/>
      <w:r w:rsidR="00C857A6" w:rsidRPr="00C857A6">
        <w:rPr>
          <w:rFonts w:cs="Arial"/>
          <w:color w:val="111111"/>
          <w:sz w:val="22"/>
          <w:szCs w:val="22"/>
        </w:rPr>
        <w:t>Mercat</w:t>
      </w:r>
      <w:proofErr w:type="spellEnd"/>
      <w:r w:rsidR="00C857A6" w:rsidRPr="00C857A6">
        <w:rPr>
          <w:rFonts w:cs="Arial"/>
          <w:color w:val="111111"/>
          <w:sz w:val="22"/>
          <w:szCs w:val="22"/>
        </w:rPr>
        <w:t>, 5-6.</w:t>
      </w:r>
      <w:r w:rsidR="00C857A6" w:rsidRPr="00C857A6">
        <w:rPr>
          <w:rFonts w:cs="Arial"/>
          <w:color w:val="111111"/>
          <w:sz w:val="22"/>
          <w:szCs w:val="22"/>
        </w:rPr>
        <w:br/>
      </w:r>
      <w:r w:rsidR="00C857A6" w:rsidRPr="00C857A6">
        <w:rPr>
          <w:rFonts w:cs="Arial"/>
          <w:color w:val="111111"/>
          <w:sz w:val="22"/>
          <w:szCs w:val="22"/>
        </w:rPr>
        <w:br/>
      </w:r>
      <w:r w:rsidR="00C857A6" w:rsidRPr="00D85247">
        <w:rPr>
          <w:rFonts w:cs="Arial"/>
          <w:sz w:val="22"/>
          <w:szCs w:val="22"/>
        </w:rPr>
        <w:t>En cualquier caso, las solicitudes podrán presen</w:t>
      </w:r>
      <w:r w:rsidR="00D85247">
        <w:rPr>
          <w:rFonts w:cs="Arial"/>
          <w:sz w:val="22"/>
          <w:szCs w:val="22"/>
        </w:rPr>
        <w:t xml:space="preserve">tarse en la forma y condiciones </w:t>
      </w:r>
      <w:r w:rsidR="00C857A6" w:rsidRPr="00D85247">
        <w:rPr>
          <w:rFonts w:cs="Arial"/>
          <w:sz w:val="22"/>
          <w:szCs w:val="22"/>
        </w:rPr>
        <w:t>establecidas en el artículo 66.1 de la Ley 39/2015, de 1 de octubre, de Procedimiento Administrativo Común de las Administraciones Públicas.</w:t>
      </w:r>
    </w:p>
    <w:p w:rsidR="00D85247" w:rsidRDefault="00C857A6" w:rsidP="00D85247">
      <w:pPr>
        <w:rPr>
          <w:rFonts w:cs="Arial"/>
          <w:color w:val="111111"/>
          <w:sz w:val="22"/>
          <w:szCs w:val="22"/>
        </w:rPr>
      </w:pPr>
      <w:r w:rsidRPr="00C857A6">
        <w:rPr>
          <w:rFonts w:cs="Arial"/>
          <w:color w:val="111111"/>
          <w:sz w:val="22"/>
          <w:szCs w:val="22"/>
        </w:rPr>
        <w:br/>
        <w:t>El plazo para presentar las solicitudes es desde la aprobación def</w:t>
      </w:r>
      <w:r w:rsidR="00A66560">
        <w:rPr>
          <w:rFonts w:cs="Arial"/>
          <w:color w:val="111111"/>
          <w:sz w:val="22"/>
          <w:szCs w:val="22"/>
        </w:rPr>
        <w:t>initiva de las normas hasta el 21 de diciembre de 2020</w:t>
      </w:r>
      <w:r w:rsidRPr="00C857A6">
        <w:rPr>
          <w:rFonts w:cs="Arial"/>
          <w:color w:val="111111"/>
          <w:sz w:val="22"/>
          <w:szCs w:val="22"/>
        </w:rPr>
        <w:t xml:space="preserve"> o hasta que se agote el crédito disponible.</w:t>
      </w:r>
    </w:p>
    <w:p w:rsidR="00D85247" w:rsidRDefault="00D85247" w:rsidP="00D85247">
      <w:pPr>
        <w:rPr>
          <w:rFonts w:cs="Arial"/>
          <w:color w:val="111111"/>
          <w:sz w:val="22"/>
          <w:szCs w:val="22"/>
        </w:rPr>
      </w:pPr>
    </w:p>
    <w:p w:rsidR="00A66560" w:rsidRDefault="00C857A6" w:rsidP="00D85247">
      <w:pPr>
        <w:jc w:val="left"/>
        <w:rPr>
          <w:rFonts w:cs="Arial"/>
          <w:color w:val="111111"/>
          <w:sz w:val="22"/>
          <w:szCs w:val="22"/>
        </w:rPr>
      </w:pPr>
      <w:r w:rsidRPr="00C857A6">
        <w:rPr>
          <w:rFonts w:cs="Arial"/>
          <w:color w:val="111111"/>
          <w:sz w:val="22"/>
          <w:szCs w:val="22"/>
        </w:rPr>
        <w:t>La documentación que se presentará se especifica en el artículo 6.3 de las bases reguladoras específicas de la convocatoria de subvenciones para la movilidad sostenible de los trabajadores autónomos y las microempresas.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</w:r>
      <w:r w:rsidR="00A66560">
        <w:rPr>
          <w:rFonts w:cs="Arial"/>
          <w:b/>
          <w:color w:val="111111"/>
          <w:sz w:val="22"/>
          <w:szCs w:val="22"/>
        </w:rPr>
        <w:t>6</w:t>
      </w:r>
      <w:r w:rsidRPr="00D85247">
        <w:rPr>
          <w:rFonts w:cs="Arial"/>
          <w:b/>
          <w:color w:val="111111"/>
          <w:sz w:val="22"/>
          <w:szCs w:val="22"/>
        </w:rPr>
        <w:t>. Procedimiento de concesión</w:t>
      </w:r>
      <w:r w:rsidRPr="00C857A6">
        <w:rPr>
          <w:rFonts w:cs="Arial"/>
          <w:color w:val="111111"/>
          <w:sz w:val="22"/>
          <w:szCs w:val="22"/>
        </w:rPr>
        <w:t xml:space="preserve"> 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 xml:space="preserve">La concesión se realiza a través del régimen de concurrencia competitiva, por orden </w:t>
      </w:r>
      <w:r w:rsidRPr="00C857A6">
        <w:rPr>
          <w:rFonts w:cs="Arial"/>
          <w:color w:val="111111"/>
          <w:sz w:val="22"/>
          <w:szCs w:val="22"/>
        </w:rPr>
        <w:lastRenderedPageBreak/>
        <w:t xml:space="preserve">de registro de las solicitudes, dentro de los límites establecidos en el presupuesto municipal para esta subvención para 2020. 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Los criterios de concesión y evaluación de las solicitudes se regirán por las disposiciones del artículo 7 de las Bases Reglamentarias Específicas para la convo</w:t>
      </w:r>
      <w:r w:rsidR="00D85247">
        <w:rPr>
          <w:rFonts w:cs="Arial"/>
          <w:color w:val="111111"/>
          <w:sz w:val="22"/>
          <w:szCs w:val="22"/>
        </w:rPr>
        <w:t>catoria de ayudas</w:t>
      </w:r>
      <w:r w:rsidRPr="00C857A6">
        <w:rPr>
          <w:rFonts w:cs="Arial"/>
          <w:color w:val="111111"/>
          <w:sz w:val="22"/>
          <w:szCs w:val="22"/>
        </w:rPr>
        <w:t xml:space="preserve"> para la movilidad sostenible de los trabajadores autónomos y las microempresas.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Esta subvención es voluntaria, eventual y su validez se ejerce en el año en que se concede.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El beneficiario no podrá exigir el aumento o la revisión de la subvención.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</w:r>
      <w:r w:rsidR="00A66560">
        <w:rPr>
          <w:rFonts w:cs="Arial"/>
          <w:b/>
          <w:color w:val="111111"/>
          <w:sz w:val="22"/>
          <w:szCs w:val="22"/>
        </w:rPr>
        <w:t>7</w:t>
      </w:r>
      <w:r w:rsidRPr="00D85247">
        <w:rPr>
          <w:rFonts w:cs="Arial"/>
          <w:b/>
          <w:color w:val="111111"/>
          <w:sz w:val="22"/>
          <w:szCs w:val="22"/>
        </w:rPr>
        <w:t>. Plazo y forma de justificación</w:t>
      </w:r>
      <w:r w:rsidRPr="00C857A6">
        <w:rPr>
          <w:rFonts w:cs="Arial"/>
          <w:color w:val="111111"/>
          <w:sz w:val="22"/>
          <w:szCs w:val="22"/>
        </w:rPr>
        <w:t xml:space="preserve"> 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El importe de la ayuda financiera se abonará en un 100 % a la presentación de la siguiente documentación: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-Factura de compra del vehículo debidamente desglosado, indicando la matrícula o marco, marca, modelo y versión del vehículo adquirido.</w:t>
      </w:r>
      <w:r w:rsidRPr="00C857A6">
        <w:rPr>
          <w:rFonts w:cs="Arial"/>
          <w:color w:val="111111"/>
          <w:sz w:val="22"/>
          <w:szCs w:val="22"/>
        </w:rPr>
        <w:br/>
        <w:t xml:space="preserve">-Contrato de arrendamiento o alquiler, si corresponde. </w:t>
      </w:r>
      <w:r w:rsidRPr="00C857A6">
        <w:rPr>
          <w:rFonts w:cs="Arial"/>
          <w:color w:val="111111"/>
          <w:sz w:val="22"/>
          <w:szCs w:val="22"/>
        </w:rPr>
        <w:br/>
        <w:t xml:space="preserve">-Certificado que certifique la baja definitiva (desguace) de un vehículo autorizado para uso comercial o taxi sin etiqueta ambiental de la DGT. </w:t>
      </w:r>
      <w:r w:rsidRPr="00C857A6">
        <w:rPr>
          <w:rFonts w:cs="Arial"/>
          <w:color w:val="111111"/>
          <w:sz w:val="22"/>
          <w:szCs w:val="22"/>
        </w:rPr>
        <w:br/>
        <w:t>-Prueba de pago, u otros documentos que acrediten los gastos, y el recibo bancario como se ha realizado su pago. No se aceptan pagos en efectivo.</w:t>
      </w:r>
      <w:r w:rsidRPr="00C857A6">
        <w:rPr>
          <w:rFonts w:cs="Arial"/>
          <w:color w:val="111111"/>
          <w:sz w:val="22"/>
          <w:szCs w:val="22"/>
        </w:rPr>
        <w:br/>
        <w:t xml:space="preserve">- Ficha técnica del vehículo adquirido, que debe incluir el tipo de vehículo, el combustible que utiliza y la tecnología. </w:t>
      </w:r>
      <w:r w:rsidRPr="00C857A6">
        <w:rPr>
          <w:rFonts w:cs="Arial"/>
          <w:color w:val="111111"/>
          <w:sz w:val="22"/>
          <w:szCs w:val="22"/>
        </w:rPr>
        <w:br/>
        <w:t>- En el caso de los vehículos destinados al servicio de taxi, la licencia del taxi expedida por la administración competente correspondiente al vehículo para el que se solicita la subvención.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El pago de la ayuda financiera se realizará mediante transferencia a la cuenta bancaria de la empresa.</w:t>
      </w:r>
      <w:r w:rsidRPr="00C857A6">
        <w:rPr>
          <w:rFonts w:cs="Arial"/>
          <w:color w:val="111111"/>
          <w:sz w:val="22"/>
          <w:szCs w:val="22"/>
        </w:rPr>
        <w:br/>
      </w:r>
      <w:r w:rsidRPr="00C857A6">
        <w:rPr>
          <w:rFonts w:cs="Arial"/>
          <w:color w:val="111111"/>
          <w:sz w:val="22"/>
          <w:szCs w:val="22"/>
        </w:rPr>
        <w:br/>
        <w:t>El plazo de presentación de la justificación será de dos meses a partir de</w:t>
      </w:r>
      <w:r w:rsidR="00A66560">
        <w:rPr>
          <w:rFonts w:cs="Arial"/>
          <w:color w:val="111111"/>
          <w:sz w:val="22"/>
          <w:szCs w:val="22"/>
        </w:rPr>
        <w:t xml:space="preserve"> la concesión de la subvención, y siempre antes del 28 de febrero de 2021. </w:t>
      </w:r>
      <w:r w:rsidRPr="00C857A6">
        <w:rPr>
          <w:rFonts w:cs="Arial"/>
          <w:color w:val="111111"/>
          <w:sz w:val="22"/>
          <w:szCs w:val="22"/>
        </w:rPr>
        <w:br/>
      </w:r>
    </w:p>
    <w:p w:rsidR="00D85247" w:rsidRDefault="00C857A6" w:rsidP="00D85247">
      <w:pPr>
        <w:jc w:val="left"/>
        <w:rPr>
          <w:rFonts w:cs="Arial"/>
          <w:color w:val="111111"/>
          <w:sz w:val="22"/>
          <w:szCs w:val="22"/>
        </w:rPr>
      </w:pPr>
      <w:r w:rsidRPr="00C857A6">
        <w:rPr>
          <w:rFonts w:cs="Arial"/>
          <w:color w:val="111111"/>
          <w:sz w:val="22"/>
          <w:szCs w:val="22"/>
        </w:rPr>
        <w:br/>
      </w:r>
    </w:p>
    <w:p w:rsidR="00527E36" w:rsidRPr="00C857A6" w:rsidRDefault="00C857A6" w:rsidP="00D85247">
      <w:pPr>
        <w:jc w:val="left"/>
        <w:rPr>
          <w:rFonts w:cs="Arial"/>
          <w:bCs/>
          <w:sz w:val="22"/>
          <w:szCs w:val="22"/>
        </w:rPr>
      </w:pPr>
      <w:proofErr w:type="spellStart"/>
      <w:r w:rsidRPr="00C857A6">
        <w:rPr>
          <w:rFonts w:cs="Arial"/>
          <w:color w:val="111111"/>
          <w:sz w:val="22"/>
          <w:szCs w:val="22"/>
        </w:rPr>
        <w:t>Molins</w:t>
      </w:r>
      <w:proofErr w:type="spellEnd"/>
      <w:r w:rsidRPr="00C857A6">
        <w:rPr>
          <w:rFonts w:cs="Arial"/>
          <w:color w:val="111111"/>
          <w:sz w:val="22"/>
          <w:szCs w:val="22"/>
        </w:rPr>
        <w:t xml:space="preserve"> de </w:t>
      </w:r>
      <w:proofErr w:type="spellStart"/>
      <w:r w:rsidRPr="00C857A6">
        <w:rPr>
          <w:rFonts w:cs="Arial"/>
          <w:color w:val="111111"/>
          <w:sz w:val="22"/>
          <w:szCs w:val="22"/>
        </w:rPr>
        <w:t>Rei</w:t>
      </w:r>
      <w:proofErr w:type="spellEnd"/>
      <w:r w:rsidRPr="00C857A6">
        <w:rPr>
          <w:rFonts w:cs="Arial"/>
          <w:color w:val="111111"/>
          <w:sz w:val="22"/>
          <w:szCs w:val="22"/>
        </w:rPr>
        <w:t>, 7 de diciembre de 2020</w:t>
      </w:r>
    </w:p>
    <w:p w:rsidR="00527E36" w:rsidRPr="00C857A6" w:rsidRDefault="00527E36" w:rsidP="00E66F7C">
      <w:pPr>
        <w:rPr>
          <w:rFonts w:cs="Arial"/>
          <w:bCs/>
          <w:sz w:val="22"/>
          <w:szCs w:val="22"/>
        </w:rPr>
      </w:pPr>
    </w:p>
    <w:p w:rsidR="00527E36" w:rsidRPr="00C857A6" w:rsidRDefault="00D85247" w:rsidP="00E66F7C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El </w:t>
      </w:r>
      <w:r w:rsidR="00495072" w:rsidRPr="00C857A6">
        <w:rPr>
          <w:rFonts w:cs="Arial"/>
          <w:bCs/>
          <w:sz w:val="22"/>
          <w:szCs w:val="22"/>
        </w:rPr>
        <w:t>Alcalde</w:t>
      </w:r>
      <w:r w:rsidR="00527E36" w:rsidRPr="00C857A6">
        <w:rPr>
          <w:rFonts w:cs="Arial"/>
          <w:bCs/>
          <w:sz w:val="22"/>
          <w:szCs w:val="22"/>
        </w:rPr>
        <w:t>,</w:t>
      </w:r>
    </w:p>
    <w:p w:rsidR="00527E36" w:rsidRPr="00C857A6" w:rsidRDefault="00527E36" w:rsidP="00E66F7C">
      <w:pPr>
        <w:rPr>
          <w:rFonts w:cs="Arial"/>
          <w:bCs/>
          <w:sz w:val="22"/>
          <w:szCs w:val="22"/>
        </w:rPr>
      </w:pPr>
    </w:p>
    <w:p w:rsidR="00527E36" w:rsidRPr="00C857A6" w:rsidRDefault="00527E36" w:rsidP="00E66F7C">
      <w:pPr>
        <w:rPr>
          <w:rFonts w:cs="Arial"/>
          <w:bCs/>
          <w:sz w:val="22"/>
          <w:szCs w:val="22"/>
        </w:rPr>
      </w:pPr>
    </w:p>
    <w:p w:rsidR="00041AA9" w:rsidRPr="00C857A6" w:rsidRDefault="00041AA9" w:rsidP="00041AA9">
      <w:pPr>
        <w:autoSpaceDE w:val="0"/>
        <w:autoSpaceDN w:val="0"/>
        <w:adjustRightInd w:val="0"/>
        <w:jc w:val="left"/>
        <w:rPr>
          <w:rFonts w:cs="Arial"/>
          <w:color w:val="000000"/>
          <w:sz w:val="22"/>
          <w:szCs w:val="22"/>
          <w:lang w:eastAsia="ca-ES"/>
        </w:rPr>
      </w:pPr>
    </w:p>
    <w:p w:rsidR="00527E36" w:rsidRPr="00C857A6" w:rsidRDefault="00041AA9" w:rsidP="00041AA9">
      <w:pPr>
        <w:rPr>
          <w:rFonts w:cs="Arial"/>
          <w:bCs/>
          <w:sz w:val="22"/>
          <w:szCs w:val="22"/>
        </w:rPr>
      </w:pPr>
      <w:r w:rsidRPr="00C857A6">
        <w:rPr>
          <w:rFonts w:cs="Arial"/>
          <w:color w:val="000000"/>
          <w:sz w:val="22"/>
          <w:szCs w:val="22"/>
          <w:lang w:eastAsia="ca-ES"/>
        </w:rPr>
        <w:t xml:space="preserve"> Xavi Paz </w:t>
      </w:r>
      <w:proofErr w:type="spellStart"/>
      <w:r w:rsidRPr="00C857A6">
        <w:rPr>
          <w:rFonts w:cs="Arial"/>
          <w:color w:val="000000"/>
          <w:sz w:val="22"/>
          <w:szCs w:val="22"/>
          <w:lang w:eastAsia="ca-ES"/>
        </w:rPr>
        <w:t>Penche</w:t>
      </w:r>
      <w:proofErr w:type="spellEnd"/>
    </w:p>
    <w:sectPr w:rsidR="00527E36" w:rsidRPr="00C857A6" w:rsidSect="000D1AB0">
      <w:headerReference w:type="default" r:id="rId9"/>
      <w:footerReference w:type="default" r:id="rId10"/>
      <w:pgSz w:w="11906" w:h="16838" w:code="9"/>
      <w:pgMar w:top="1701" w:right="1701" w:bottom="567" w:left="1701" w:header="851" w:footer="6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C57" w:rsidRDefault="009D2C57">
      <w:r>
        <w:separator/>
      </w:r>
    </w:p>
  </w:endnote>
  <w:endnote w:type="continuationSeparator" w:id="0">
    <w:p w:rsidR="009D2C57" w:rsidRDefault="009D2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02B" w:rsidRPr="00ED63D0" w:rsidRDefault="003D202B" w:rsidP="003D202B">
    <w:pPr>
      <w:pStyle w:val="Piedepgina"/>
      <w:rPr>
        <w:rFonts w:ascii="Georgia" w:hAnsi="Georgia"/>
        <w:sz w:val="16"/>
      </w:rPr>
    </w:pPr>
    <w:proofErr w:type="spellStart"/>
    <w:r w:rsidRPr="006168E3">
      <w:rPr>
        <w:rFonts w:ascii="Georgia" w:hAnsi="Georgia"/>
        <w:sz w:val="16"/>
      </w:rPr>
      <w:t>Plaça</w:t>
    </w:r>
    <w:proofErr w:type="spellEnd"/>
    <w:r w:rsidRPr="006168E3">
      <w:rPr>
        <w:rFonts w:ascii="Georgia" w:hAnsi="Georgia"/>
        <w:sz w:val="16"/>
      </w:rPr>
      <w:t xml:space="preserve"> del </w:t>
    </w:r>
    <w:proofErr w:type="spellStart"/>
    <w:r w:rsidRPr="006168E3">
      <w:rPr>
        <w:rFonts w:ascii="Georgia" w:hAnsi="Georgia"/>
        <w:sz w:val="16"/>
      </w:rPr>
      <w:t>Mercat</w:t>
    </w:r>
    <w:proofErr w:type="spellEnd"/>
    <w:r w:rsidRPr="006168E3">
      <w:rPr>
        <w:rFonts w:ascii="Georgia" w:hAnsi="Georgia"/>
        <w:sz w:val="16"/>
      </w:rPr>
      <w:t>, 5-6</w:t>
    </w:r>
    <w:r w:rsidRPr="00ED63D0">
      <w:rPr>
        <w:rFonts w:ascii="Georgia" w:hAnsi="Georgia"/>
        <w:sz w:val="16"/>
      </w:rPr>
      <w:t xml:space="preserve">| 08750 </w:t>
    </w:r>
    <w:proofErr w:type="spellStart"/>
    <w:r w:rsidRPr="00ED63D0">
      <w:rPr>
        <w:rFonts w:ascii="Georgia" w:hAnsi="Georgia"/>
        <w:sz w:val="16"/>
      </w:rPr>
      <w:t>Molins</w:t>
    </w:r>
    <w:proofErr w:type="spellEnd"/>
    <w:r w:rsidRPr="00ED63D0">
      <w:rPr>
        <w:rFonts w:ascii="Georgia" w:hAnsi="Georgia"/>
        <w:sz w:val="16"/>
      </w:rPr>
      <w:t xml:space="preserve"> de </w:t>
    </w:r>
    <w:proofErr w:type="spellStart"/>
    <w:r w:rsidRPr="00ED63D0">
      <w:rPr>
        <w:rFonts w:ascii="Georgia" w:hAnsi="Georgia"/>
        <w:sz w:val="16"/>
      </w:rPr>
      <w:t>Rei</w:t>
    </w:r>
    <w:proofErr w:type="spellEnd"/>
  </w:p>
  <w:p w:rsidR="003D202B" w:rsidRDefault="003D202B" w:rsidP="003D202B">
    <w:pPr>
      <w:pStyle w:val="Piedepgina"/>
      <w:rPr>
        <w:rFonts w:ascii="Georgia" w:hAnsi="Georgia"/>
        <w:sz w:val="16"/>
      </w:rPr>
    </w:pPr>
    <w:r>
      <w:rPr>
        <w:rFonts w:ascii="Georgia" w:hAnsi="Georgia"/>
        <w:sz w:val="16"/>
      </w:rPr>
      <w:t>Tel. 93 680 0297</w:t>
    </w:r>
    <w:r w:rsidRPr="00ED63D0">
      <w:rPr>
        <w:rFonts w:ascii="Georgia" w:hAnsi="Georgia"/>
        <w:sz w:val="16"/>
      </w:rPr>
      <w:t xml:space="preserve"> |  </w:t>
    </w:r>
    <w:hyperlink r:id="rId1" w:history="1">
      <w:r w:rsidRPr="00723E81">
        <w:rPr>
          <w:rStyle w:val="Hipervnculo"/>
          <w:rFonts w:ascii="Georgia" w:hAnsi="Georgia"/>
          <w:sz w:val="16"/>
        </w:rPr>
        <w:t>empresa@molinsderei.cat</w:t>
      </w:r>
    </w:hyperlink>
    <w:r>
      <w:rPr>
        <w:rFonts w:ascii="Georgia" w:hAnsi="Georgia"/>
        <w:sz w:val="16"/>
      </w:rPr>
      <w:t xml:space="preserve"> </w:t>
    </w:r>
  </w:p>
  <w:p w:rsidR="002760BE" w:rsidRPr="008E309F" w:rsidRDefault="00541DB4" w:rsidP="00495072">
    <w:pPr>
      <w:pStyle w:val="Piedepgina"/>
      <w:jc w:val="right"/>
      <w:rPr>
        <w:rFonts w:ascii="Georgia" w:hAnsi="Georgia"/>
        <w:sz w:val="16"/>
      </w:rPr>
    </w:pPr>
    <w:r w:rsidRPr="00495072">
      <w:rPr>
        <w:rFonts w:ascii="Georgia" w:hAnsi="Georgia"/>
        <w:sz w:val="16"/>
      </w:rPr>
      <w:fldChar w:fldCharType="begin"/>
    </w:r>
    <w:r w:rsidR="002760BE" w:rsidRPr="00495072">
      <w:rPr>
        <w:rFonts w:ascii="Georgia" w:hAnsi="Georgia"/>
        <w:sz w:val="16"/>
      </w:rPr>
      <w:instrText xml:space="preserve"> PAGE   \* MERGEFORMAT </w:instrText>
    </w:r>
    <w:r w:rsidRPr="00495072">
      <w:rPr>
        <w:rFonts w:ascii="Georgia" w:hAnsi="Georgia"/>
        <w:sz w:val="16"/>
      </w:rPr>
      <w:fldChar w:fldCharType="separate"/>
    </w:r>
    <w:r w:rsidR="00A66560">
      <w:rPr>
        <w:rFonts w:ascii="Georgia" w:hAnsi="Georgia"/>
        <w:noProof/>
        <w:sz w:val="16"/>
      </w:rPr>
      <w:t>2</w:t>
    </w:r>
    <w:r w:rsidRPr="00495072">
      <w:rPr>
        <w:rFonts w:ascii="Georgia" w:hAnsi="Georgia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C57" w:rsidRDefault="009D2C57">
      <w:r>
        <w:separator/>
      </w:r>
    </w:p>
  </w:footnote>
  <w:footnote w:type="continuationSeparator" w:id="0">
    <w:p w:rsidR="009D2C57" w:rsidRDefault="009D2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BE" w:rsidRPr="00D12404" w:rsidRDefault="002760BE" w:rsidP="009022D6">
    <w:pPr>
      <w:pStyle w:val="Encabezado"/>
      <w:tabs>
        <w:tab w:val="clear" w:pos="4252"/>
        <w:tab w:val="clear" w:pos="8504"/>
        <w:tab w:val="left" w:pos="3660"/>
      </w:tabs>
      <w:rPr>
        <w:b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-400050</wp:posOffset>
          </wp:positionH>
          <wp:positionV relativeFrom="paragraph">
            <wp:posOffset>8890</wp:posOffset>
          </wp:positionV>
          <wp:extent cx="1628140" cy="546100"/>
          <wp:effectExtent l="19050" t="0" r="0" b="0"/>
          <wp:wrapNone/>
          <wp:docPr id="55" name="Imagen 55" descr="Logotip color esquerr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ogotip color esquerr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14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41DB4">
      <w:rPr>
        <w:b/>
        <w:noProof/>
      </w:rPr>
      <w:pict>
        <v:line id="_x0000_s2070" style="position:absolute;z-index:251657216;mso-position-horizontal-relative:text;mso-position-vertical-relative:text" from="-1in,243.05pt" to="-63pt,243.05pt" strokecolor="gray" strokeweight="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51A6E"/>
    <w:multiLevelType w:val="hybridMultilevel"/>
    <w:tmpl w:val="400A1420"/>
    <w:lvl w:ilvl="0" w:tplc="15523B0E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A0D6D"/>
    <w:multiLevelType w:val="multilevel"/>
    <w:tmpl w:val="701426D0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AEB45E9"/>
    <w:multiLevelType w:val="multilevel"/>
    <w:tmpl w:val="04F6C83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851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2194"/>
        </w:tabs>
        <w:ind w:left="1440" w:firstLine="3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3">
    <w:nsid w:val="340267D2"/>
    <w:multiLevelType w:val="hybridMultilevel"/>
    <w:tmpl w:val="0270F9D0"/>
    <w:lvl w:ilvl="0" w:tplc="B3DA39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ArialMT" w:hAnsi="Georgia" w:cs="ArialMT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FDC74B8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E519C5"/>
    <w:multiLevelType w:val="hybridMultilevel"/>
    <w:tmpl w:val="82B85FC6"/>
    <w:lvl w:ilvl="0" w:tplc="B3DA39DC">
      <w:numFmt w:val="bullet"/>
      <w:lvlText w:val="-"/>
      <w:lvlJc w:val="left"/>
      <w:pPr>
        <w:ind w:left="360" w:hanging="360"/>
      </w:pPr>
      <w:rPr>
        <w:rFonts w:ascii="Georgia" w:eastAsia="ArialMT" w:hAnsi="Georgia" w:cs="ArialMT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E7C5D41"/>
    <w:multiLevelType w:val="hybridMultilevel"/>
    <w:tmpl w:val="3E22F636"/>
    <w:lvl w:ilvl="0" w:tplc="3488BD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5416D1"/>
    <w:multiLevelType w:val="multilevel"/>
    <w:tmpl w:val="9AC0224E"/>
    <w:lvl w:ilvl="0">
      <w:start w:val="1"/>
      <w:numFmt w:val="decimal"/>
      <w:pStyle w:val="Ttu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55C112F1"/>
    <w:multiLevelType w:val="hybridMultilevel"/>
    <w:tmpl w:val="A5621AEC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D0433E"/>
    <w:multiLevelType w:val="hybridMultilevel"/>
    <w:tmpl w:val="D0EED0DA"/>
    <w:lvl w:ilvl="0" w:tplc="B3DA39DC">
      <w:numFmt w:val="bullet"/>
      <w:lvlText w:val="-"/>
      <w:lvlJc w:val="left"/>
      <w:pPr>
        <w:ind w:left="720" w:hanging="360"/>
      </w:pPr>
      <w:rPr>
        <w:rFonts w:ascii="Georgia" w:eastAsia="ArialMT" w:hAnsi="Georgia" w:cs="ArialMT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C6BCA"/>
    <w:multiLevelType w:val="hybridMultilevel"/>
    <w:tmpl w:val="CD0AB068"/>
    <w:lvl w:ilvl="0" w:tplc="B3DA39DC">
      <w:numFmt w:val="bullet"/>
      <w:lvlText w:val="-"/>
      <w:lvlJc w:val="left"/>
      <w:pPr>
        <w:ind w:left="720" w:hanging="360"/>
      </w:pPr>
      <w:rPr>
        <w:rFonts w:ascii="Georgia" w:eastAsia="ArialMT" w:hAnsi="Georgia" w:cs="ArialMT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3A2B26"/>
    <w:multiLevelType w:val="hybridMultilevel"/>
    <w:tmpl w:val="2F8A2D6E"/>
    <w:lvl w:ilvl="0" w:tplc="15523B0E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3D3C62"/>
    <w:multiLevelType w:val="hybridMultilevel"/>
    <w:tmpl w:val="6CC40D76"/>
    <w:lvl w:ilvl="0" w:tplc="E110A0FE">
      <w:start w:val="1"/>
      <w:numFmt w:val="decimal"/>
      <w:lvlText w:val="%1."/>
      <w:lvlJc w:val="left"/>
      <w:pPr>
        <w:ind w:left="285" w:hanging="184"/>
      </w:pPr>
      <w:rPr>
        <w:rFonts w:hint="default"/>
        <w:spacing w:val="-1"/>
        <w:w w:val="100"/>
      </w:rPr>
    </w:lvl>
    <w:lvl w:ilvl="1" w:tplc="A156E35C">
      <w:numFmt w:val="bullet"/>
      <w:lvlText w:val="-"/>
      <w:lvlJc w:val="left"/>
      <w:pPr>
        <w:ind w:left="821" w:hanging="360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2" w:tplc="C696DDE0">
      <w:numFmt w:val="bullet"/>
      <w:lvlText w:val="•"/>
      <w:lvlJc w:val="left"/>
      <w:pPr>
        <w:ind w:left="1696" w:hanging="360"/>
      </w:pPr>
      <w:rPr>
        <w:rFonts w:hint="default"/>
      </w:rPr>
    </w:lvl>
    <w:lvl w:ilvl="3" w:tplc="6BBC6798">
      <w:numFmt w:val="bullet"/>
      <w:lvlText w:val="•"/>
      <w:lvlJc w:val="left"/>
      <w:pPr>
        <w:ind w:left="2572" w:hanging="360"/>
      </w:pPr>
      <w:rPr>
        <w:rFonts w:hint="default"/>
      </w:rPr>
    </w:lvl>
    <w:lvl w:ilvl="4" w:tplc="90D0163A">
      <w:numFmt w:val="bullet"/>
      <w:lvlText w:val="•"/>
      <w:lvlJc w:val="left"/>
      <w:pPr>
        <w:ind w:left="3448" w:hanging="360"/>
      </w:pPr>
      <w:rPr>
        <w:rFonts w:hint="default"/>
      </w:rPr>
    </w:lvl>
    <w:lvl w:ilvl="5" w:tplc="F00ED40C">
      <w:numFmt w:val="bullet"/>
      <w:lvlText w:val="•"/>
      <w:lvlJc w:val="left"/>
      <w:pPr>
        <w:ind w:left="4325" w:hanging="360"/>
      </w:pPr>
      <w:rPr>
        <w:rFonts w:hint="default"/>
      </w:rPr>
    </w:lvl>
    <w:lvl w:ilvl="6" w:tplc="8E0AAF9E">
      <w:numFmt w:val="bullet"/>
      <w:lvlText w:val="•"/>
      <w:lvlJc w:val="left"/>
      <w:pPr>
        <w:ind w:left="5201" w:hanging="360"/>
      </w:pPr>
      <w:rPr>
        <w:rFonts w:hint="default"/>
      </w:rPr>
    </w:lvl>
    <w:lvl w:ilvl="7" w:tplc="E536C38A">
      <w:numFmt w:val="bullet"/>
      <w:lvlText w:val="•"/>
      <w:lvlJc w:val="left"/>
      <w:pPr>
        <w:ind w:left="6077" w:hanging="360"/>
      </w:pPr>
      <w:rPr>
        <w:rFonts w:hint="default"/>
      </w:rPr>
    </w:lvl>
    <w:lvl w:ilvl="8" w:tplc="40568F1C">
      <w:numFmt w:val="bullet"/>
      <w:lvlText w:val="•"/>
      <w:lvlJc w:val="left"/>
      <w:pPr>
        <w:ind w:left="6953" w:hanging="360"/>
      </w:pPr>
      <w:rPr>
        <w:rFonts w:hint="default"/>
      </w:rPr>
    </w:lvl>
  </w:abstractNum>
  <w:abstractNum w:abstractNumId="12">
    <w:nsid w:val="62727BCD"/>
    <w:multiLevelType w:val="multilevel"/>
    <w:tmpl w:val="154A033E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851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2194"/>
        </w:tabs>
        <w:ind w:left="1440" w:firstLine="3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13">
    <w:nsid w:val="65F00714"/>
    <w:multiLevelType w:val="hybridMultilevel"/>
    <w:tmpl w:val="6814343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5B27F15"/>
    <w:multiLevelType w:val="hybridMultilevel"/>
    <w:tmpl w:val="671CF41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13"/>
  </w:num>
  <w:num w:numId="30">
    <w:abstractNumId w:val="14"/>
  </w:num>
  <w:num w:numId="31">
    <w:abstractNumId w:val="0"/>
  </w:num>
  <w:num w:numId="32">
    <w:abstractNumId w:val="10"/>
  </w:num>
  <w:num w:numId="33">
    <w:abstractNumId w:val="4"/>
  </w:num>
  <w:num w:numId="34">
    <w:abstractNumId w:val="8"/>
  </w:num>
  <w:num w:numId="35">
    <w:abstractNumId w:val="3"/>
  </w:num>
  <w:num w:numId="36">
    <w:abstractNumId w:val="7"/>
  </w:num>
  <w:num w:numId="37">
    <w:abstractNumId w:val="9"/>
  </w:num>
  <w:num w:numId="38">
    <w:abstractNumId w:val="5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12290">
      <o:colormru v:ext="edit" colors="#e8e8e8,#985c31"/>
      <o:colormenu v:ext="edit" fillcolor="#985c31" strokecolor="none"/>
    </o:shapedefaults>
    <o:shapelayout v:ext="edit">
      <o:idmap v:ext="edit" data="2"/>
      <o:regrouptable v:ext="edit">
        <o:entry new="1" old="0"/>
        <o:entry new="2" old="0"/>
        <o:entry new="3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1D7EDF"/>
    <w:rsid w:val="000104BB"/>
    <w:rsid w:val="00012A65"/>
    <w:rsid w:val="00041AA9"/>
    <w:rsid w:val="000B59A7"/>
    <w:rsid w:val="000D1AB0"/>
    <w:rsid w:val="000E1A6F"/>
    <w:rsid w:val="0012197D"/>
    <w:rsid w:val="00146F89"/>
    <w:rsid w:val="00152508"/>
    <w:rsid w:val="0015445F"/>
    <w:rsid w:val="0017568D"/>
    <w:rsid w:val="001904A9"/>
    <w:rsid w:val="001A15BF"/>
    <w:rsid w:val="001D03E2"/>
    <w:rsid w:val="001D5AB1"/>
    <w:rsid w:val="001D7EDF"/>
    <w:rsid w:val="002012D6"/>
    <w:rsid w:val="00243F9B"/>
    <w:rsid w:val="00251FF7"/>
    <w:rsid w:val="0025586A"/>
    <w:rsid w:val="002760BE"/>
    <w:rsid w:val="002C0E4E"/>
    <w:rsid w:val="00330CBB"/>
    <w:rsid w:val="00366593"/>
    <w:rsid w:val="003D202B"/>
    <w:rsid w:val="003D4212"/>
    <w:rsid w:val="003D6880"/>
    <w:rsid w:val="004215F4"/>
    <w:rsid w:val="00434F3D"/>
    <w:rsid w:val="00436088"/>
    <w:rsid w:val="00441C2C"/>
    <w:rsid w:val="00447C2E"/>
    <w:rsid w:val="00482409"/>
    <w:rsid w:val="00495072"/>
    <w:rsid w:val="004D52AE"/>
    <w:rsid w:val="004F1217"/>
    <w:rsid w:val="0051548D"/>
    <w:rsid w:val="005179F2"/>
    <w:rsid w:val="005210A4"/>
    <w:rsid w:val="00527E36"/>
    <w:rsid w:val="00537D24"/>
    <w:rsid w:val="00541DB4"/>
    <w:rsid w:val="00567B59"/>
    <w:rsid w:val="005B3E4E"/>
    <w:rsid w:val="005E5612"/>
    <w:rsid w:val="00695807"/>
    <w:rsid w:val="00697A9D"/>
    <w:rsid w:val="006B3EB2"/>
    <w:rsid w:val="006D2CF9"/>
    <w:rsid w:val="006F028D"/>
    <w:rsid w:val="00711283"/>
    <w:rsid w:val="00717581"/>
    <w:rsid w:val="007440AD"/>
    <w:rsid w:val="00770984"/>
    <w:rsid w:val="007C7722"/>
    <w:rsid w:val="007D3075"/>
    <w:rsid w:val="008A0A13"/>
    <w:rsid w:val="008B1714"/>
    <w:rsid w:val="008C2219"/>
    <w:rsid w:val="008C4423"/>
    <w:rsid w:val="008C69DB"/>
    <w:rsid w:val="008C6E4D"/>
    <w:rsid w:val="008E0EC0"/>
    <w:rsid w:val="0090042A"/>
    <w:rsid w:val="009022D6"/>
    <w:rsid w:val="00902B0C"/>
    <w:rsid w:val="00931C04"/>
    <w:rsid w:val="00933DA7"/>
    <w:rsid w:val="00942F71"/>
    <w:rsid w:val="00953113"/>
    <w:rsid w:val="009A165F"/>
    <w:rsid w:val="009A246B"/>
    <w:rsid w:val="009B135E"/>
    <w:rsid w:val="009D2C57"/>
    <w:rsid w:val="009D3B17"/>
    <w:rsid w:val="009D71E3"/>
    <w:rsid w:val="00A47D00"/>
    <w:rsid w:val="00A66560"/>
    <w:rsid w:val="00A74FE5"/>
    <w:rsid w:val="00AA3203"/>
    <w:rsid w:val="00AC25D2"/>
    <w:rsid w:val="00B41330"/>
    <w:rsid w:val="00B566EA"/>
    <w:rsid w:val="00B56DF0"/>
    <w:rsid w:val="00B614C1"/>
    <w:rsid w:val="00B753B5"/>
    <w:rsid w:val="00B91C48"/>
    <w:rsid w:val="00BA4553"/>
    <w:rsid w:val="00BB35DA"/>
    <w:rsid w:val="00BF218A"/>
    <w:rsid w:val="00BF3B3D"/>
    <w:rsid w:val="00C37397"/>
    <w:rsid w:val="00C3762A"/>
    <w:rsid w:val="00C3763F"/>
    <w:rsid w:val="00C46591"/>
    <w:rsid w:val="00C6766B"/>
    <w:rsid w:val="00C857A6"/>
    <w:rsid w:val="00C86772"/>
    <w:rsid w:val="00CC0110"/>
    <w:rsid w:val="00CD634C"/>
    <w:rsid w:val="00CF39A5"/>
    <w:rsid w:val="00D07EDA"/>
    <w:rsid w:val="00D429B5"/>
    <w:rsid w:val="00D567A5"/>
    <w:rsid w:val="00D85247"/>
    <w:rsid w:val="00D977A1"/>
    <w:rsid w:val="00DA23F2"/>
    <w:rsid w:val="00DC2136"/>
    <w:rsid w:val="00DE4576"/>
    <w:rsid w:val="00DE490C"/>
    <w:rsid w:val="00DF6E25"/>
    <w:rsid w:val="00E030E4"/>
    <w:rsid w:val="00E123C3"/>
    <w:rsid w:val="00E30517"/>
    <w:rsid w:val="00E50A8B"/>
    <w:rsid w:val="00E66F7C"/>
    <w:rsid w:val="00E70C53"/>
    <w:rsid w:val="00E740F4"/>
    <w:rsid w:val="00E801EA"/>
    <w:rsid w:val="00EA1B59"/>
    <w:rsid w:val="00EB7F09"/>
    <w:rsid w:val="00ED1556"/>
    <w:rsid w:val="00ED63D0"/>
    <w:rsid w:val="00F10DCF"/>
    <w:rsid w:val="00F72B84"/>
    <w:rsid w:val="00F74A18"/>
    <w:rsid w:val="00F767C9"/>
    <w:rsid w:val="00FA618D"/>
    <w:rsid w:val="00FB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ru v:ext="edit" colors="#e8e8e8,#985c31"/>
      <o:colormenu v:ext="edit" fillcolor="#985c31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7E36"/>
    <w:pPr>
      <w:jc w:val="both"/>
    </w:pPr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qFormat/>
    <w:rsid w:val="00933DA7"/>
    <w:pPr>
      <w:keepNext/>
      <w:numPr>
        <w:numId w:val="28"/>
      </w:numPr>
      <w:spacing w:after="600"/>
      <w:jc w:val="left"/>
      <w:outlineLvl w:val="0"/>
    </w:pPr>
    <w:rPr>
      <w:rFonts w:ascii="Trebuchet MS" w:hAnsi="Trebuchet MS"/>
      <w:color w:val="000080"/>
      <w:sz w:val="36"/>
      <w:szCs w:val="24"/>
    </w:rPr>
  </w:style>
  <w:style w:type="paragraph" w:styleId="Ttulo2">
    <w:name w:val="heading 2"/>
    <w:basedOn w:val="Normal"/>
    <w:next w:val="Normal"/>
    <w:qFormat/>
    <w:rsid w:val="00933DA7"/>
    <w:pPr>
      <w:keepNext/>
      <w:numPr>
        <w:ilvl w:val="1"/>
        <w:numId w:val="28"/>
      </w:numPr>
      <w:jc w:val="left"/>
      <w:outlineLvl w:val="1"/>
    </w:pPr>
    <w:rPr>
      <w:rFonts w:ascii="Times New Roman" w:hAnsi="Times New Roman"/>
      <w:i/>
      <w:color w:val="808080"/>
      <w:sz w:val="28"/>
      <w:szCs w:val="24"/>
    </w:rPr>
  </w:style>
  <w:style w:type="paragraph" w:styleId="Ttulo3">
    <w:name w:val="heading 3"/>
    <w:basedOn w:val="Normal"/>
    <w:next w:val="Normal"/>
    <w:qFormat/>
    <w:rsid w:val="00933DA7"/>
    <w:pPr>
      <w:keepNext/>
      <w:numPr>
        <w:ilvl w:val="2"/>
        <w:numId w:val="28"/>
      </w:numPr>
      <w:spacing w:before="120" w:after="120"/>
      <w:jc w:val="left"/>
      <w:outlineLvl w:val="2"/>
    </w:pPr>
    <w:rPr>
      <w:rFonts w:ascii="Times New Roman" w:hAnsi="Times New Roman"/>
      <w:i/>
      <w:szCs w:val="24"/>
    </w:rPr>
  </w:style>
  <w:style w:type="paragraph" w:styleId="Ttulo4">
    <w:name w:val="heading 4"/>
    <w:basedOn w:val="Normal"/>
    <w:next w:val="Normal"/>
    <w:qFormat/>
    <w:rsid w:val="00933DA7"/>
    <w:pPr>
      <w:keepNext/>
      <w:spacing w:before="120" w:after="120"/>
      <w:jc w:val="left"/>
      <w:outlineLvl w:val="3"/>
    </w:pPr>
    <w:rPr>
      <w:rFonts w:ascii="Trebuchet MS" w:hAnsi="Trebuchet MS"/>
      <w:color w:val="000080"/>
      <w:sz w:val="36"/>
      <w:szCs w:val="24"/>
    </w:rPr>
  </w:style>
  <w:style w:type="paragraph" w:styleId="Ttulo5">
    <w:name w:val="heading 5"/>
    <w:basedOn w:val="Normal"/>
    <w:next w:val="Normal"/>
    <w:qFormat/>
    <w:rsid w:val="00933DA7"/>
    <w:pPr>
      <w:keepNext/>
      <w:jc w:val="left"/>
      <w:outlineLvl w:val="4"/>
    </w:pPr>
    <w:rPr>
      <w:rFonts w:cs="Arial"/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33DA7"/>
    <w:pPr>
      <w:tabs>
        <w:tab w:val="center" w:pos="4252"/>
        <w:tab w:val="right" w:pos="8504"/>
      </w:tabs>
      <w:jc w:val="left"/>
    </w:pPr>
    <w:rPr>
      <w:rFonts w:ascii="Times New Roman" w:hAnsi="Times New Roman"/>
      <w:szCs w:val="24"/>
    </w:rPr>
  </w:style>
  <w:style w:type="paragraph" w:styleId="Piedepgina">
    <w:name w:val="footer"/>
    <w:basedOn w:val="Normal"/>
    <w:link w:val="PiedepginaCar"/>
    <w:uiPriority w:val="99"/>
    <w:rsid w:val="00933DA7"/>
    <w:pPr>
      <w:tabs>
        <w:tab w:val="center" w:pos="4252"/>
        <w:tab w:val="right" w:pos="8504"/>
      </w:tabs>
      <w:jc w:val="left"/>
    </w:pPr>
    <w:rPr>
      <w:rFonts w:ascii="Times New Roman" w:hAnsi="Times New Roman"/>
      <w:szCs w:val="24"/>
    </w:rPr>
  </w:style>
  <w:style w:type="character" w:styleId="Hipervnculo">
    <w:name w:val="Hyperlink"/>
    <w:basedOn w:val="Fuentedeprrafopredeter"/>
    <w:rsid w:val="00933DA7"/>
    <w:rPr>
      <w:color w:val="0000FF"/>
      <w:u w:val="single"/>
    </w:rPr>
  </w:style>
  <w:style w:type="character" w:styleId="nfasis">
    <w:name w:val="Emphasis"/>
    <w:basedOn w:val="Fuentedeprrafopredeter"/>
    <w:qFormat/>
    <w:rsid w:val="00B5580C"/>
    <w:rPr>
      <w:i/>
      <w:iCs/>
    </w:rPr>
  </w:style>
  <w:style w:type="paragraph" w:styleId="Textodeglobo">
    <w:name w:val="Balloon Text"/>
    <w:basedOn w:val="Normal"/>
    <w:semiHidden/>
    <w:rsid w:val="00933DA7"/>
    <w:pPr>
      <w:jc w:val="left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3DA7"/>
    <w:pPr>
      <w:autoSpaceDE w:val="0"/>
      <w:autoSpaceDN w:val="0"/>
      <w:adjustRightInd w:val="0"/>
    </w:pPr>
    <w:rPr>
      <w:rFonts w:ascii="Franklin Gothic Medium" w:eastAsia="Calibri" w:hAnsi="Franklin Gothic Medium" w:cs="Franklin Gothic Medium"/>
      <w:color w:val="000000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050B"/>
    <w:rPr>
      <w:sz w:val="24"/>
      <w:szCs w:val="24"/>
      <w:lang w:val="ca-ES" w:eastAsia="es-ES"/>
    </w:rPr>
  </w:style>
  <w:style w:type="paragraph" w:customStyle="1" w:styleId="Ningnestilodeprrafo">
    <w:name w:val="[Ningún estilo de párrafo]"/>
    <w:rsid w:val="0084216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s-ES_tradnl"/>
    </w:rPr>
  </w:style>
  <w:style w:type="paragraph" w:styleId="Prrafodelista">
    <w:name w:val="List Paragraph"/>
    <w:basedOn w:val="Normal"/>
    <w:uiPriority w:val="34"/>
    <w:qFormat/>
    <w:rsid w:val="00495072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rsid w:val="007C77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D202B"/>
    <w:pPr>
      <w:widowControl w:val="0"/>
      <w:autoSpaceDE w:val="0"/>
      <w:autoSpaceDN w:val="0"/>
      <w:jc w:val="left"/>
    </w:pPr>
    <w:rPr>
      <w:rFonts w:eastAsia="Arial" w:cs="Arial"/>
      <w:sz w:val="20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202B"/>
    <w:rPr>
      <w:rFonts w:ascii="Arial" w:eastAsia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2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73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9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4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0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93290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952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05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663586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61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682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87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1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sl.microsofttranslator.com/bv.aspx?ref=TAns&amp;from=&amp;to=es&amp;a=www.espaiempresa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mpresa@molinsderei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d\Mis%20documentos\plantillaca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56E7CD-ABF9-4D48-A815-98128697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plantillacarta</Template>
  <TotalTime>313</TotalTime>
  <Pages>1</Pages>
  <Words>1097</Words>
  <Characters>6037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 I COGNOMS</vt:lpstr>
      <vt:lpstr>NOM I COGNOMS </vt:lpstr>
    </vt:vector>
  </TitlesOfParts>
  <Company>Ajuntament de Molins de Rei</Company>
  <LinksUpToDate>false</LinksUpToDate>
  <CharactersWithSpaces>7120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I COGNOMS</dc:title>
  <dc:creator>Pilar Ruiz Dias</dc:creator>
  <cp:lastModifiedBy>Usuari</cp:lastModifiedBy>
  <cp:revision>22</cp:revision>
  <cp:lastPrinted>2018-07-20T10:43:00Z</cp:lastPrinted>
  <dcterms:created xsi:type="dcterms:W3CDTF">2018-07-19T14:14:00Z</dcterms:created>
  <dcterms:modified xsi:type="dcterms:W3CDTF">2020-12-07T11:15:00Z</dcterms:modified>
</cp:coreProperties>
</file>