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4.jpeg" ContentType="image/jpeg"/>
  <Override PartName="/word/media/image2.png" ContentType="image/png"/>
  <Override PartName="/word/media/image3.png" ContentType="image/png"/>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rPr>
          <w:rFonts w:ascii="Caladea" w:hAnsi="Caladea" w:cs="Caladea"/>
          <w:b/>
          <w:b/>
        </w:rPr>
      </w:pPr>
      <w:r>
        <w:rPr>
          <w:rFonts w:cs="Caladea" w:ascii="Caladea" w:hAnsi="Caladea"/>
          <w:b/>
        </w:rPr>
      </w:r>
    </w:p>
    <w:p>
      <w:pPr>
        <w:pStyle w:val="Cuerpodetexto"/>
        <w:jc w:val="center"/>
        <w:rPr/>
      </w:pPr>
      <w:r>
        <w:rPr>
          <w:rFonts w:cs="Caladea" w:ascii="Caladea" w:hAnsi="Caladea"/>
          <w:b/>
        </w:rPr>
        <w:t>EXTRACTO DE LA CONVOCATORIA</w:t>
      </w:r>
    </w:p>
    <w:p>
      <w:pPr>
        <w:pStyle w:val="Cuerpodetexto"/>
        <w:rPr/>
      </w:pPr>
      <w:r>
        <w:rPr>
          <w:rFonts w:cs="Caladea" w:ascii="Caladea" w:hAnsi="Caladea"/>
        </w:rPr>
        <w:t> </w:t>
      </w:r>
    </w:p>
    <w:p>
      <w:pPr>
        <w:pStyle w:val="Cuerpodetexto"/>
        <w:jc w:val="both"/>
        <w:rPr/>
      </w:pPr>
      <w:r>
        <w:rPr>
          <w:rFonts w:cs="Caladea" w:ascii="Caladea" w:hAnsi="Caladea"/>
        </w:rPr>
        <w:t xml:space="preserve">Extracto de la Resolución de Alcaldía n.º </w:t>
      </w:r>
      <w:r>
        <w:rPr>
          <w:rFonts w:cs="Caladea" w:ascii="Caladea" w:hAnsi="Caladea"/>
        </w:rPr>
        <w:t>546</w:t>
      </w:r>
      <w:r>
        <w:rPr>
          <w:rFonts w:cs="Caladea" w:ascii="Caladea" w:hAnsi="Caladea"/>
        </w:rPr>
        <w:t>/2020 de fecha 2</w:t>
      </w:r>
      <w:r>
        <w:rPr>
          <w:rFonts w:cs="Caladea" w:ascii="Caladea" w:hAnsi="Caladea"/>
        </w:rPr>
        <w:t>7</w:t>
      </w:r>
      <w:r>
        <w:rPr>
          <w:rFonts w:cs="Caladea" w:ascii="Caladea" w:hAnsi="Caladea"/>
        </w:rPr>
        <w:t xml:space="preserve"> de </w:t>
      </w:r>
      <w:r>
        <w:rPr>
          <w:rFonts w:cs="Caladea" w:ascii="Caladea" w:hAnsi="Caladea"/>
        </w:rPr>
        <w:t>noviembre</w:t>
      </w:r>
      <w:r>
        <w:rPr>
          <w:rFonts w:cs="Caladea" w:ascii="Caladea" w:hAnsi="Caladea"/>
        </w:rPr>
        <w:t xml:space="preserve"> de 2020 por la que se convocan </w:t>
      </w:r>
      <w:r>
        <w:rPr>
          <w:rFonts w:cs="Caladea" w:ascii="Caladea" w:hAnsi="Caladea"/>
          <w:sz w:val="22"/>
          <w:szCs w:val="22"/>
        </w:rPr>
        <w:t xml:space="preserve"> "Ayudas al pago del Impuesto de Bienes Inmuebles (IBI) de la vivienda habitual de unidades familiares con escasos recursos económicos, año 2020"</w:t>
      </w:r>
      <w:r>
        <w:rPr>
          <w:rFonts w:cs="Caladea" w:ascii="Caladea" w:hAnsi="Caladea"/>
        </w:rPr>
        <w:t>, por el procedimiento de concurrencia competitiva.</w:t>
      </w:r>
    </w:p>
    <w:p>
      <w:pPr>
        <w:pStyle w:val="Cuerpodetexto"/>
        <w:jc w:val="both"/>
        <w:rPr/>
      </w:pPr>
      <w:r>
        <w:rPr>
          <w:rFonts w:cs="Caladea" w:ascii="Caladea" w:hAnsi="Caladea"/>
        </w:rPr>
        <w:t> </w:t>
      </w:r>
    </w:p>
    <w:p>
      <w:pPr>
        <w:pStyle w:val="Cuerpodetexto"/>
        <w:jc w:val="both"/>
        <w:rPr/>
      </w:pPr>
      <w:r>
        <w:rPr>
          <w:rFonts w:cs="Caladea" w:ascii="Caladea" w:hAnsi="Caladea"/>
        </w:rPr>
        <w:t>De conformidad con lo previsto en los artículos 17.3.b y 20.8.a de la Ley 38/2003, de 17 de noviembre, General de Subvenciones, se publica el extracto de la convocatoria cuyo texto completo puede consultarse en la Base de Datos Nacional de Subvenciones (http://www.pap.minhap.gob.es/bdnstrans).</w:t>
      </w:r>
    </w:p>
    <w:p>
      <w:pPr>
        <w:pStyle w:val="Cuerpodetexto"/>
        <w:jc w:val="both"/>
        <w:rPr>
          <w:sz w:val="22"/>
          <w:szCs w:val="22"/>
        </w:rPr>
      </w:pPr>
      <w:r>
        <w:rPr>
          <w:sz w:val="22"/>
          <w:szCs w:val="22"/>
        </w:rPr>
        <w:t xml:space="preserve"> </w:t>
      </w:r>
    </w:p>
    <w:p>
      <w:pPr>
        <w:pStyle w:val="Cuerpodetexto"/>
        <w:jc w:val="both"/>
        <w:rPr>
          <w:sz w:val="22"/>
          <w:szCs w:val="22"/>
        </w:rPr>
      </w:pPr>
      <w:r>
        <w:rPr>
          <w:sz w:val="22"/>
          <w:szCs w:val="22"/>
        </w:rPr>
        <w:t>“</w:t>
      </w:r>
      <w:r>
        <w:rPr>
          <w:rFonts w:cs="Caladea" w:ascii="Caladea" w:hAnsi="Caladea"/>
          <w:sz w:val="22"/>
          <w:szCs w:val="22"/>
        </w:rPr>
        <w:t>(...)/(…)</w:t>
      </w:r>
    </w:p>
    <w:p>
      <w:pPr>
        <w:pStyle w:val="Cuerpodetexto"/>
        <w:jc w:val="center"/>
        <w:rPr/>
      </w:pPr>
      <w:r>
        <w:rPr>
          <w:rFonts w:cs="Caladea" w:ascii="Caladea" w:hAnsi="Caladea"/>
          <w:b/>
          <w:sz w:val="22"/>
          <w:szCs w:val="22"/>
        </w:rPr>
        <w:t xml:space="preserve">CONVOCATORIA PARA LA CONCESIÓN DE  </w:t>
      </w:r>
      <w:r>
        <w:rPr>
          <w:rFonts w:cs="Caladea" w:ascii="Caladea" w:hAnsi="Caladea"/>
          <w:b/>
          <w:sz w:val="22"/>
          <w:szCs w:val="22"/>
        </w:rPr>
        <w:t>AYUDAS AL PAGO DEL IMPUESTO DE BIENES INMUEBLES (IBI) DE LA VIVIENDA HABITUAL DE UNIDADES FAMILIARES CON ESCASOS RECURSOS ECONÓMICOS, AÑO 2020</w:t>
      </w:r>
    </w:p>
    <w:p>
      <w:pPr>
        <w:pStyle w:val="Cuerpodetexto"/>
        <w:jc w:val="center"/>
        <w:rPr>
          <w:rFonts w:ascii="Caladea" w:hAnsi="Caladea" w:cs="Caladea"/>
          <w:b/>
          <w:b/>
          <w:sz w:val="22"/>
          <w:szCs w:val="22"/>
        </w:rPr>
      </w:pPr>
      <w:r>
        <w:rPr/>
      </w:r>
    </w:p>
    <w:p>
      <w:pPr>
        <w:pStyle w:val="Cuerpodetexto"/>
        <w:jc w:val="both"/>
        <w:rPr>
          <w:rFonts w:ascii="Caladea" w:hAnsi="Caladea" w:cs="Caladea"/>
          <w:b/>
          <w:b/>
          <w:sz w:val="22"/>
          <w:szCs w:val="22"/>
          <w:u w:val="single"/>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Caladea;Cambria" w:hAnsi="Caladea;Cambria" w:cs="Caladea;Cambria"/>
          <w:b/>
          <w:b/>
          <w:sz w:val="22"/>
          <w:szCs w:val="22"/>
        </w:rPr>
      </w:pPr>
      <w:r>
        <w:rPr>
          <w:rFonts w:cs="Caladea;Cambria" w:ascii="Caladea;Cambria" w:hAnsi="Caladea;Cambria"/>
          <w:b/>
          <w:sz w:val="22"/>
          <w:szCs w:val="22"/>
        </w:rPr>
      </w:r>
    </w:p>
    <w:p>
      <w:pPr>
        <w:pStyle w:val="Normal"/>
        <w:widowControl/>
        <w:bidi w:val="0"/>
        <w:spacing w:lineRule="auto" w:line="360"/>
        <w:ind w:left="0" w:right="0" w:hanging="0"/>
        <w:jc w:val="both"/>
        <w:rPr/>
      </w:pPr>
      <w:r>
        <w:rPr>
          <w:rFonts w:cs="Caladea;Cambria" w:ascii="Caladea;Cambria" w:hAnsi="Caladea;Cambria"/>
          <w:b/>
          <w:sz w:val="22"/>
          <w:szCs w:val="22"/>
        </w:rPr>
        <w:t>CONVOCATORIA PARA LA CONCESIÓN DE AYUDAS AL PAGO DEL IMPUESTO DE BIENES INMUEBLES (IBI) DE LA VIVIENDA HABITUAL AÑO 2020.</w:t>
      </w:r>
    </w:p>
    <w:p>
      <w:pPr>
        <w:pStyle w:val="Normal"/>
        <w:spacing w:lineRule="auto" w:line="360"/>
        <w:ind w:left="0" w:right="-81" w:firstLine="540"/>
        <w:jc w:val="both"/>
        <w:rPr>
          <w:rFonts w:ascii="Caladea;Cambria" w:hAnsi="Caladea;Cambria" w:cs="Caladea;Cambria"/>
          <w:b/>
          <w:b/>
          <w:sz w:val="22"/>
          <w:szCs w:val="22"/>
        </w:rPr>
      </w:pPr>
      <w:r>
        <w:rPr>
          <w:rFonts w:cs="Caladea;Cambria" w:ascii="Caladea;Cambria" w:hAnsi="Caladea;Cambria"/>
          <w:b/>
          <w:sz w:val="22"/>
          <w:szCs w:val="22"/>
        </w:rPr>
      </w:r>
      <w:bookmarkStart w:id="0" w:name="__DdeLink__4179_901425498"/>
      <w:bookmarkStart w:id="1" w:name="__DdeLink__4179_901425498"/>
      <w:bookmarkEnd w:id="1"/>
    </w:p>
    <w:p>
      <w:pPr>
        <w:pStyle w:val="Normal"/>
        <w:spacing w:before="0" w:after="120"/>
        <w:jc w:val="both"/>
        <w:rPr>
          <w:rFonts w:ascii="Caladea;Cambria" w:hAnsi="Caladea;Cambria" w:cs="Caladea;Cambria"/>
          <w:b/>
          <w:b/>
          <w:sz w:val="22"/>
          <w:szCs w:val="22"/>
        </w:rPr>
      </w:pPr>
      <w:r>
        <w:rPr>
          <w:rFonts w:cs="Caladea;Cambria" w:ascii="Caladea;Cambria" w:hAnsi="Caladea;Cambria"/>
          <w:b/>
          <w:sz w:val="22"/>
          <w:szCs w:val="22"/>
        </w:rPr>
        <w:t>PRIMERA.- OBJETO</w:t>
      </w:r>
    </w:p>
    <w:p>
      <w:pPr>
        <w:pStyle w:val="Normal"/>
        <w:spacing w:lineRule="auto" w:line="276"/>
        <w:jc w:val="both"/>
        <w:rPr>
          <w:rFonts w:ascii="Caladea;Cambria" w:hAnsi="Caladea;Cambria" w:cs="Caladea;Cambria"/>
          <w:sz w:val="22"/>
          <w:szCs w:val="22"/>
        </w:rPr>
      </w:pPr>
      <w:r>
        <w:rPr>
          <w:rFonts w:cs="Caladea;Cambria" w:ascii="Caladea;Cambria" w:hAnsi="Caladea;Cambria"/>
          <w:sz w:val="22"/>
          <w:szCs w:val="22"/>
        </w:rPr>
        <w:t>Constituye el objeto de las presentes bases la concesión de subvenciones destinadas al pago del Impuesto de Bienes Inmuebles (IBI) que recae sobre la vivienda habitual de unidades familiares con escasos recursos económicos.</w:t>
      </w:r>
    </w:p>
    <w:p>
      <w:pPr>
        <w:pStyle w:val="Normal"/>
        <w:spacing w:lineRule="auto" w:line="276"/>
        <w:jc w:val="both"/>
        <w:rPr>
          <w:rFonts w:ascii="Caladea;Cambria" w:hAnsi="Caladea;Cambria" w:cs="Caladea;Cambria"/>
          <w:sz w:val="22"/>
          <w:szCs w:val="22"/>
        </w:rPr>
      </w:pPr>
      <w:r>
        <w:rPr>
          <w:rFonts w:cs="Caladea;Cambria" w:ascii="Caladea;Cambria" w:hAnsi="Caladea;Cambria"/>
          <w:sz w:val="22"/>
          <w:szCs w:val="22"/>
        </w:rPr>
      </w:r>
    </w:p>
    <w:p>
      <w:pPr>
        <w:pStyle w:val="Normal"/>
        <w:spacing w:lineRule="auto" w:line="360"/>
        <w:jc w:val="both"/>
        <w:rPr>
          <w:rFonts w:ascii="Caladea;Cambria" w:hAnsi="Caladea;Cambria" w:cs="Caladea;Cambria"/>
          <w:b/>
          <w:b/>
          <w:sz w:val="22"/>
          <w:szCs w:val="22"/>
        </w:rPr>
      </w:pPr>
      <w:r>
        <w:rPr>
          <w:rFonts w:cs="Caladea;Cambria" w:ascii="Caladea;Cambria" w:hAnsi="Caladea;Cambria"/>
          <w:b/>
          <w:sz w:val="22"/>
          <w:szCs w:val="22"/>
        </w:rPr>
        <w:t>SEGUNDA.- BENEFICIARIOS Y REQUISITOS</w:t>
      </w:r>
    </w:p>
    <w:p>
      <w:pPr>
        <w:pStyle w:val="Normal"/>
        <w:spacing w:lineRule="auto" w:line="276"/>
        <w:jc w:val="both"/>
        <w:rPr>
          <w:rFonts w:ascii="Caladea;Cambria" w:hAnsi="Caladea;Cambria" w:cs="Caladea;Cambria"/>
          <w:sz w:val="22"/>
          <w:szCs w:val="22"/>
        </w:rPr>
      </w:pPr>
      <w:r>
        <w:rPr>
          <w:rFonts w:cs="Caladea;Cambria" w:ascii="Caladea;Cambria" w:hAnsi="Caladea;Cambria"/>
          <w:sz w:val="22"/>
          <w:szCs w:val="22"/>
        </w:rPr>
        <w:t>Podrán ser beneficiarios de la subvención objeto de estas bases aquellas personas físicas sujetos pasivos del impuesto, en su redacción por la Ordenanza Fiscal reguladora vigente en el término municipal de Albalat dels Sorells, que sean titulares de bienes inmuebles de naturaleza urbana, sólo si se trata de la residencia habitual, debiéndose cumplir además los siguientes requisitos:</w:t>
      </w:r>
    </w:p>
    <w:p>
      <w:pPr>
        <w:pStyle w:val="Normal"/>
        <w:spacing w:lineRule="auto" w:line="276"/>
        <w:ind w:left="0" w:right="0" w:firstLine="708"/>
        <w:jc w:val="both"/>
        <w:rPr>
          <w:rFonts w:ascii="Caladea;Cambria" w:hAnsi="Caladea;Cambria" w:cs="Caladea;Cambria"/>
          <w:sz w:val="22"/>
          <w:szCs w:val="22"/>
        </w:rPr>
      </w:pPr>
      <w:r>
        <w:rPr>
          <w:rFonts w:cs="Caladea;Cambria" w:ascii="Caladea;Cambria" w:hAnsi="Caladea;Cambria"/>
          <w:sz w:val="22"/>
          <w:szCs w:val="22"/>
        </w:rPr>
      </w:r>
    </w:p>
    <w:p>
      <w:pPr>
        <w:pStyle w:val="Normal"/>
        <w:spacing w:lineRule="auto" w:line="276"/>
        <w:ind w:left="708" w:right="0" w:hanging="0"/>
        <w:jc w:val="both"/>
        <w:rPr>
          <w:rFonts w:ascii="Caladea;Cambria" w:hAnsi="Caladea;Cambria" w:cs="Caladea;Cambria"/>
          <w:sz w:val="22"/>
          <w:szCs w:val="22"/>
        </w:rPr>
      </w:pPr>
      <w:r>
        <w:rPr>
          <w:rFonts w:cs="Caladea;Cambria" w:ascii="Caladea;Cambria" w:hAnsi="Caladea;Cambria"/>
          <w:sz w:val="22"/>
          <w:szCs w:val="22"/>
        </w:rPr>
        <w:t>a) Que el impuesto objeto de la ayuda recaiga sobre la vivienda habitual, entendiéndose como tal aquella en la que figuren empadronados el sujeto pasivo y todos los miembros de la unidad familiar.</w:t>
      </w:r>
    </w:p>
    <w:p>
      <w:pPr>
        <w:pStyle w:val="Normal"/>
        <w:spacing w:lineRule="auto" w:line="276"/>
        <w:ind w:left="708" w:right="0" w:hanging="0"/>
        <w:jc w:val="both"/>
        <w:rPr>
          <w:rFonts w:ascii="Caladea;Cambria" w:hAnsi="Caladea;Cambria" w:cs="Caladea;Cambria"/>
          <w:sz w:val="22"/>
          <w:szCs w:val="22"/>
        </w:rPr>
      </w:pPr>
      <w:r>
        <w:rPr>
          <w:rFonts w:cs="Caladea;Cambria" w:ascii="Caladea;Cambria" w:hAnsi="Caladea;Cambria"/>
          <w:sz w:val="22"/>
          <w:szCs w:val="22"/>
        </w:rPr>
        <w:br/>
        <w:t>b) Que la vivienda esté situada en el término municipal de Albalat dels Sorells.</w:t>
      </w:r>
    </w:p>
    <w:p>
      <w:pPr>
        <w:pStyle w:val="Normal"/>
        <w:spacing w:lineRule="auto" w:line="276"/>
        <w:ind w:left="708" w:right="0" w:hanging="0"/>
        <w:jc w:val="both"/>
        <w:rPr>
          <w:rFonts w:ascii="Caladea;Cambria" w:hAnsi="Caladea;Cambria" w:cs="Caladea;Cambria"/>
          <w:sz w:val="22"/>
          <w:szCs w:val="22"/>
        </w:rPr>
      </w:pPr>
      <w:r>
        <w:rPr>
          <w:rFonts w:cs="Caladea;Cambria" w:ascii="Caladea;Cambria" w:hAnsi="Caladea;Cambria"/>
          <w:sz w:val="22"/>
          <w:szCs w:val="22"/>
        </w:rPr>
        <w:br/>
        <w:t>c) Que el sujeto pasivo del impuesto lleve empadronado en el municipio de Albalat dels Sorells un mínimo de 2 años. En el supuesto de pluralidad de cotitulares o sujetos pasivos del IBI, todos ellos deberán de estar empadronados en el domicilio siendo esta su vivienda habitual y cumplir cada uno la totalidad de requisitos.</w:t>
      </w:r>
    </w:p>
    <w:p>
      <w:pPr>
        <w:pStyle w:val="Normal"/>
        <w:spacing w:lineRule="auto" w:line="276"/>
        <w:ind w:left="708" w:right="0" w:hanging="0"/>
        <w:jc w:val="both"/>
        <w:rPr>
          <w:rFonts w:ascii="Caladea;Cambria" w:hAnsi="Caladea;Cambria" w:cs="Caladea;Cambria"/>
          <w:sz w:val="22"/>
          <w:szCs w:val="22"/>
        </w:rPr>
      </w:pPr>
      <w:r>
        <w:rPr>
          <w:rFonts w:cs="Caladea;Cambria" w:ascii="Caladea;Cambria" w:hAnsi="Caladea;Cambria"/>
          <w:sz w:val="22"/>
          <w:szCs w:val="22"/>
        </w:rPr>
        <w:br/>
        <w:t>d) En el supuesto de pluralidad de sujetos pasivos, todos ellos deberán cumplir cada uno de los requisitos contemplados en las presentes Base, salvo que se haya dividido el recibo, en cuyo caso podrá solicitar la subvención quien ocupe la vivienda y cumpla los requisitos, por la parte que le corresponda. De no haber solicitado la división del recibo, será requisito para poder acceder a la subvención en la forma descrita, formular la solicitud de división del recibo por el porcentaje de titularidad que le corresponda.</w:t>
      </w:r>
    </w:p>
    <w:p>
      <w:pPr>
        <w:pStyle w:val="Normal"/>
        <w:spacing w:lineRule="auto" w:line="276"/>
        <w:ind w:left="708" w:right="0" w:hanging="0"/>
        <w:jc w:val="both"/>
        <w:rPr>
          <w:rFonts w:ascii="Caladea;Cambria" w:hAnsi="Caladea;Cambria" w:cs="Caladea;Cambria"/>
          <w:sz w:val="22"/>
          <w:szCs w:val="22"/>
        </w:rPr>
      </w:pPr>
      <w:r>
        <w:rPr>
          <w:rFonts w:cs="Caladea;Cambria" w:ascii="Caladea;Cambria" w:hAnsi="Caladea;Cambria"/>
          <w:sz w:val="22"/>
          <w:szCs w:val="22"/>
        </w:rPr>
      </w:r>
    </w:p>
    <w:p>
      <w:pPr>
        <w:pStyle w:val="Normal"/>
        <w:spacing w:lineRule="auto" w:line="276"/>
        <w:ind w:left="708" w:right="0" w:hanging="0"/>
        <w:jc w:val="both"/>
        <w:rPr>
          <w:rFonts w:ascii="Caladea;Cambria" w:hAnsi="Caladea;Cambria" w:cs="Caladea;Cambria"/>
          <w:sz w:val="22"/>
          <w:szCs w:val="22"/>
        </w:rPr>
      </w:pPr>
      <w:r>
        <w:rPr>
          <w:rFonts w:cs="Caladea;Cambria" w:ascii="Caladea;Cambria" w:hAnsi="Caladea;Cambria"/>
          <w:sz w:val="22"/>
          <w:szCs w:val="22"/>
        </w:rPr>
        <w:t xml:space="preserve">e) Estar al corriente de obligaciones tributarias. </w:t>
      </w:r>
    </w:p>
    <w:p>
      <w:pPr>
        <w:pStyle w:val="Normal"/>
        <w:spacing w:lineRule="auto" w:line="276"/>
        <w:ind w:left="708" w:right="0" w:hanging="0"/>
        <w:jc w:val="both"/>
        <w:rPr>
          <w:rFonts w:ascii="Caladea;Cambria" w:hAnsi="Caladea;Cambria" w:cs="Caladea;Cambria"/>
          <w:color w:val="4C4C4C"/>
          <w:sz w:val="22"/>
          <w:szCs w:val="22"/>
        </w:rPr>
      </w:pPr>
      <w:r>
        <w:rPr>
          <w:rFonts w:cs="Caladea;Cambria" w:ascii="Caladea;Cambria" w:hAnsi="Caladea;Cambria"/>
          <w:color w:val="4C4C4C"/>
          <w:sz w:val="22"/>
          <w:szCs w:val="22"/>
        </w:rPr>
        <w:br/>
      </w:r>
    </w:p>
    <w:p>
      <w:pPr>
        <w:pStyle w:val="Normal"/>
        <w:spacing w:lineRule="auto" w:line="360"/>
        <w:jc w:val="both"/>
        <w:rPr/>
      </w:pPr>
      <w:r>
        <w:rPr>
          <w:rFonts w:cs="Caladea;Cambria" w:ascii="Caladea;Cambria" w:hAnsi="Caladea;Cambria"/>
          <w:sz w:val="22"/>
          <w:szCs w:val="22"/>
        </w:rPr>
        <w:br/>
      </w:r>
      <w:r>
        <w:rPr>
          <w:rFonts w:cs="Caladea;Cambria" w:ascii="Caladea;Cambria" w:hAnsi="Caladea;Cambria"/>
          <w:b/>
          <w:sz w:val="22"/>
          <w:szCs w:val="22"/>
        </w:rPr>
        <w:t>TERCERA.- CUANTÍA DE LA SUBVENCIÓN.</w:t>
      </w:r>
    </w:p>
    <w:p>
      <w:pPr>
        <w:pStyle w:val="Normal"/>
        <w:spacing w:lineRule="auto" w:line="276"/>
        <w:jc w:val="both"/>
        <w:rPr/>
      </w:pPr>
      <w:r>
        <w:rPr>
          <w:rFonts w:cs="Caladea;Cambria" w:ascii="Caladea;Cambria" w:hAnsi="Caladea;Cambria"/>
          <w:sz w:val="22"/>
          <w:szCs w:val="22"/>
        </w:rPr>
        <w:t xml:space="preserve">La dotación presupuestaria máxima destinada a esta convocatoria será </w:t>
      </w:r>
      <w:r>
        <w:rPr>
          <w:rFonts w:cs="Caladea;Cambria" w:ascii="Caladea;Cambria" w:hAnsi="Caladea;Cambria"/>
          <w:color w:val="000000"/>
          <w:sz w:val="22"/>
          <w:szCs w:val="22"/>
        </w:rPr>
        <w:t xml:space="preserve">de 9.000 euros con cargo a la aplicación presupuestaria 231.489.01 del presupuesto para el ejercicio 2020 </w:t>
      </w:r>
      <w:r>
        <w:rPr>
          <w:rFonts w:cs="Caladea;Cambria" w:ascii="Caladea;Cambria" w:hAnsi="Caladea;Cambria"/>
          <w:color w:val="000000"/>
          <w:sz w:val="22"/>
          <w:szCs w:val="22"/>
          <w:lang w:bidi="zxx"/>
        </w:rPr>
        <w:t xml:space="preserve"> (Referencia</w:t>
      </w:r>
      <w:r>
        <w:rPr>
          <w:rFonts w:eastAsia="Lucida Sans Unicode" w:cs="Caladea;Cambria" w:ascii="Caladea;Cambria" w:hAnsi="Caladea;Cambria"/>
          <w:color w:val="000000"/>
          <w:kern w:val="2"/>
          <w:sz w:val="22"/>
          <w:szCs w:val="22"/>
          <w:lang w:val="es-ES" w:eastAsia="zh-CN" w:bidi="zxx"/>
        </w:rPr>
        <w:t xml:space="preserve"> RC n.º 220200005542), pudi</w:t>
      </w:r>
      <w:r>
        <w:rPr>
          <w:rFonts w:cs="Caladea;Cambria" w:ascii="Caladea;Cambria" w:hAnsi="Caladea;Cambria"/>
          <w:color w:val="000000"/>
          <w:sz w:val="22"/>
          <w:szCs w:val="22"/>
          <w:lang w:bidi="zxx"/>
        </w:rPr>
        <w:t>endo ampliarse esta previa tramitación de modificación presupuestaria, si así se considerara oportuno.</w:t>
      </w:r>
      <w:r>
        <w:rPr>
          <w:rFonts w:cs="Caladea;Cambria" w:ascii="Caladea;Cambria" w:hAnsi="Caladea;Cambria"/>
          <w:color w:val="000000"/>
          <w:sz w:val="22"/>
          <w:szCs w:val="22"/>
        </w:rPr>
        <w:t xml:space="preserve"> pudiendo ampliarse esta mediante la oportuna modificación presupuestaria si así se considerara oportuno. Como máximo la subvención comprenderá el 100% de la cuota íntegra correspondiente del Impuesto de Bienes Inmuebles (IBI).</w:t>
      </w:r>
    </w:p>
    <w:p>
      <w:pPr>
        <w:pStyle w:val="Normal"/>
        <w:jc w:val="both"/>
        <w:rPr>
          <w:rFonts w:ascii="Caladea;Cambria" w:hAnsi="Caladea;Cambria" w:cs="Caladea;Cambria"/>
          <w:sz w:val="22"/>
          <w:szCs w:val="22"/>
        </w:rPr>
      </w:pPr>
      <w:r>
        <w:rPr>
          <w:rFonts w:cs="Caladea;Cambria" w:ascii="Caladea;Cambria" w:hAnsi="Caladea;Cambria"/>
          <w:sz w:val="22"/>
          <w:szCs w:val="22"/>
        </w:rPr>
      </w:r>
    </w:p>
    <w:p>
      <w:pPr>
        <w:pStyle w:val="Normal"/>
        <w:spacing w:before="0" w:after="120"/>
        <w:jc w:val="both"/>
        <w:rPr/>
      </w:pPr>
      <w:r>
        <w:rPr>
          <w:rFonts w:cs="Caladea;Cambria" w:ascii="Caladea;Cambria" w:hAnsi="Caladea;Cambria"/>
          <w:sz w:val="22"/>
          <w:szCs w:val="22"/>
        </w:rPr>
        <w:br/>
      </w:r>
      <w:r>
        <w:rPr>
          <w:rFonts w:cs="Caladea;Cambria" w:ascii="Caladea;Cambria" w:hAnsi="Caladea;Cambria"/>
          <w:b/>
          <w:bCs/>
          <w:sz w:val="22"/>
          <w:szCs w:val="22"/>
        </w:rPr>
        <w:t>CUARTA.- PROCEDIMI</w:t>
      </w:r>
      <w:r>
        <w:rPr>
          <w:rFonts w:cs="Caladea;Cambria" w:ascii="Caladea;Cambria" w:hAnsi="Caladea;Cambria"/>
          <w:b/>
          <w:sz w:val="22"/>
          <w:szCs w:val="22"/>
        </w:rPr>
        <w:t>ENTO DE CONCESIÓN DE LAS SUBVENCIONES</w:t>
      </w:r>
    </w:p>
    <w:p>
      <w:pPr>
        <w:pStyle w:val="Cuerpodetexto"/>
        <w:spacing w:lineRule="auto" w:line="276"/>
        <w:jc w:val="both"/>
        <w:rPr/>
      </w:pPr>
      <w:r>
        <w:rPr>
          <w:rFonts w:cs="Caladea;Cambria" w:ascii="Caladea;Cambria" w:hAnsi="Caladea;Cambria"/>
          <w:sz w:val="22"/>
          <w:szCs w:val="22"/>
        </w:rPr>
        <w:t>El procedimiento se iniciará de oficio, mediante solicitud presentada por los interesados. La instrucción del procedimiento se llevará a cabo por el Departamentos de Servicios Sociales, quienes estudiarán las solicitudes presentadas y previo informe técnico emitido por la Trabajadora Social</w:t>
      </w:r>
      <w:r>
        <w:rPr>
          <w:rFonts w:cs="Caladea;Cambria" w:ascii="Caladea;Cambria" w:hAnsi="Caladea;Cambria"/>
          <w:color w:val="FF0000"/>
          <w:sz w:val="22"/>
          <w:szCs w:val="22"/>
        </w:rPr>
        <w:t xml:space="preserve"> </w:t>
      </w:r>
      <w:r>
        <w:rPr>
          <w:rFonts w:cs="Caladea;Cambria" w:ascii="Caladea;Cambria" w:hAnsi="Caladea;Cambria"/>
          <w:color w:val="000000"/>
          <w:sz w:val="22"/>
          <w:szCs w:val="22"/>
        </w:rPr>
        <w:t>o en su caso por la Educadora Social,</w:t>
      </w:r>
      <w:r>
        <w:rPr>
          <w:rFonts w:cs="Caladea;Cambria" w:ascii="Caladea;Cambria" w:hAnsi="Caladea;Cambria"/>
          <w:sz w:val="22"/>
          <w:szCs w:val="22"/>
        </w:rPr>
        <w:t xml:space="preserve"> en el que se valorarán las solicitudes presentadas conforme al baremo establecido en las presentes bases reguladoras.</w:t>
      </w:r>
    </w:p>
    <w:p>
      <w:pPr>
        <w:pStyle w:val="Cuerpodetexto"/>
        <w:spacing w:lineRule="auto" w:line="276"/>
        <w:jc w:val="both"/>
        <w:rPr>
          <w:rFonts w:ascii="Caladea;Cambria" w:hAnsi="Caladea;Cambria" w:cs="Caladea;Cambria"/>
          <w:sz w:val="22"/>
          <w:szCs w:val="22"/>
        </w:rPr>
      </w:pPr>
      <w:r>
        <w:rPr>
          <w:rFonts w:cs="Caladea;Cambria" w:ascii="Caladea;Cambria" w:hAnsi="Caladea;Cambria"/>
          <w:sz w:val="22"/>
          <w:szCs w:val="22"/>
        </w:rPr>
        <w:t>Corresponderá al Órgano instructor realizar cuantas actuaciones estime necesarias para la determinación, conocimiento y comprobación de los datos y documentos en virtud de los cuales debe formularse la propuesta de resolución.</w:t>
      </w:r>
    </w:p>
    <w:p>
      <w:pPr>
        <w:pStyle w:val="Cuerpodetexto"/>
        <w:spacing w:lineRule="auto" w:line="276"/>
        <w:jc w:val="both"/>
        <w:rPr>
          <w:rFonts w:ascii="Caladea;Cambria" w:hAnsi="Caladea;Cambria" w:cs="Caladea;Cambria"/>
          <w:sz w:val="22"/>
          <w:szCs w:val="22"/>
        </w:rPr>
      </w:pPr>
      <w:r>
        <w:rPr>
          <w:rFonts w:cs="Caladea;Cambria" w:ascii="Caladea;Cambria" w:hAnsi="Caladea;Cambria"/>
          <w:sz w:val="22"/>
          <w:szCs w:val="22"/>
        </w:rPr>
        <w:t xml:space="preserve">Las actividades de instrucción comprenderán necesariamente: </w:t>
      </w:r>
    </w:p>
    <w:p>
      <w:pPr>
        <w:pStyle w:val="Cuerpodetexto"/>
        <w:spacing w:lineRule="auto" w:line="276"/>
        <w:jc w:val="both"/>
        <w:rPr>
          <w:rFonts w:ascii="Caladea;Cambria" w:hAnsi="Caladea;Cambria" w:cs="Caladea;Cambria"/>
          <w:sz w:val="22"/>
          <w:szCs w:val="22"/>
        </w:rPr>
      </w:pPr>
      <w:r>
        <w:rPr>
          <w:rFonts w:cs="Caladea;Cambria" w:ascii="Caladea;Cambria" w:hAnsi="Caladea;Cambria"/>
          <w:sz w:val="22"/>
          <w:szCs w:val="22"/>
        </w:rPr>
        <w:t>a) Mecanización de las solicitudes y apertura del correspondiente expediente administrativo.</w:t>
      </w:r>
    </w:p>
    <w:p>
      <w:pPr>
        <w:pStyle w:val="Cuerpodetexto"/>
        <w:spacing w:lineRule="auto" w:line="276"/>
        <w:jc w:val="both"/>
        <w:rPr>
          <w:rFonts w:ascii="Caladea;Cambria" w:hAnsi="Caladea;Cambria" w:cs="Caladea;Cambria"/>
          <w:sz w:val="22"/>
          <w:szCs w:val="22"/>
        </w:rPr>
      </w:pPr>
      <w:r>
        <w:rPr>
          <w:rFonts w:cs="Caladea;Cambria" w:ascii="Caladea;Cambria" w:hAnsi="Caladea;Cambria"/>
          <w:sz w:val="22"/>
          <w:szCs w:val="22"/>
        </w:rPr>
        <w:t>b) Revisión de la documentación y en su caso, notificación de la necesidad de subsanación.</w:t>
      </w:r>
    </w:p>
    <w:p>
      <w:pPr>
        <w:pStyle w:val="Cuerpodetexto"/>
        <w:spacing w:lineRule="auto" w:line="276"/>
        <w:jc w:val="both"/>
        <w:rPr>
          <w:rFonts w:ascii="Caladea;Cambria" w:hAnsi="Caladea;Cambria" w:cs="Caladea;Cambria"/>
          <w:sz w:val="22"/>
          <w:szCs w:val="22"/>
        </w:rPr>
      </w:pPr>
      <w:r>
        <w:rPr>
          <w:rFonts w:cs="Caladea;Cambria" w:ascii="Caladea;Cambria" w:hAnsi="Caladea;Cambria"/>
          <w:sz w:val="22"/>
          <w:szCs w:val="22"/>
        </w:rPr>
        <w:t>c) Evaluación técnica en la que se verificará el cumplimiento de los requisitos para adquirir la condición de beneficiario de la ayuda.</w:t>
      </w:r>
    </w:p>
    <w:p>
      <w:pPr>
        <w:pStyle w:val="Cuerpodetexto"/>
        <w:spacing w:lineRule="auto" w:line="276"/>
        <w:jc w:val="both"/>
        <w:rPr>
          <w:rFonts w:ascii="Caladea;Cambria" w:hAnsi="Caladea;Cambria" w:cs="Caladea;Cambria"/>
          <w:sz w:val="22"/>
          <w:szCs w:val="22"/>
        </w:rPr>
      </w:pPr>
      <w:r>
        <w:rPr>
          <w:rFonts w:cs="Caladea;Cambria" w:ascii="Caladea;Cambria" w:hAnsi="Caladea;Cambria"/>
          <w:sz w:val="22"/>
          <w:szCs w:val="22"/>
        </w:rPr>
        <w:t>d) Emisión del Informe Propuesta de adjudicación de la subvención</w:t>
      </w:r>
    </w:p>
    <w:p>
      <w:pPr>
        <w:pStyle w:val="Cuerpodetexto"/>
        <w:spacing w:lineRule="auto" w:line="276"/>
        <w:jc w:val="both"/>
        <w:rPr>
          <w:rFonts w:ascii="Caladea;Cambria" w:hAnsi="Caladea;Cambria" w:cs="Caladea;Cambria"/>
          <w:sz w:val="22"/>
          <w:szCs w:val="22"/>
        </w:rPr>
      </w:pPr>
      <w:r>
        <w:rPr>
          <w:rFonts w:cs="Caladea;Cambria" w:ascii="Caladea;Cambria" w:hAnsi="Caladea;Cambria"/>
          <w:sz w:val="22"/>
          <w:szCs w:val="22"/>
        </w:rPr>
        <w:t>e) Seguimiento y justificación de la ayuda.</w:t>
      </w:r>
    </w:p>
    <w:p>
      <w:pPr>
        <w:pStyle w:val="Cuerpodetexto"/>
        <w:spacing w:lineRule="auto" w:line="276"/>
        <w:jc w:val="both"/>
        <w:rPr>
          <w:rFonts w:ascii="Caladea;Cambria" w:hAnsi="Caladea;Cambria" w:cs="Caladea;Cambria"/>
          <w:sz w:val="22"/>
          <w:szCs w:val="22"/>
        </w:rPr>
      </w:pPr>
      <w:r>
        <w:rPr>
          <w:rFonts w:cs="Caladea;Cambria" w:ascii="Caladea;Cambria" w:hAnsi="Caladea;Cambria"/>
          <w:sz w:val="22"/>
          <w:szCs w:val="22"/>
        </w:rPr>
        <w:t>RESOLUCIÓN</w:t>
      </w:r>
    </w:p>
    <w:p>
      <w:pPr>
        <w:pStyle w:val="Cuerpodetexto"/>
        <w:spacing w:lineRule="auto" w:line="276"/>
        <w:jc w:val="both"/>
        <w:rPr>
          <w:rFonts w:ascii="Caladea;Cambria" w:hAnsi="Caladea;Cambria" w:cs="Caladea;Cambria"/>
          <w:sz w:val="22"/>
          <w:szCs w:val="22"/>
        </w:rPr>
      </w:pPr>
      <w:r>
        <w:rPr>
          <w:rFonts w:cs="Caladea;Cambria" w:ascii="Caladea;Cambria" w:hAnsi="Caladea;Cambria"/>
          <w:sz w:val="22"/>
          <w:szCs w:val="22"/>
        </w:rPr>
        <w:t xml:space="preserve">El Órgano competente para la resolución será la Alcaldía, de conformidad con lo establecido en la legislación de régimen local vigente. </w:t>
      </w:r>
    </w:p>
    <w:p>
      <w:pPr>
        <w:pStyle w:val="Cuerpodetexto"/>
        <w:spacing w:lineRule="auto" w:line="276"/>
        <w:jc w:val="both"/>
        <w:rPr>
          <w:rFonts w:ascii="Caladea;Cambria" w:hAnsi="Caladea;Cambria" w:cs="Caladea;Cambria"/>
          <w:sz w:val="22"/>
          <w:szCs w:val="22"/>
        </w:rPr>
      </w:pPr>
      <w:r>
        <w:rPr>
          <w:rFonts w:cs="Caladea;Cambria" w:ascii="Caladea;Cambria" w:hAnsi="Caladea;Cambria"/>
          <w:sz w:val="22"/>
          <w:szCs w:val="22"/>
        </w:rPr>
      </w:r>
    </w:p>
    <w:p>
      <w:pPr>
        <w:pStyle w:val="Cuerpodetexto"/>
        <w:spacing w:lineRule="auto" w:line="276"/>
        <w:jc w:val="both"/>
        <w:rPr>
          <w:rFonts w:ascii="Caladea;Cambria" w:hAnsi="Caladea;Cambria" w:cs="Caladea;Cambria"/>
          <w:b/>
          <w:b/>
          <w:sz w:val="22"/>
          <w:szCs w:val="22"/>
        </w:rPr>
      </w:pPr>
      <w:r>
        <w:rPr>
          <w:rFonts w:cs="Caladea;Cambria" w:ascii="Caladea;Cambria" w:hAnsi="Caladea;Cambria"/>
          <w:b/>
          <w:sz w:val="22"/>
          <w:szCs w:val="22"/>
        </w:rPr>
        <w:t>QUINTA.- LUGAR Y PLAZO DE PRESENTACIÓN</w:t>
      </w:r>
    </w:p>
    <w:p>
      <w:pPr>
        <w:pStyle w:val="Cuerpodetexto"/>
        <w:spacing w:lineRule="auto" w:line="276"/>
        <w:jc w:val="both"/>
        <w:rPr/>
      </w:pPr>
      <w:r>
        <w:rPr>
          <w:rFonts w:cs="Caladea;Cambria" w:ascii="Caladea;Cambria" w:hAnsi="Caladea;Cambria"/>
          <w:sz w:val="22"/>
          <w:szCs w:val="22"/>
        </w:rPr>
        <w:t>El plazo de presentación ser</w:t>
      </w:r>
      <w:r>
        <w:rPr>
          <w:rFonts w:cs="Caladea;Cambria" w:ascii="Caladea;Cambria" w:hAnsi="Caladea;Cambria"/>
          <w:color w:val="000000"/>
          <w:sz w:val="22"/>
          <w:szCs w:val="22"/>
        </w:rPr>
        <w:t xml:space="preserve">á de 15 días hábiles </w:t>
      </w:r>
      <w:r>
        <w:rPr>
          <w:rFonts w:cs="Caladea;Cambria" w:ascii="Caladea;Cambria" w:hAnsi="Caladea;Cambria"/>
          <w:color w:val="000000"/>
          <w:sz w:val="22"/>
          <w:szCs w:val="22"/>
          <w:lang w:bidi="zxx"/>
        </w:rPr>
        <w:t>desde el día siguiente a la publicación del extracto de la convocatoria en el Boletín Oficial de la Provincia de Valencia y las solicitudes se presentarán en el Registro General del Ayuntamiento junto con toda la documentación requerida.</w:t>
      </w:r>
      <w:r>
        <w:rPr>
          <w:rFonts w:cs="Caladea;Cambria" w:ascii="Caladea;Cambria" w:hAnsi="Caladea;Cambria"/>
          <w:sz w:val="22"/>
          <w:szCs w:val="22"/>
        </w:rPr>
        <w:t>.</w:t>
      </w:r>
    </w:p>
    <w:p>
      <w:pPr>
        <w:pStyle w:val="Cuerpodetexto"/>
        <w:spacing w:lineRule="auto" w:line="276"/>
        <w:jc w:val="both"/>
        <w:rPr>
          <w:rFonts w:ascii="Caladea;Cambria" w:hAnsi="Caladea;Cambria" w:cs="Caladea;Cambria"/>
          <w:b/>
          <w:b/>
          <w:sz w:val="22"/>
          <w:szCs w:val="22"/>
        </w:rPr>
      </w:pPr>
      <w:r>
        <w:rPr>
          <w:rFonts w:cs="Caladea;Cambria" w:ascii="Caladea;Cambria" w:hAnsi="Caladea;Cambria"/>
          <w:b/>
          <w:sz w:val="22"/>
          <w:szCs w:val="22"/>
        </w:rPr>
      </w:r>
    </w:p>
    <w:p>
      <w:pPr>
        <w:pStyle w:val="Cuerpodetexto"/>
        <w:spacing w:lineRule="auto" w:line="276"/>
        <w:jc w:val="both"/>
        <w:rPr>
          <w:rFonts w:ascii="Caladea;Cambria" w:hAnsi="Caladea;Cambria" w:cs="Caladea;Cambria"/>
          <w:b/>
          <w:b/>
          <w:sz w:val="22"/>
          <w:szCs w:val="22"/>
        </w:rPr>
      </w:pPr>
      <w:r>
        <w:rPr>
          <w:rFonts w:cs="Caladea;Cambria" w:ascii="Caladea;Cambria" w:hAnsi="Caladea;Cambria"/>
          <w:b/>
          <w:sz w:val="22"/>
          <w:szCs w:val="22"/>
        </w:rPr>
        <w:t>SEXTA.-DOCUMENTACIÓN A PRESENTAR</w:t>
      </w:r>
    </w:p>
    <w:p>
      <w:pPr>
        <w:pStyle w:val="Cuerpodetexto"/>
        <w:widowControl/>
        <w:numPr>
          <w:ilvl w:val="0"/>
          <w:numId w:val="1"/>
        </w:numPr>
        <w:tabs>
          <w:tab w:val="clear" w:pos="720"/>
          <w:tab w:val="left" w:pos="0" w:leader="none"/>
          <w:tab w:val="left" w:pos="707" w:leader="none"/>
        </w:tabs>
        <w:spacing w:lineRule="auto" w:line="276" w:before="0" w:after="140"/>
        <w:jc w:val="both"/>
        <w:rPr>
          <w:rFonts w:ascii="Caladea;Cambria" w:hAnsi="Caladea;Cambria" w:cs="Caladea;Cambria"/>
          <w:sz w:val="22"/>
          <w:szCs w:val="22"/>
        </w:rPr>
      </w:pPr>
      <w:r>
        <w:rPr>
          <w:rFonts w:cs="Caladea;Cambria" w:ascii="Caladea;Cambria" w:hAnsi="Caladea;Cambria"/>
          <w:sz w:val="22"/>
          <w:szCs w:val="22"/>
        </w:rPr>
        <w:t>Fotocopia de D.N.I o N.I.E de la persona solicitante y de todos los miembros de la unidad familiar y de convivencia.</w:t>
      </w:r>
    </w:p>
    <w:p>
      <w:pPr>
        <w:pStyle w:val="Cuerpodetexto"/>
        <w:widowControl/>
        <w:numPr>
          <w:ilvl w:val="0"/>
          <w:numId w:val="1"/>
        </w:numPr>
        <w:tabs>
          <w:tab w:val="clear" w:pos="720"/>
          <w:tab w:val="left" w:pos="0" w:leader="none"/>
          <w:tab w:val="left" w:pos="707" w:leader="none"/>
        </w:tabs>
        <w:spacing w:lineRule="auto" w:line="276" w:before="0" w:after="140"/>
        <w:jc w:val="both"/>
        <w:rPr/>
      </w:pPr>
      <w:r>
        <w:rPr>
          <w:rFonts w:cs="Caladea;Cambria" w:ascii="Caladea;Cambria" w:hAnsi="Caladea;Cambria"/>
          <w:color w:val="000000"/>
          <w:sz w:val="22"/>
          <w:szCs w:val="22"/>
        </w:rPr>
        <w:t xml:space="preserve">Certificado colectivo de empadronamiento </w:t>
      </w:r>
      <w:r>
        <w:rPr>
          <w:rFonts w:cs="Caladea;Cambria" w:ascii="Caladea;Cambria" w:hAnsi="Caladea;Cambria"/>
          <w:color w:val="000000"/>
          <w:sz w:val="22"/>
          <w:szCs w:val="22"/>
          <w:lang w:bidi="zxx"/>
        </w:rPr>
        <w:t>(Se obtendrá de oficio por el Ayuntamiento de Albalat dels Sorells).</w:t>
      </w:r>
    </w:p>
    <w:p>
      <w:pPr>
        <w:pStyle w:val="Cuerpodetexto"/>
        <w:widowControl/>
        <w:numPr>
          <w:ilvl w:val="0"/>
          <w:numId w:val="1"/>
        </w:numPr>
        <w:tabs>
          <w:tab w:val="clear" w:pos="720"/>
          <w:tab w:val="left" w:pos="0" w:leader="none"/>
          <w:tab w:val="left" w:pos="707" w:leader="none"/>
        </w:tabs>
        <w:spacing w:lineRule="auto" w:line="276" w:before="0" w:after="140"/>
        <w:jc w:val="both"/>
        <w:rPr>
          <w:rFonts w:ascii="Caladea;Cambria" w:hAnsi="Caladea;Cambria" w:cs="Caladea;Cambria"/>
          <w:sz w:val="22"/>
          <w:szCs w:val="22"/>
        </w:rPr>
      </w:pPr>
      <w:r>
        <w:rPr>
          <w:rFonts w:cs="Caladea;Cambria" w:ascii="Caladea;Cambria" w:hAnsi="Caladea;Cambria"/>
          <w:sz w:val="22"/>
          <w:szCs w:val="22"/>
        </w:rPr>
        <w:t xml:space="preserve">Fotocopia del libro de familia y en su caso: </w:t>
      </w:r>
    </w:p>
    <w:p>
      <w:pPr>
        <w:pStyle w:val="Cuerpodetexto"/>
        <w:spacing w:lineRule="auto" w:line="276"/>
        <w:ind w:left="1740" w:right="0" w:hanging="360"/>
        <w:jc w:val="both"/>
        <w:rPr>
          <w:rFonts w:ascii="Caladea;Cambria" w:hAnsi="Caladea;Cambria" w:cs="Caladea;Cambria"/>
          <w:sz w:val="22"/>
          <w:szCs w:val="22"/>
        </w:rPr>
      </w:pPr>
      <w:r>
        <w:rPr>
          <w:rFonts w:cs="Caladea;Cambria" w:ascii="Caladea;Cambria" w:hAnsi="Caladea;Cambria"/>
          <w:sz w:val="22"/>
          <w:szCs w:val="22"/>
        </w:rPr>
        <w:t>- Fotocopia de la demanda o sentencia de separación, divorcio o medidas judiciales en relación a los hijos extramatrimoniales, y convenio regulador en su caso.</w:t>
      </w:r>
    </w:p>
    <w:p>
      <w:pPr>
        <w:pStyle w:val="Cuerpodetexto"/>
        <w:spacing w:lineRule="auto" w:line="276"/>
        <w:ind w:left="1740" w:right="0" w:hanging="360"/>
        <w:jc w:val="both"/>
        <w:rPr>
          <w:rFonts w:ascii="Caladea;Cambria" w:hAnsi="Caladea;Cambria" w:cs="Caladea;Cambria"/>
          <w:sz w:val="22"/>
          <w:szCs w:val="22"/>
        </w:rPr>
      </w:pPr>
      <w:r>
        <w:rPr>
          <w:rFonts w:cs="Caladea;Cambria" w:ascii="Caladea;Cambria" w:hAnsi="Caladea;Cambria"/>
          <w:sz w:val="22"/>
          <w:szCs w:val="22"/>
        </w:rPr>
        <w:t xml:space="preserve">- Fotocopia del título de familia numerosa </w:t>
      </w:r>
    </w:p>
    <w:p>
      <w:pPr>
        <w:pStyle w:val="Cuerpodetexto"/>
        <w:spacing w:lineRule="auto" w:line="276"/>
        <w:ind w:left="1740" w:right="0" w:hanging="360"/>
        <w:jc w:val="both"/>
        <w:rPr/>
      </w:pPr>
      <w:r>
        <w:rPr>
          <w:rFonts w:cs="Caladea;Cambria" w:ascii="Caladea;Cambria" w:hAnsi="Caladea;Cambria"/>
          <w:sz w:val="22"/>
          <w:szCs w:val="22"/>
        </w:rPr>
        <w:t xml:space="preserve">- </w:t>
      </w:r>
      <w:r>
        <w:rPr>
          <w:rFonts w:cs="Caladea;Cambria" w:ascii="Caladea;Cambria" w:hAnsi="Caladea;Cambria"/>
          <w:color w:val="000000"/>
          <w:sz w:val="22"/>
          <w:szCs w:val="22"/>
        </w:rPr>
        <w:t xml:space="preserve">Titulo de familia monoparental. </w:t>
      </w:r>
    </w:p>
    <w:p>
      <w:pPr>
        <w:pStyle w:val="Cuerpodetexto"/>
        <w:widowControl/>
        <w:numPr>
          <w:ilvl w:val="0"/>
          <w:numId w:val="2"/>
        </w:numPr>
        <w:tabs>
          <w:tab w:val="clear" w:pos="720"/>
          <w:tab w:val="left" w:pos="0" w:leader="none"/>
        </w:tabs>
        <w:spacing w:lineRule="auto" w:line="276" w:before="0" w:after="140"/>
        <w:jc w:val="both"/>
        <w:rPr>
          <w:rFonts w:ascii="Caladea;Cambria" w:hAnsi="Caladea;Cambria" w:cs="Caladea;Cambria"/>
          <w:sz w:val="22"/>
          <w:szCs w:val="22"/>
        </w:rPr>
      </w:pPr>
      <w:r>
        <w:rPr>
          <w:rFonts w:cs="Caladea;Cambria" w:ascii="Caladea;Cambria" w:hAnsi="Caladea;Cambria"/>
          <w:sz w:val="22"/>
          <w:szCs w:val="22"/>
        </w:rPr>
        <w:t xml:space="preserve">Renta 2019 de todos los miembros de la unidad familiar, acreditativa de la situación económica familiar. </w:t>
      </w:r>
    </w:p>
    <w:p>
      <w:pPr>
        <w:pStyle w:val="Cuerpodetexto"/>
        <w:widowControl/>
        <w:numPr>
          <w:ilvl w:val="0"/>
          <w:numId w:val="2"/>
        </w:numPr>
        <w:tabs>
          <w:tab w:val="clear" w:pos="720"/>
          <w:tab w:val="left" w:pos="0" w:leader="none"/>
        </w:tabs>
        <w:spacing w:lineRule="auto" w:line="276" w:before="0" w:after="140"/>
        <w:jc w:val="both"/>
        <w:rPr>
          <w:rFonts w:ascii="Caladea;Cambria" w:hAnsi="Caladea;Cambria" w:cs="Caladea;Cambria"/>
          <w:sz w:val="22"/>
          <w:szCs w:val="22"/>
        </w:rPr>
      </w:pPr>
      <w:r>
        <w:rPr>
          <w:rFonts w:cs="Caladea;Cambria" w:ascii="Caladea;Cambria" w:hAnsi="Caladea;Cambria"/>
          <w:sz w:val="22"/>
          <w:szCs w:val="22"/>
        </w:rPr>
        <w:t xml:space="preserve">Informe de Vida Laboral actualizado de los integrantes de la unidad familiar. </w:t>
      </w:r>
    </w:p>
    <w:p>
      <w:pPr>
        <w:pStyle w:val="Cuerpodetexto"/>
        <w:widowControl/>
        <w:numPr>
          <w:ilvl w:val="0"/>
          <w:numId w:val="2"/>
        </w:numPr>
        <w:tabs>
          <w:tab w:val="clear" w:pos="720"/>
          <w:tab w:val="left" w:pos="0" w:leader="none"/>
        </w:tabs>
        <w:spacing w:lineRule="auto" w:line="276" w:before="0" w:after="140"/>
        <w:jc w:val="both"/>
        <w:rPr/>
      </w:pPr>
      <w:r>
        <w:rPr>
          <w:rFonts w:cs="Caladea;Cambria" w:ascii="Caladea;Cambria" w:hAnsi="Caladea;Cambria"/>
          <w:sz w:val="22"/>
          <w:szCs w:val="22"/>
        </w:rPr>
        <w:t xml:space="preserve">Certificado de grado de </w:t>
      </w:r>
      <w:r>
        <w:rPr>
          <w:rFonts w:cs="Caladea;Cambria" w:ascii="Caladea;Cambria" w:hAnsi="Caladea;Cambria"/>
          <w:color w:val="000000"/>
          <w:sz w:val="22"/>
          <w:szCs w:val="22"/>
        </w:rPr>
        <w:t>discapacidad i</w:t>
      </w:r>
      <w:r>
        <w:rPr>
          <w:rFonts w:cs="Caladea;Cambria" w:ascii="Caladea;Cambria" w:hAnsi="Caladea;Cambria"/>
          <w:sz w:val="22"/>
          <w:szCs w:val="22"/>
        </w:rPr>
        <w:t xml:space="preserve">gual o superior al 33% expedido por el Centro de Valoración y Acreditación de </w:t>
      </w:r>
      <w:r>
        <w:rPr>
          <w:rFonts w:cs="Caladea;Cambria" w:ascii="Caladea;Cambria" w:hAnsi="Caladea;Cambria"/>
          <w:color w:val="000000"/>
          <w:sz w:val="22"/>
          <w:szCs w:val="22"/>
        </w:rPr>
        <w:t xml:space="preserve">certificado de dependencia </w:t>
      </w:r>
      <w:r>
        <w:rPr>
          <w:rFonts w:cs="Caladea;Cambria" w:ascii="Caladea;Cambria" w:hAnsi="Caladea;Cambria"/>
          <w:sz w:val="22"/>
          <w:szCs w:val="22"/>
        </w:rPr>
        <w:t xml:space="preserve">del padre, madre e hijos. En caso de enfermedad grave, certificado acreditativo que justifique la imposibilidad de traslado o cuidado de menores </w:t>
      </w:r>
      <w:r>
        <w:rPr>
          <w:rFonts w:cs="Caladea;Cambria" w:ascii="Caladea;Cambria" w:hAnsi="Caladea;Cambria"/>
          <w:color w:val="000000"/>
          <w:sz w:val="22"/>
          <w:szCs w:val="22"/>
        </w:rPr>
        <w:t>y/o resolución del grado en dependencia.</w:t>
      </w:r>
    </w:p>
    <w:p>
      <w:pPr>
        <w:pStyle w:val="Cuerpodetexto"/>
        <w:widowControl/>
        <w:numPr>
          <w:ilvl w:val="0"/>
          <w:numId w:val="2"/>
        </w:numPr>
        <w:tabs>
          <w:tab w:val="clear" w:pos="720"/>
          <w:tab w:val="left" w:pos="0" w:leader="none"/>
        </w:tabs>
        <w:spacing w:lineRule="auto" w:line="276" w:before="0" w:after="140"/>
        <w:jc w:val="both"/>
        <w:rPr>
          <w:rFonts w:ascii="Caladea;Cambria" w:hAnsi="Caladea;Cambria" w:cs="Caladea;Cambria"/>
          <w:sz w:val="22"/>
          <w:szCs w:val="22"/>
        </w:rPr>
      </w:pPr>
      <w:r>
        <w:rPr>
          <w:rFonts w:cs="Caladea;Cambria" w:ascii="Caladea;Cambria" w:hAnsi="Caladea;Cambria"/>
          <w:sz w:val="22"/>
          <w:szCs w:val="22"/>
        </w:rPr>
        <w:t xml:space="preserve">Copia del recibo del IBI del ejercicio 2020 abonado. </w:t>
      </w:r>
    </w:p>
    <w:p>
      <w:pPr>
        <w:pStyle w:val="Normal"/>
        <w:widowControl/>
        <w:numPr>
          <w:ilvl w:val="0"/>
          <w:numId w:val="2"/>
        </w:numPr>
        <w:tabs>
          <w:tab w:val="clear" w:pos="720"/>
          <w:tab w:val="left" w:pos="0" w:leader="none"/>
        </w:tabs>
        <w:spacing w:lineRule="auto" w:line="276" w:before="0" w:after="140"/>
        <w:jc w:val="both"/>
        <w:rPr>
          <w:rFonts w:ascii="Caladea;Cambria" w:hAnsi="Caladea;Cambria" w:cs="Caladea;Cambria"/>
          <w:sz w:val="22"/>
          <w:szCs w:val="22"/>
          <w:lang w:bidi="zxx"/>
        </w:rPr>
      </w:pPr>
      <w:r>
        <w:rPr>
          <w:rFonts w:cs="Caladea;Cambria" w:ascii="Caladea;Cambria" w:hAnsi="Caladea;Cambria"/>
          <w:sz w:val="22"/>
          <w:szCs w:val="22"/>
          <w:lang w:bidi="zxx"/>
        </w:rPr>
        <w:t>Mantenimiento de Terceros debidamente cumplimentado.</w:t>
      </w:r>
    </w:p>
    <w:p>
      <w:pPr>
        <w:pStyle w:val="Normal"/>
        <w:widowControl/>
        <w:numPr>
          <w:ilvl w:val="0"/>
          <w:numId w:val="2"/>
        </w:numPr>
        <w:tabs>
          <w:tab w:val="clear" w:pos="720"/>
          <w:tab w:val="left" w:pos="0" w:leader="none"/>
        </w:tabs>
        <w:spacing w:lineRule="auto" w:line="276" w:before="0" w:after="120"/>
        <w:jc w:val="both"/>
        <w:rPr>
          <w:rFonts w:ascii="Caladea;Cambria" w:hAnsi="Caladea;Cambria" w:cs="Caladea;Cambria"/>
          <w:sz w:val="22"/>
          <w:szCs w:val="22"/>
        </w:rPr>
      </w:pPr>
      <w:r>
        <w:rPr>
          <w:rFonts w:cs="Caladea;Cambria" w:ascii="Caladea;Cambria" w:hAnsi="Caladea;Cambria"/>
          <w:sz w:val="22"/>
          <w:szCs w:val="22"/>
        </w:rPr>
        <w:t>Cualquier otra documentación complementaria, en su caso, que se estime conveniente.</w:t>
      </w:r>
    </w:p>
    <w:p>
      <w:pPr>
        <w:pStyle w:val="Normal"/>
        <w:spacing w:lineRule="auto" w:line="276" w:before="0" w:after="120"/>
        <w:ind w:left="707" w:right="0" w:hanging="0"/>
        <w:jc w:val="both"/>
        <w:rPr>
          <w:rFonts w:ascii="Caladea;Cambria" w:hAnsi="Caladea;Cambria" w:cs="Caladea;Cambria"/>
          <w:sz w:val="22"/>
          <w:szCs w:val="22"/>
        </w:rPr>
      </w:pPr>
      <w:r>
        <w:rPr>
          <w:rFonts w:cs="Caladea;Cambria" w:ascii="Caladea;Cambria" w:hAnsi="Caladea;Cambria"/>
          <w:sz w:val="22"/>
          <w:szCs w:val="22"/>
        </w:rPr>
      </w:r>
    </w:p>
    <w:p>
      <w:pPr>
        <w:pStyle w:val="Normal"/>
        <w:spacing w:lineRule="auto" w:line="276" w:before="0" w:after="120"/>
        <w:ind w:left="650" w:right="0" w:hanging="0"/>
        <w:jc w:val="both"/>
        <w:rPr>
          <w:rFonts w:ascii="Caladea;Cambria" w:hAnsi="Caladea;Cambria" w:cs="Caladea;Cambria"/>
          <w:sz w:val="22"/>
          <w:szCs w:val="22"/>
        </w:rPr>
      </w:pPr>
      <w:r>
        <w:rPr>
          <w:rFonts w:cs="Caladea;Cambria" w:ascii="Caladea;Cambria" w:hAnsi="Caladea;Cambria"/>
          <w:sz w:val="22"/>
          <w:szCs w:val="22"/>
        </w:rPr>
        <w:t>La presentación de la solicitud implicará la autorización de los solicitantes para que el Ayuntamiento de Albalat dels Sorells obtenga de la Agencia Estatal de la Administración Tributaria, sede electrónica de Catastro, Gestión Tributaria, o de cualquier otro Organismo o departamento municipal, la información necesaria para la resolución de las presentes subvenciones.</w:t>
      </w:r>
    </w:p>
    <w:p>
      <w:pPr>
        <w:pStyle w:val="Cuerpodetexto"/>
        <w:spacing w:lineRule="auto" w:line="276"/>
        <w:jc w:val="both"/>
        <w:rPr>
          <w:rFonts w:ascii="Caladea;Cambria" w:hAnsi="Caladea;Cambria" w:cs="Caladea;Cambria"/>
          <w:b/>
          <w:b/>
          <w:sz w:val="22"/>
          <w:szCs w:val="22"/>
        </w:rPr>
      </w:pPr>
      <w:r>
        <w:rPr>
          <w:rFonts w:cs="Caladea;Cambria" w:ascii="Caladea;Cambria" w:hAnsi="Caladea;Cambria"/>
          <w:b/>
          <w:sz w:val="22"/>
          <w:szCs w:val="22"/>
        </w:rPr>
      </w:r>
    </w:p>
    <w:p>
      <w:pPr>
        <w:pStyle w:val="Cuerpodetexto"/>
        <w:spacing w:lineRule="auto" w:line="276"/>
        <w:jc w:val="both"/>
        <w:rPr>
          <w:rFonts w:ascii="Caladea;Cambria" w:hAnsi="Caladea;Cambria" w:cs="Caladea;Cambria"/>
          <w:b/>
          <w:b/>
          <w:sz w:val="22"/>
          <w:szCs w:val="22"/>
        </w:rPr>
      </w:pPr>
      <w:r>
        <w:rPr>
          <w:rFonts w:cs="Caladea;Cambria" w:ascii="Caladea;Cambria" w:hAnsi="Caladea;Cambria"/>
          <w:b/>
          <w:sz w:val="22"/>
          <w:szCs w:val="22"/>
        </w:rPr>
        <w:t>SEPTIMA.- PLAZO DE RESOLUCIÓN Y NOTIFICACIÓN</w:t>
      </w:r>
    </w:p>
    <w:p>
      <w:pPr>
        <w:pStyle w:val="Cuerpodetexto"/>
        <w:spacing w:lineRule="auto" w:line="276"/>
        <w:jc w:val="both"/>
        <w:rPr/>
      </w:pPr>
      <w:r>
        <w:rPr>
          <w:rFonts w:cs="Caladea;Cambria" w:ascii="Caladea;Cambria" w:hAnsi="Caladea;Cambria"/>
          <w:color w:val="000000"/>
          <w:sz w:val="22"/>
          <w:szCs w:val="22"/>
          <w:highlight w:val="white"/>
        </w:rPr>
        <w:t xml:space="preserve">El plazo máximo para resolver y notificar la resolución del procedimiento no podrá exceder de tres meses, desde la presentación de la solicitud por los interesados. </w:t>
      </w:r>
      <w:r>
        <w:rPr>
          <w:rFonts w:cs="Caladea;Cambria" w:ascii="Caladea;Cambria" w:hAnsi="Caladea;Cambria"/>
          <w:color w:val="000000"/>
          <w:sz w:val="22"/>
          <w:szCs w:val="22"/>
        </w:rPr>
        <w:t>El vencimiento del plazo máximo sin haberse notificado la resolución, legitima a los interesados para entender desestimada su solicitud por silencio administrativo.</w:t>
      </w:r>
    </w:p>
    <w:p>
      <w:pPr>
        <w:pStyle w:val="Cuerpodetexto"/>
        <w:spacing w:lineRule="auto" w:line="276"/>
        <w:jc w:val="both"/>
        <w:rPr>
          <w:rFonts w:ascii="Caladea;Cambria" w:hAnsi="Caladea;Cambria" w:cs="Caladea;Cambria"/>
          <w:sz w:val="22"/>
          <w:szCs w:val="22"/>
        </w:rPr>
      </w:pPr>
      <w:r>
        <w:rPr>
          <w:rFonts w:cs="Caladea;Cambria" w:ascii="Caladea;Cambria" w:hAnsi="Caladea;Cambria"/>
          <w:sz w:val="22"/>
          <w:szCs w:val="22"/>
        </w:rPr>
        <w:t>La resolución pone fin a la vía Administrativa pudiendo interponerse contra la misma recurso de reposición ante la Alcaldía en el plazo de un mes a contar desde la notificación de la resolución.</w:t>
      </w:r>
    </w:p>
    <w:p>
      <w:pPr>
        <w:pStyle w:val="Cuerpodetexto"/>
        <w:spacing w:lineRule="auto" w:line="276"/>
        <w:jc w:val="both"/>
        <w:rPr>
          <w:rFonts w:ascii="Caladea;Cambria" w:hAnsi="Caladea;Cambria" w:cs="Caladea;Cambria"/>
          <w:b/>
          <w:b/>
          <w:sz w:val="22"/>
          <w:szCs w:val="22"/>
        </w:rPr>
      </w:pPr>
      <w:r>
        <w:rPr>
          <w:rFonts w:cs="Caladea;Cambria" w:ascii="Caladea;Cambria" w:hAnsi="Caladea;Cambria"/>
          <w:b/>
          <w:sz w:val="22"/>
          <w:szCs w:val="22"/>
        </w:rPr>
        <w:t>OCTAVA.-DETERMINACIÓN DE LOS IMPORTES DE LAS SUBVENCIONES A CONCEDER</w:t>
      </w:r>
    </w:p>
    <w:p>
      <w:pPr>
        <w:pStyle w:val="Cuerpodetexto"/>
        <w:spacing w:lineRule="auto" w:line="276"/>
        <w:jc w:val="both"/>
        <w:rPr/>
      </w:pPr>
      <w:r>
        <w:rPr>
          <w:rFonts w:cs="Caladea;Cambria" w:ascii="Caladea;Cambria" w:hAnsi="Caladea;Cambria"/>
          <w:sz w:val="22"/>
          <w:szCs w:val="22"/>
        </w:rPr>
        <w:t>La cuantía individual de ayuda para el abono del Impuesto de Bienes Inmuebles de Naturaleza Urbana será como máximo de</w:t>
      </w:r>
      <w:r>
        <w:rPr>
          <w:rFonts w:cs="Caladea;Cambria" w:ascii="Caladea;Cambria" w:hAnsi="Caladea;Cambria"/>
          <w:color w:val="000000"/>
          <w:sz w:val="22"/>
          <w:szCs w:val="22"/>
        </w:rPr>
        <w:t>l 100% del re</w:t>
      </w:r>
      <w:r>
        <w:rPr>
          <w:rFonts w:cs="Caladea;Cambria" w:ascii="Caladea;Cambria" w:hAnsi="Caladea;Cambria"/>
          <w:sz w:val="22"/>
          <w:szCs w:val="22"/>
        </w:rPr>
        <w:t xml:space="preserve">cibo a abonar. </w:t>
      </w:r>
    </w:p>
    <w:p>
      <w:pPr>
        <w:pStyle w:val="Cuerpodetexto"/>
        <w:spacing w:lineRule="auto" w:line="276"/>
        <w:jc w:val="both"/>
        <w:rPr>
          <w:rFonts w:ascii="Caladea;Cambria" w:hAnsi="Caladea;Cambria" w:cs="Caladea;Cambria"/>
          <w:color w:val="000000"/>
          <w:sz w:val="22"/>
          <w:szCs w:val="22"/>
        </w:rPr>
      </w:pPr>
      <w:r>
        <w:rPr>
          <w:rFonts w:cs="Caladea;Cambria" w:ascii="Caladea;Cambria" w:hAnsi="Caladea;Cambria"/>
          <w:color w:val="000000"/>
          <w:sz w:val="22"/>
          <w:szCs w:val="22"/>
        </w:rPr>
        <w:t xml:space="preserve">El porcentaje máximo vendrá determinado por la puntuación obtenida en la baremación de las solicitudes siendo el porcentaje asignado el siguiente: </w:t>
      </w:r>
    </w:p>
    <w:tbl>
      <w:tblPr>
        <w:tblW w:w="8470" w:type="dxa"/>
        <w:jc w:val="left"/>
        <w:tblInd w:w="183" w:type="dxa"/>
        <w:tblBorders>
          <w:top w:val="single" w:sz="4" w:space="0" w:color="000000"/>
          <w:left w:val="single" w:sz="4" w:space="0" w:color="000000"/>
          <w:bottom w:val="single" w:sz="4" w:space="0" w:color="000000"/>
          <w:insideH w:val="single" w:sz="4" w:space="0" w:color="000000"/>
        </w:tblBorders>
        <w:tblCellMar>
          <w:top w:w="0" w:type="dxa"/>
          <w:left w:w="108" w:type="dxa"/>
          <w:bottom w:w="0" w:type="dxa"/>
          <w:right w:w="108" w:type="dxa"/>
        </w:tblCellMar>
      </w:tblPr>
      <w:tblGrid>
        <w:gridCol w:w="4405"/>
        <w:gridCol w:w="4065"/>
      </w:tblGrid>
      <w:tr>
        <w:trPr/>
        <w:tc>
          <w:tcPr>
            <w:tcW w:w="4405" w:type="dxa"/>
            <w:tcBorders>
              <w:top w:val="single" w:sz="4" w:space="0" w:color="000000"/>
              <w:left w:val="single" w:sz="4" w:space="0" w:color="000000"/>
              <w:bottom w:val="single" w:sz="4" w:space="0" w:color="000000"/>
              <w:insideH w:val="single" w:sz="4" w:space="0" w:color="000000"/>
            </w:tcBorders>
            <w:shd w:fill="auto" w:val="clear"/>
          </w:tcPr>
          <w:p>
            <w:pPr>
              <w:pStyle w:val="Cuerpodetexto"/>
              <w:spacing w:lineRule="auto" w:line="276" w:before="0" w:after="120"/>
              <w:jc w:val="both"/>
              <w:rPr>
                <w:rFonts w:ascii="Caladea;Cambria" w:hAnsi="Caladea;Cambria" w:cs="Caladea;Cambria"/>
                <w:color w:val="000000"/>
                <w:sz w:val="22"/>
                <w:szCs w:val="22"/>
              </w:rPr>
            </w:pPr>
            <w:r>
              <w:rPr>
                <w:rFonts w:cs="Caladea;Cambria" w:ascii="Caladea;Cambria" w:hAnsi="Caladea;Cambria"/>
                <w:color w:val="000000"/>
                <w:sz w:val="22"/>
                <w:szCs w:val="22"/>
              </w:rPr>
              <w:t>Puntuación</w:t>
            </w:r>
          </w:p>
        </w:tc>
        <w:tc>
          <w:tcPr>
            <w:tcW w:w="40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Cuerpodetexto"/>
              <w:spacing w:lineRule="auto" w:line="276" w:before="0" w:after="120"/>
              <w:jc w:val="both"/>
              <w:rPr>
                <w:rFonts w:ascii="Caladea;Cambria" w:hAnsi="Caladea;Cambria" w:cs="Caladea;Cambria"/>
                <w:color w:val="000000"/>
                <w:sz w:val="22"/>
                <w:szCs w:val="22"/>
              </w:rPr>
            </w:pPr>
            <w:r>
              <w:rPr>
                <w:rFonts w:cs="Caladea;Cambria" w:ascii="Caladea;Cambria" w:hAnsi="Caladea;Cambria"/>
                <w:color w:val="000000"/>
                <w:sz w:val="22"/>
                <w:szCs w:val="22"/>
              </w:rPr>
              <w:t xml:space="preserve">Porcentaje subvencionado </w:t>
            </w:r>
          </w:p>
        </w:tc>
      </w:tr>
      <w:tr>
        <w:trPr/>
        <w:tc>
          <w:tcPr>
            <w:tcW w:w="4405" w:type="dxa"/>
            <w:tcBorders>
              <w:top w:val="single" w:sz="4" w:space="0" w:color="000000"/>
              <w:left w:val="single" w:sz="4" w:space="0" w:color="000000"/>
              <w:bottom w:val="single" w:sz="4" w:space="0" w:color="000000"/>
              <w:insideH w:val="single" w:sz="4" w:space="0" w:color="000000"/>
            </w:tcBorders>
            <w:shd w:fill="auto" w:val="clear"/>
          </w:tcPr>
          <w:p>
            <w:pPr>
              <w:pStyle w:val="Cuerpodetexto"/>
              <w:spacing w:lineRule="auto" w:line="276" w:before="0" w:after="120"/>
              <w:jc w:val="both"/>
              <w:rPr>
                <w:rFonts w:ascii="Caladea;Cambria" w:hAnsi="Caladea;Cambria" w:cs="Caladea;Cambria"/>
                <w:color w:val="000000"/>
                <w:sz w:val="22"/>
                <w:szCs w:val="22"/>
              </w:rPr>
            </w:pPr>
            <w:r>
              <w:rPr>
                <w:rFonts w:cs="Caladea;Cambria" w:ascii="Caladea;Cambria" w:hAnsi="Caladea;Cambria"/>
                <w:color w:val="000000"/>
                <w:sz w:val="22"/>
                <w:szCs w:val="22"/>
              </w:rPr>
              <w:t>20 puntos o más</w:t>
            </w:r>
          </w:p>
        </w:tc>
        <w:tc>
          <w:tcPr>
            <w:tcW w:w="40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Cuerpodetexto"/>
              <w:spacing w:lineRule="auto" w:line="276" w:before="0" w:after="120"/>
              <w:jc w:val="both"/>
              <w:rPr>
                <w:rFonts w:ascii="Caladea;Cambria" w:hAnsi="Caladea;Cambria" w:cs="Caladea;Cambria"/>
                <w:color w:val="000000"/>
                <w:sz w:val="22"/>
                <w:szCs w:val="22"/>
              </w:rPr>
            </w:pPr>
            <w:r>
              <w:rPr>
                <w:rFonts w:cs="Caladea;Cambria" w:ascii="Caladea;Cambria" w:hAnsi="Caladea;Cambria"/>
                <w:color w:val="000000"/>
                <w:sz w:val="22"/>
                <w:szCs w:val="22"/>
              </w:rPr>
              <w:t>100% del IBI</w:t>
            </w:r>
          </w:p>
        </w:tc>
      </w:tr>
      <w:tr>
        <w:trPr/>
        <w:tc>
          <w:tcPr>
            <w:tcW w:w="4405" w:type="dxa"/>
            <w:tcBorders>
              <w:top w:val="single" w:sz="4" w:space="0" w:color="000000"/>
              <w:left w:val="single" w:sz="4" w:space="0" w:color="000000"/>
              <w:bottom w:val="single" w:sz="4" w:space="0" w:color="000000"/>
              <w:insideH w:val="single" w:sz="4" w:space="0" w:color="000000"/>
            </w:tcBorders>
            <w:shd w:fill="auto" w:val="clear"/>
          </w:tcPr>
          <w:p>
            <w:pPr>
              <w:pStyle w:val="Cuerpodetexto"/>
              <w:spacing w:lineRule="auto" w:line="276" w:before="0" w:after="120"/>
              <w:jc w:val="both"/>
              <w:rPr>
                <w:rFonts w:ascii="Caladea;Cambria" w:hAnsi="Caladea;Cambria" w:cs="Caladea;Cambria"/>
                <w:color w:val="000000"/>
                <w:sz w:val="22"/>
                <w:szCs w:val="22"/>
              </w:rPr>
            </w:pPr>
            <w:r>
              <w:rPr>
                <w:rFonts w:cs="Caladea;Cambria" w:ascii="Caladea;Cambria" w:hAnsi="Caladea;Cambria"/>
                <w:color w:val="000000"/>
                <w:sz w:val="22"/>
                <w:szCs w:val="22"/>
              </w:rPr>
              <w:t>Entre 15 y 19 puntos</w:t>
            </w:r>
          </w:p>
        </w:tc>
        <w:tc>
          <w:tcPr>
            <w:tcW w:w="40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Cuerpodetexto"/>
              <w:spacing w:lineRule="auto" w:line="276" w:before="0" w:after="120"/>
              <w:jc w:val="both"/>
              <w:rPr>
                <w:rFonts w:ascii="Caladea;Cambria" w:hAnsi="Caladea;Cambria" w:cs="Caladea;Cambria"/>
                <w:color w:val="000000"/>
                <w:sz w:val="22"/>
                <w:szCs w:val="22"/>
              </w:rPr>
            </w:pPr>
            <w:r>
              <w:rPr>
                <w:rFonts w:cs="Caladea;Cambria" w:ascii="Caladea;Cambria" w:hAnsi="Caladea;Cambria"/>
                <w:color w:val="000000"/>
                <w:sz w:val="22"/>
                <w:szCs w:val="22"/>
              </w:rPr>
              <w:t>90% del IBI</w:t>
            </w:r>
          </w:p>
        </w:tc>
      </w:tr>
      <w:tr>
        <w:trPr/>
        <w:tc>
          <w:tcPr>
            <w:tcW w:w="4405" w:type="dxa"/>
            <w:tcBorders>
              <w:top w:val="single" w:sz="4" w:space="0" w:color="000000"/>
              <w:left w:val="single" w:sz="4" w:space="0" w:color="000000"/>
              <w:bottom w:val="single" w:sz="4" w:space="0" w:color="000000"/>
              <w:insideH w:val="single" w:sz="4" w:space="0" w:color="000000"/>
            </w:tcBorders>
            <w:shd w:fill="auto" w:val="clear"/>
          </w:tcPr>
          <w:p>
            <w:pPr>
              <w:pStyle w:val="Cuerpodetexto"/>
              <w:spacing w:lineRule="auto" w:line="276" w:before="0" w:after="120"/>
              <w:jc w:val="both"/>
              <w:rPr>
                <w:rFonts w:ascii="Caladea;Cambria" w:hAnsi="Caladea;Cambria" w:cs="Caladea;Cambria"/>
                <w:color w:val="000000"/>
                <w:sz w:val="22"/>
                <w:szCs w:val="22"/>
              </w:rPr>
            </w:pPr>
            <w:r>
              <w:rPr>
                <w:rFonts w:cs="Caladea;Cambria" w:ascii="Caladea;Cambria" w:hAnsi="Caladea;Cambria"/>
                <w:color w:val="000000"/>
                <w:sz w:val="22"/>
                <w:szCs w:val="22"/>
              </w:rPr>
              <w:t xml:space="preserve">Entre 10 y 14 puntos </w:t>
            </w:r>
          </w:p>
        </w:tc>
        <w:tc>
          <w:tcPr>
            <w:tcW w:w="40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Cuerpodetexto"/>
              <w:spacing w:lineRule="auto" w:line="276" w:before="0" w:after="120"/>
              <w:jc w:val="both"/>
              <w:rPr>
                <w:rFonts w:ascii="Caladea;Cambria" w:hAnsi="Caladea;Cambria" w:cs="Caladea;Cambria"/>
                <w:color w:val="000000"/>
                <w:sz w:val="22"/>
                <w:szCs w:val="22"/>
              </w:rPr>
            </w:pPr>
            <w:r>
              <w:rPr>
                <w:rFonts w:cs="Caladea;Cambria" w:ascii="Caladea;Cambria" w:hAnsi="Caladea;Cambria"/>
                <w:color w:val="000000"/>
                <w:sz w:val="22"/>
                <w:szCs w:val="22"/>
              </w:rPr>
              <w:t>70% del IBI</w:t>
            </w:r>
          </w:p>
        </w:tc>
      </w:tr>
      <w:tr>
        <w:trPr/>
        <w:tc>
          <w:tcPr>
            <w:tcW w:w="4405" w:type="dxa"/>
            <w:tcBorders>
              <w:top w:val="single" w:sz="4" w:space="0" w:color="000000"/>
              <w:left w:val="single" w:sz="4" w:space="0" w:color="000000"/>
              <w:bottom w:val="single" w:sz="4" w:space="0" w:color="000000"/>
              <w:insideH w:val="single" w:sz="4" w:space="0" w:color="000000"/>
            </w:tcBorders>
            <w:shd w:fill="auto" w:val="clear"/>
          </w:tcPr>
          <w:p>
            <w:pPr>
              <w:pStyle w:val="Cuerpodetexto"/>
              <w:spacing w:lineRule="auto" w:line="276" w:before="0" w:after="120"/>
              <w:jc w:val="both"/>
              <w:rPr>
                <w:rFonts w:ascii="Caladea;Cambria" w:hAnsi="Caladea;Cambria" w:cs="Caladea;Cambria"/>
                <w:color w:val="000000"/>
                <w:sz w:val="22"/>
                <w:szCs w:val="22"/>
              </w:rPr>
            </w:pPr>
            <w:r>
              <w:rPr>
                <w:rFonts w:cs="Caladea;Cambria" w:ascii="Caladea;Cambria" w:hAnsi="Caladea;Cambria"/>
                <w:color w:val="000000"/>
                <w:sz w:val="22"/>
                <w:szCs w:val="22"/>
              </w:rPr>
              <w:t>Entre 5 y 9 puntos</w:t>
            </w:r>
          </w:p>
        </w:tc>
        <w:tc>
          <w:tcPr>
            <w:tcW w:w="40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Cuerpodetexto"/>
              <w:spacing w:lineRule="auto" w:line="276" w:before="0" w:after="120"/>
              <w:jc w:val="both"/>
              <w:rPr>
                <w:rFonts w:ascii="Caladea;Cambria" w:hAnsi="Caladea;Cambria" w:cs="Caladea;Cambria"/>
                <w:color w:val="000000"/>
                <w:sz w:val="22"/>
                <w:szCs w:val="22"/>
              </w:rPr>
            </w:pPr>
            <w:r>
              <w:rPr>
                <w:rFonts w:cs="Caladea;Cambria" w:ascii="Caladea;Cambria" w:hAnsi="Caladea;Cambria"/>
                <w:color w:val="000000"/>
                <w:sz w:val="22"/>
                <w:szCs w:val="22"/>
              </w:rPr>
              <w:t>50% del IBI</w:t>
            </w:r>
          </w:p>
        </w:tc>
      </w:tr>
      <w:tr>
        <w:trPr/>
        <w:tc>
          <w:tcPr>
            <w:tcW w:w="4405" w:type="dxa"/>
            <w:tcBorders>
              <w:top w:val="single" w:sz="4" w:space="0" w:color="000000"/>
              <w:left w:val="single" w:sz="4" w:space="0" w:color="000000"/>
              <w:bottom w:val="single" w:sz="4" w:space="0" w:color="000000"/>
              <w:insideH w:val="single" w:sz="4" w:space="0" w:color="000000"/>
            </w:tcBorders>
            <w:shd w:fill="auto" w:val="clear"/>
          </w:tcPr>
          <w:p>
            <w:pPr>
              <w:pStyle w:val="Cuerpodetexto"/>
              <w:spacing w:lineRule="auto" w:line="276" w:before="0" w:after="120"/>
              <w:jc w:val="both"/>
              <w:rPr>
                <w:rFonts w:ascii="Caladea;Cambria" w:hAnsi="Caladea;Cambria" w:cs="Caladea;Cambria"/>
                <w:color w:val="000000"/>
                <w:sz w:val="22"/>
                <w:szCs w:val="22"/>
              </w:rPr>
            </w:pPr>
            <w:r>
              <w:rPr>
                <w:rFonts w:cs="Caladea;Cambria" w:ascii="Caladea;Cambria" w:hAnsi="Caladea;Cambria"/>
                <w:color w:val="000000"/>
                <w:sz w:val="22"/>
                <w:szCs w:val="22"/>
              </w:rPr>
              <w:t>Entre 2 y 4 puntos</w:t>
            </w:r>
          </w:p>
        </w:tc>
        <w:tc>
          <w:tcPr>
            <w:tcW w:w="406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Cuerpodetexto"/>
              <w:spacing w:lineRule="auto" w:line="276" w:before="0" w:after="120"/>
              <w:jc w:val="both"/>
              <w:rPr>
                <w:rFonts w:ascii="Caladea;Cambria" w:hAnsi="Caladea;Cambria" w:cs="Caladea;Cambria"/>
                <w:color w:val="000000"/>
                <w:sz w:val="22"/>
                <w:szCs w:val="22"/>
              </w:rPr>
            </w:pPr>
            <w:r>
              <w:rPr>
                <w:rFonts w:cs="Caladea;Cambria" w:ascii="Caladea;Cambria" w:hAnsi="Caladea;Cambria"/>
                <w:color w:val="000000"/>
                <w:sz w:val="22"/>
                <w:szCs w:val="22"/>
              </w:rPr>
              <w:t>20% del IBI</w:t>
            </w:r>
          </w:p>
        </w:tc>
      </w:tr>
    </w:tbl>
    <w:p>
      <w:pPr>
        <w:pStyle w:val="Cuerpodetexto"/>
        <w:spacing w:lineRule="auto" w:line="276"/>
        <w:jc w:val="both"/>
        <w:rPr>
          <w:rFonts w:ascii="Caladea;Cambria" w:hAnsi="Caladea;Cambria" w:cs="Caladea;Cambria"/>
          <w:sz w:val="22"/>
          <w:szCs w:val="22"/>
        </w:rPr>
      </w:pPr>
      <w:r>
        <w:rPr>
          <w:rFonts w:cs="Caladea;Cambria" w:ascii="Caladea;Cambria" w:hAnsi="Caladea;Cambria"/>
          <w:sz w:val="22"/>
          <w:szCs w:val="22"/>
        </w:rPr>
      </w:r>
    </w:p>
    <w:p>
      <w:pPr>
        <w:pStyle w:val="Cuerpodetexto"/>
        <w:spacing w:lineRule="auto" w:line="276"/>
        <w:jc w:val="both"/>
        <w:rPr>
          <w:rFonts w:ascii="Caladea;Cambria" w:hAnsi="Caladea;Cambria" w:cs="Caladea;Cambria"/>
          <w:sz w:val="22"/>
          <w:szCs w:val="22"/>
        </w:rPr>
      </w:pPr>
      <w:r>
        <w:rPr>
          <w:rFonts w:cs="Caladea;Cambria" w:ascii="Caladea;Cambria" w:hAnsi="Caladea;Cambria"/>
          <w:sz w:val="22"/>
          <w:szCs w:val="22"/>
        </w:rPr>
      </w:r>
    </w:p>
    <w:p>
      <w:pPr>
        <w:pStyle w:val="Cuerpodetexto"/>
        <w:spacing w:lineRule="auto" w:line="276"/>
        <w:jc w:val="both"/>
        <w:rPr/>
      </w:pPr>
      <w:r>
        <w:rPr>
          <w:rFonts w:cs="Caladea;Cambria" w:ascii="Caladea;Cambria" w:hAnsi="Caladea;Cambria"/>
          <w:sz w:val="22"/>
          <w:szCs w:val="22"/>
        </w:rPr>
        <w:t>Las ayudas objeto de las presentes bases tendrán como límite el crédito</w:t>
      </w:r>
      <w:r>
        <w:rPr>
          <w:rFonts w:cs="Caladea;Cambria" w:ascii="Caladea;Cambria" w:hAnsi="Caladea;Cambria"/>
          <w:color w:val="000000"/>
          <w:sz w:val="22"/>
          <w:szCs w:val="22"/>
        </w:rPr>
        <w:t xml:space="preserve"> consignado en la aplicación  presupuestaria 231.489.01 del presupuesto municipal para el ejercicio 2020 pudiendo ampliarse previa tramitación de la correspondiente modificación presupuestaria si así se considerara oportuno. En caso de que coincidan las puntuaciones y no haya suficiente consignación económica para todos los solicitantes, para determinar la posición en la lista de los beneficiarios, se priorizará la puntuación IPREM y en caso que la coincidencia en puntuación continue, se atenderà al solicitante con mayor ibi y por último, se atenderá al orden de presentación de solicitudes.</w:t>
      </w:r>
    </w:p>
    <w:p>
      <w:pPr>
        <w:pStyle w:val="Cuerpodetexto"/>
        <w:spacing w:lineRule="auto" w:line="276"/>
        <w:jc w:val="both"/>
        <w:rPr>
          <w:rFonts w:ascii="Caladea;Cambria" w:hAnsi="Caladea;Cambria" w:cs="Caladea;Cambria"/>
          <w:sz w:val="22"/>
          <w:szCs w:val="22"/>
        </w:rPr>
      </w:pPr>
      <w:r>
        <w:rPr>
          <w:rFonts w:cs="Caladea;Cambria" w:ascii="Caladea;Cambria" w:hAnsi="Caladea;Cambria"/>
          <w:sz w:val="22"/>
          <w:szCs w:val="22"/>
        </w:rPr>
        <w:t>Las presentes ayudas están sujetas a tributación por el Impuesto de la Renta de las Personas Físicas, en los términos de la normativa vigente.</w:t>
      </w:r>
    </w:p>
    <w:p>
      <w:pPr>
        <w:pStyle w:val="Cuerpodetexto"/>
        <w:spacing w:lineRule="auto" w:line="276"/>
        <w:jc w:val="both"/>
        <w:rPr>
          <w:rFonts w:ascii="Caladea;Cambria" w:hAnsi="Caladea;Cambria" w:cs="Caladea;Cambria"/>
          <w:b/>
          <w:b/>
          <w:sz w:val="22"/>
          <w:szCs w:val="22"/>
        </w:rPr>
      </w:pPr>
      <w:r>
        <w:rPr>
          <w:rFonts w:cs="Caladea;Cambria" w:ascii="Caladea;Cambria" w:hAnsi="Caladea;Cambria"/>
          <w:b/>
          <w:sz w:val="22"/>
          <w:szCs w:val="22"/>
        </w:rPr>
        <w:t>NOVENA.- COMPATIBILIDAD CON OTRAS SUBVENCIONES</w:t>
      </w:r>
    </w:p>
    <w:p>
      <w:pPr>
        <w:pStyle w:val="Cuerpodetexto"/>
        <w:spacing w:lineRule="auto" w:line="276"/>
        <w:jc w:val="both"/>
        <w:rPr>
          <w:rFonts w:ascii="Caladea;Cambria" w:hAnsi="Caladea;Cambria" w:cs="Caladea;Cambria"/>
          <w:sz w:val="22"/>
          <w:szCs w:val="22"/>
        </w:rPr>
      </w:pPr>
      <w:r>
        <w:rPr>
          <w:rFonts w:cs="Caladea;Cambria" w:ascii="Caladea;Cambria" w:hAnsi="Caladea;Cambria"/>
          <w:sz w:val="22"/>
          <w:szCs w:val="22"/>
        </w:rPr>
        <w:t>Estas subvenciones son compatibles con otras aportaciones dinerarias para la misma finalidad procedentes de otras Administraciones Públicas o entes públicos o privados, siempre que su importe, aisladamente o en concurrencia con éstas, no supere el 100% del coste de la actividad subvencionada.</w:t>
      </w:r>
    </w:p>
    <w:p>
      <w:pPr>
        <w:pStyle w:val="Cuerpodetexto"/>
        <w:spacing w:lineRule="auto" w:line="276"/>
        <w:jc w:val="both"/>
        <w:rPr>
          <w:rFonts w:ascii="Caladea;Cambria" w:hAnsi="Caladea;Cambria" w:cs="Caladea;Cambria"/>
          <w:b/>
          <w:b/>
          <w:sz w:val="22"/>
          <w:szCs w:val="22"/>
        </w:rPr>
      </w:pPr>
      <w:r>
        <w:rPr>
          <w:rFonts w:cs="Caladea;Cambria" w:ascii="Caladea;Cambria" w:hAnsi="Caladea;Cambria"/>
          <w:b/>
          <w:sz w:val="22"/>
          <w:szCs w:val="22"/>
        </w:rPr>
        <w:t>DÉCIMA.- PÉRDIDA DE LA CONDICIÓN DE BENEFICIARIO</w:t>
      </w:r>
    </w:p>
    <w:p>
      <w:pPr>
        <w:pStyle w:val="Cuerpodetexto"/>
        <w:spacing w:lineRule="auto" w:line="276"/>
        <w:jc w:val="both"/>
        <w:rPr>
          <w:rFonts w:ascii="Caladea;Cambria" w:hAnsi="Caladea;Cambria" w:cs="Caladea;Cambria"/>
          <w:sz w:val="22"/>
          <w:szCs w:val="22"/>
        </w:rPr>
      </w:pPr>
      <w:r>
        <w:rPr>
          <w:rFonts w:cs="Caladea;Cambria" w:ascii="Caladea;Cambria" w:hAnsi="Caladea;Cambria"/>
          <w:sz w:val="22"/>
          <w:szCs w:val="22"/>
        </w:rPr>
        <w:t>Serán motivos para perder la condición de beneficiario:</w:t>
      </w:r>
    </w:p>
    <w:p>
      <w:pPr>
        <w:pStyle w:val="Cuerpodetexto"/>
        <w:widowControl/>
        <w:numPr>
          <w:ilvl w:val="0"/>
          <w:numId w:val="3"/>
        </w:numPr>
        <w:tabs>
          <w:tab w:val="clear" w:pos="720"/>
          <w:tab w:val="left" w:pos="0" w:leader="none"/>
        </w:tabs>
        <w:spacing w:lineRule="auto" w:line="276" w:before="0" w:after="140"/>
        <w:jc w:val="both"/>
        <w:rPr>
          <w:rFonts w:ascii="Caladea;Cambria" w:hAnsi="Caladea;Cambria" w:cs="Caladea;Cambria"/>
          <w:sz w:val="22"/>
          <w:szCs w:val="22"/>
        </w:rPr>
      </w:pPr>
      <w:r>
        <w:rPr>
          <w:rFonts w:cs="Caladea;Cambria" w:ascii="Caladea;Cambria" w:hAnsi="Caladea;Cambria"/>
          <w:sz w:val="22"/>
          <w:szCs w:val="22"/>
        </w:rPr>
        <w:t xml:space="preserve">La falsedad u omisión de los datos facilitados. </w:t>
      </w:r>
    </w:p>
    <w:p>
      <w:pPr>
        <w:pStyle w:val="Cuerpodetexto"/>
        <w:widowControl/>
        <w:numPr>
          <w:ilvl w:val="0"/>
          <w:numId w:val="3"/>
        </w:numPr>
        <w:tabs>
          <w:tab w:val="clear" w:pos="720"/>
          <w:tab w:val="left" w:pos="0" w:leader="none"/>
        </w:tabs>
        <w:spacing w:lineRule="auto" w:line="276" w:before="0" w:after="140"/>
        <w:jc w:val="both"/>
        <w:rPr>
          <w:rFonts w:ascii="Caladea;Cambria" w:hAnsi="Caladea;Cambria" w:cs="Caladea;Cambria"/>
          <w:sz w:val="22"/>
          <w:szCs w:val="22"/>
        </w:rPr>
      </w:pPr>
      <w:r>
        <w:rPr>
          <w:rFonts w:cs="Caladea;Cambria" w:ascii="Caladea;Cambria" w:hAnsi="Caladea;Cambria"/>
          <w:sz w:val="22"/>
          <w:szCs w:val="22"/>
        </w:rPr>
        <w:t xml:space="preserve">Cuando la Administración Municipal, en el ejercicio de su facultad inspectora comprobara la existencia de error, falsedad, omisión u ocultación en la documentación aportada por el interesado, así como la pérdida de cualquiera de los requisitos exigibles para todo el periodo de concesión de la ayuda. </w:t>
      </w:r>
    </w:p>
    <w:p>
      <w:pPr>
        <w:pStyle w:val="Normal"/>
        <w:widowControl/>
        <w:numPr>
          <w:ilvl w:val="0"/>
          <w:numId w:val="3"/>
        </w:numPr>
        <w:tabs>
          <w:tab w:val="clear" w:pos="720"/>
          <w:tab w:val="left" w:pos="0" w:leader="none"/>
        </w:tabs>
        <w:spacing w:lineRule="auto" w:line="276" w:before="0" w:after="140"/>
        <w:jc w:val="both"/>
        <w:rPr>
          <w:rFonts w:ascii="Caladea;Cambria" w:hAnsi="Caladea;Cambria" w:cs="Caladea;Cambria"/>
          <w:sz w:val="22"/>
          <w:szCs w:val="22"/>
        </w:rPr>
      </w:pPr>
      <w:r>
        <w:rPr>
          <w:rFonts w:cs="Caladea;Cambria" w:ascii="Caladea;Cambria" w:hAnsi="Caladea;Cambria"/>
          <w:sz w:val="22"/>
          <w:szCs w:val="22"/>
        </w:rPr>
        <w:t>Cuando la vivienda sea o haya sido objeto de dación en pago u otro tipo de ejecución hipotecaria.</w:t>
      </w:r>
    </w:p>
    <w:p>
      <w:pPr>
        <w:pStyle w:val="Cuerpodetexto"/>
        <w:spacing w:lineRule="auto" w:line="276"/>
        <w:jc w:val="both"/>
        <w:rPr>
          <w:rFonts w:ascii="Caladea;Cambria" w:hAnsi="Caladea;Cambria" w:cs="Caladea;Cambria"/>
          <w:b/>
          <w:b/>
          <w:sz w:val="22"/>
          <w:szCs w:val="22"/>
        </w:rPr>
      </w:pPr>
      <w:r>
        <w:rPr>
          <w:rFonts w:cs="Caladea;Cambria" w:ascii="Caladea;Cambria" w:hAnsi="Caladea;Cambria"/>
          <w:b/>
          <w:sz w:val="22"/>
          <w:szCs w:val="22"/>
        </w:rPr>
        <w:t>UNDÉCIMA- DETERMINACIÓN DE LA RENTA FAMILIAR</w:t>
      </w:r>
    </w:p>
    <w:p>
      <w:pPr>
        <w:pStyle w:val="Cuerpodetexto"/>
        <w:spacing w:lineRule="auto" w:line="276"/>
        <w:ind w:left="0" w:right="0" w:hanging="360"/>
        <w:jc w:val="both"/>
        <w:rPr>
          <w:rFonts w:ascii="Caladea;Cambria" w:hAnsi="Caladea;Cambria" w:cs="Caladea;Cambria"/>
          <w:sz w:val="22"/>
          <w:szCs w:val="22"/>
        </w:rPr>
      </w:pPr>
      <w:r>
        <w:rPr>
          <w:rFonts w:cs="Caladea;Cambria" w:ascii="Caladea;Cambria" w:hAnsi="Caladea;Cambria"/>
          <w:sz w:val="22"/>
          <w:szCs w:val="22"/>
        </w:rPr>
        <w:t xml:space="preserve">1-  Se considerarán ingresos familiares, la totalidad de los ingresos brutos percibidos en un período de doce meses anteriores a la fecha de la solicitud, de todos y cada uno de los miembros de la unidad familiar. A tales efectos, se contabilizarán todos los ingresos o rendimientos provenientes de sueldos, rentas, de propiedades, de depósitos, títulos, intereses bancarios y pensiones o ayudas otorgadas por instituciones públicas o privadas a cualquiera de los miembros de la unidad familiar, en los términos establecidos por la normativa reguladora del Impuesto sobre la Renta de las Personas Físicas. </w:t>
      </w:r>
    </w:p>
    <w:p>
      <w:pPr>
        <w:pStyle w:val="Cuerpodetexto"/>
        <w:spacing w:lineRule="auto" w:line="276"/>
        <w:ind w:left="0" w:right="0" w:hanging="360"/>
        <w:jc w:val="both"/>
        <w:rPr>
          <w:rFonts w:ascii="Caladea;Cambria" w:hAnsi="Caladea;Cambria" w:cs="Caladea;Cambria"/>
          <w:sz w:val="22"/>
          <w:szCs w:val="22"/>
        </w:rPr>
      </w:pPr>
      <w:r>
        <w:rPr>
          <w:rFonts w:cs="Caladea;Cambria" w:ascii="Caladea;Cambria" w:hAnsi="Caladea;Cambria"/>
          <w:sz w:val="22"/>
          <w:szCs w:val="22"/>
        </w:rPr>
        <w:t xml:space="preserve">2-   A los efectos de la presente convocatoria, se considerarán como miembros computables de la unidad familiar el solicitante, su cónyuge o persona vinculada por análoga relación de afectividad (unión de hecho) siempre que no medie separación, y los hijos o menores a cargo de éstos siempre que convivan en un mismo domicilio, extremo que se acreditará mediante certificado del Padrón municipal. </w:t>
      </w:r>
    </w:p>
    <w:p>
      <w:pPr>
        <w:pStyle w:val="Cuerpodetexto"/>
        <w:spacing w:lineRule="auto" w:line="276"/>
        <w:ind w:left="0" w:right="0" w:hanging="360"/>
        <w:jc w:val="both"/>
        <w:rPr>
          <w:rFonts w:ascii="Caladea;Cambria" w:hAnsi="Caladea;Cambria" w:cs="Caladea;Cambria"/>
          <w:sz w:val="22"/>
          <w:szCs w:val="22"/>
        </w:rPr>
      </w:pPr>
      <w:r>
        <w:rPr>
          <w:rFonts w:cs="Caladea;Cambria" w:ascii="Caladea;Cambria" w:hAnsi="Caladea;Cambria"/>
          <w:sz w:val="22"/>
          <w:szCs w:val="22"/>
        </w:rPr>
        <w:t>3-  Se entenderá que los hijos forman parte de la unidad familiar aún cuando quiebre el principio de convivencia por razones de estudios. En el caso de divorcio, separación legal o de hecho de los progenitores no se considerará miembro computable aquél de aquellos que no conviva con el solicitante de la ayuda, sin perjuicio de que en la renta familiar se incluya su contribución económica.</w:t>
      </w:r>
    </w:p>
    <w:p>
      <w:pPr>
        <w:pStyle w:val="Cuerpodetexto"/>
        <w:spacing w:lineRule="auto" w:line="276"/>
        <w:jc w:val="both"/>
        <w:rPr>
          <w:rFonts w:ascii="Caladea;Cambria" w:hAnsi="Caladea;Cambria" w:cs="Caladea;Cambria"/>
          <w:sz w:val="22"/>
          <w:szCs w:val="22"/>
        </w:rPr>
      </w:pPr>
      <w:r>
        <w:rPr>
          <w:rFonts w:cs="Caladea;Cambria" w:ascii="Caladea;Cambria" w:hAnsi="Caladea;Cambria"/>
          <w:sz w:val="22"/>
          <w:szCs w:val="22"/>
        </w:rPr>
      </w:r>
    </w:p>
    <w:p>
      <w:pPr>
        <w:pStyle w:val="Cuerpodetexto"/>
        <w:spacing w:lineRule="auto" w:line="276"/>
        <w:jc w:val="both"/>
        <w:rPr>
          <w:rFonts w:ascii="Caladea;Cambria" w:hAnsi="Caladea;Cambria" w:cs="Caladea;Cambria"/>
          <w:b/>
          <w:b/>
          <w:sz w:val="22"/>
          <w:szCs w:val="22"/>
        </w:rPr>
      </w:pPr>
      <w:r>
        <w:rPr>
          <w:rFonts w:cs="Caladea;Cambria" w:ascii="Caladea;Cambria" w:hAnsi="Caladea;Cambria"/>
          <w:b/>
          <w:sz w:val="22"/>
          <w:szCs w:val="22"/>
        </w:rPr>
        <w:t>DUODÉCIMA.- CRITERIOS DE CONCESIÓN Y BAREMO</w:t>
      </w:r>
    </w:p>
    <w:p>
      <w:pPr>
        <w:pStyle w:val="Cuerpodetexto"/>
        <w:spacing w:lineRule="auto" w:line="276"/>
        <w:jc w:val="both"/>
        <w:rPr>
          <w:rFonts w:ascii="Caladea;Cambria" w:hAnsi="Caladea;Cambria" w:cs="Caladea;Cambria"/>
          <w:sz w:val="22"/>
          <w:szCs w:val="22"/>
        </w:rPr>
      </w:pPr>
      <w:r>
        <w:rPr>
          <w:rFonts w:cs="Caladea;Cambria" w:ascii="Caladea;Cambria" w:hAnsi="Caladea;Cambria"/>
          <w:sz w:val="22"/>
          <w:szCs w:val="22"/>
        </w:rPr>
        <w:t>Las solicitudes que cumplan los requisitos establecidos en estas bases, se valorarán y seleccionarán teniendo en cuenta los siguientes criterios objetivos de valoración:</w:t>
      </w:r>
    </w:p>
    <w:p>
      <w:pPr>
        <w:pStyle w:val="Cuerpodetexto"/>
        <w:spacing w:lineRule="auto" w:line="276" w:before="0" w:after="0"/>
        <w:jc w:val="both"/>
        <w:rPr/>
      </w:pPr>
      <w:r>
        <w:rPr>
          <w:rFonts w:cs="Caladea;Cambria" w:ascii="Caladea;Cambria" w:hAnsi="Caladea;Cambria"/>
          <w:b/>
          <w:sz w:val="22"/>
          <w:szCs w:val="22"/>
          <w:u w:val="single"/>
        </w:rPr>
        <w:t>COMPOSICIÓN FAMILIAR</w:t>
      </w:r>
      <w:r>
        <w:rPr>
          <w:rFonts w:cs="Caladea;Cambria" w:ascii="Caladea;Cambria" w:hAnsi="Caladea;Cambria"/>
          <w:sz w:val="22"/>
          <w:szCs w:val="22"/>
        </w:rPr>
        <w:t xml:space="preserve">  </w:t>
      </w:r>
    </w:p>
    <w:p>
      <w:pPr>
        <w:pStyle w:val="Cuerpodetexto"/>
        <w:spacing w:lineRule="auto" w:line="276" w:before="0" w:after="0"/>
        <w:jc w:val="both"/>
        <w:rPr>
          <w:rFonts w:ascii="Caladea;Cambria" w:hAnsi="Caladea;Cambria" w:cs="Caladea;Cambria"/>
          <w:sz w:val="22"/>
          <w:szCs w:val="22"/>
        </w:rPr>
      </w:pPr>
      <w:r>
        <w:rPr>
          <w:rFonts w:cs="Caladea;Cambria" w:ascii="Caladea;Cambria" w:hAnsi="Caladea;Cambria"/>
          <w:sz w:val="22"/>
          <w:szCs w:val="22"/>
        </w:rPr>
      </w:r>
    </w:p>
    <w:tbl>
      <w:tblPr>
        <w:tblW w:w="8549" w:type="dxa"/>
        <w:jc w:val="left"/>
        <w:tblInd w:w="0" w:type="dxa"/>
        <w:tblBorders>
          <w:top w:val="single" w:sz="8" w:space="0" w:color="000001"/>
          <w:left w:val="single" w:sz="8" w:space="0" w:color="000001"/>
          <w:bottom w:val="single" w:sz="8" w:space="0" w:color="000001"/>
          <w:insideH w:val="single" w:sz="8" w:space="0" w:color="000001"/>
        </w:tblBorders>
        <w:tblCellMar>
          <w:top w:w="28" w:type="dxa"/>
          <w:left w:w="0" w:type="dxa"/>
          <w:bottom w:w="28" w:type="dxa"/>
          <w:right w:w="28" w:type="dxa"/>
        </w:tblCellMar>
      </w:tblPr>
      <w:tblGrid>
        <w:gridCol w:w="3840"/>
        <w:gridCol w:w="4689"/>
        <w:gridCol w:w="20"/>
      </w:tblGrid>
      <w:tr>
        <w:trPr/>
        <w:tc>
          <w:tcPr>
            <w:tcW w:w="3840" w:type="dxa"/>
            <w:tcBorders>
              <w:top w:val="single" w:sz="8" w:space="0" w:color="000001"/>
              <w:left w:val="single" w:sz="8" w:space="0" w:color="000001"/>
              <w:bottom w:val="single" w:sz="8" w:space="0" w:color="000001"/>
              <w:insideH w:val="single" w:sz="8" w:space="0" w:color="000001"/>
            </w:tcBorders>
            <w:shd w:fill="auto" w:val="clear"/>
          </w:tcPr>
          <w:p>
            <w:pPr>
              <w:pStyle w:val="Contenidodelatabla"/>
              <w:spacing w:lineRule="auto" w:line="276"/>
              <w:jc w:val="both"/>
              <w:rPr>
                <w:rFonts w:ascii="Caladea;Cambria" w:hAnsi="Caladea;Cambria" w:cs="Caladea;Cambria"/>
                <w:sz w:val="22"/>
                <w:szCs w:val="22"/>
              </w:rPr>
            </w:pPr>
            <w:r>
              <w:rPr>
                <w:rFonts w:cs="Caladea;Cambria" w:ascii="Caladea;Cambria" w:hAnsi="Caladea;Cambria"/>
                <w:sz w:val="22"/>
                <w:szCs w:val="22"/>
              </w:rPr>
              <w:t>-Familia monoparental</w:t>
            </w:r>
          </w:p>
        </w:tc>
        <w:tc>
          <w:tcPr>
            <w:tcW w:w="470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Pr>
          <w:p>
            <w:pPr>
              <w:pStyle w:val="Contenidodelatabla"/>
              <w:spacing w:lineRule="auto" w:line="276"/>
              <w:jc w:val="both"/>
              <w:rPr>
                <w:rFonts w:ascii="Caladea;Cambria" w:hAnsi="Caladea;Cambria" w:cs="Caladea;Cambria"/>
                <w:sz w:val="22"/>
                <w:szCs w:val="22"/>
              </w:rPr>
            </w:pPr>
            <w:r>
              <w:rPr>
                <w:rFonts w:cs="Caladea;Cambria" w:ascii="Caladea;Cambria" w:hAnsi="Caladea;Cambria"/>
                <w:sz w:val="22"/>
                <w:szCs w:val="22"/>
              </w:rPr>
              <w:t>1 punto</w:t>
            </w:r>
          </w:p>
        </w:tc>
      </w:tr>
      <w:tr>
        <w:trPr/>
        <w:tc>
          <w:tcPr>
            <w:tcW w:w="3840" w:type="dxa"/>
            <w:tcBorders>
              <w:left w:val="single" w:sz="8" w:space="0" w:color="000001"/>
              <w:bottom w:val="single" w:sz="8" w:space="0" w:color="000001"/>
              <w:insideH w:val="single" w:sz="8" w:space="0" w:color="000001"/>
            </w:tcBorders>
            <w:shd w:fill="auto" w:val="clear"/>
            <w:tcMar>
              <w:top w:w="0" w:type="dxa"/>
            </w:tcMar>
          </w:tcPr>
          <w:p>
            <w:pPr>
              <w:pStyle w:val="Contenidodelatabla"/>
              <w:spacing w:lineRule="auto" w:line="276"/>
              <w:jc w:val="both"/>
              <w:rPr>
                <w:rFonts w:ascii="Caladea;Cambria" w:hAnsi="Caladea;Cambria" w:cs="Caladea;Cambria"/>
                <w:sz w:val="22"/>
                <w:szCs w:val="22"/>
              </w:rPr>
            </w:pPr>
            <w:r>
              <w:rPr>
                <w:rFonts w:cs="Caladea;Cambria" w:ascii="Caladea;Cambria" w:hAnsi="Caladea;Cambria"/>
                <w:sz w:val="22"/>
                <w:szCs w:val="22"/>
              </w:rPr>
              <w:t>-Familia numerosa (en posesión del título):</w:t>
            </w:r>
          </w:p>
        </w:tc>
        <w:tc>
          <w:tcPr>
            <w:tcW w:w="4709"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tcMar>
          </w:tcPr>
          <w:p>
            <w:pPr>
              <w:pStyle w:val="Contenidodelatabla"/>
              <w:snapToGrid w:val="false"/>
              <w:spacing w:lineRule="auto" w:line="276"/>
              <w:jc w:val="both"/>
              <w:rPr>
                <w:rFonts w:ascii="Caladea;Cambria" w:hAnsi="Caladea;Cambria" w:cs="Caladea;Cambria"/>
                <w:sz w:val="22"/>
                <w:szCs w:val="22"/>
              </w:rPr>
            </w:pPr>
            <w:r>
              <w:rPr>
                <w:rFonts w:cs="Caladea;Cambria" w:ascii="Caladea;Cambria" w:hAnsi="Caladea;Cambria"/>
                <w:sz w:val="22"/>
                <w:szCs w:val="22"/>
              </w:rPr>
            </w:r>
          </w:p>
        </w:tc>
      </w:tr>
      <w:tr>
        <w:trPr/>
        <w:tc>
          <w:tcPr>
            <w:tcW w:w="3840" w:type="dxa"/>
            <w:tcBorders>
              <w:left w:val="single" w:sz="8" w:space="0" w:color="000001"/>
              <w:bottom w:val="single" w:sz="8" w:space="0" w:color="000001"/>
              <w:insideH w:val="single" w:sz="8" w:space="0" w:color="000001"/>
            </w:tcBorders>
            <w:shd w:fill="auto" w:val="clear"/>
            <w:tcMar>
              <w:top w:w="0" w:type="dxa"/>
            </w:tcMar>
          </w:tcPr>
          <w:p>
            <w:pPr>
              <w:pStyle w:val="Contenidodelatabla"/>
              <w:spacing w:lineRule="auto" w:line="276"/>
              <w:jc w:val="both"/>
              <w:rPr>
                <w:rFonts w:ascii="Caladea;Cambria" w:hAnsi="Caladea;Cambria" w:cs="Caladea;Cambria"/>
                <w:sz w:val="22"/>
                <w:szCs w:val="22"/>
              </w:rPr>
            </w:pPr>
            <w:r>
              <w:rPr>
                <w:rFonts w:cs="Caladea;Cambria" w:ascii="Caladea;Cambria" w:hAnsi="Caladea;Cambria"/>
                <w:sz w:val="22"/>
                <w:szCs w:val="22"/>
              </w:rPr>
              <w:t>*Categoría General</w:t>
            </w:r>
          </w:p>
        </w:tc>
        <w:tc>
          <w:tcPr>
            <w:tcW w:w="4709"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tcMar>
          </w:tcPr>
          <w:p>
            <w:pPr>
              <w:pStyle w:val="Contenidodelatabla"/>
              <w:spacing w:lineRule="auto" w:line="276"/>
              <w:jc w:val="both"/>
              <w:rPr>
                <w:rFonts w:ascii="Caladea;Cambria" w:hAnsi="Caladea;Cambria" w:cs="Caladea;Cambria"/>
                <w:sz w:val="22"/>
                <w:szCs w:val="22"/>
              </w:rPr>
            </w:pPr>
            <w:r>
              <w:rPr>
                <w:rFonts w:cs="Caladea;Cambria" w:ascii="Caladea;Cambria" w:hAnsi="Caladea;Cambria"/>
                <w:sz w:val="22"/>
                <w:szCs w:val="22"/>
              </w:rPr>
              <w:t>1 punto</w:t>
            </w:r>
          </w:p>
        </w:tc>
      </w:tr>
      <w:tr>
        <w:trPr/>
        <w:tc>
          <w:tcPr>
            <w:tcW w:w="3840" w:type="dxa"/>
            <w:tcBorders>
              <w:left w:val="single" w:sz="8" w:space="0" w:color="000001"/>
              <w:bottom w:val="single" w:sz="4" w:space="0" w:color="000000"/>
              <w:insideH w:val="single" w:sz="4" w:space="0" w:color="000000"/>
            </w:tcBorders>
            <w:shd w:fill="auto" w:val="clear"/>
            <w:tcMar>
              <w:top w:w="0" w:type="dxa"/>
            </w:tcMar>
          </w:tcPr>
          <w:p>
            <w:pPr>
              <w:pStyle w:val="Contenidodelatabla"/>
              <w:spacing w:lineRule="auto" w:line="276"/>
              <w:jc w:val="both"/>
              <w:rPr/>
            </w:pPr>
            <w:r>
              <w:rPr>
                <w:rFonts w:eastAsia="Caladea;Cambria" w:cs="Caladea;Cambria" w:ascii="Caladea;Cambria" w:hAnsi="Caladea;Cambria"/>
                <w:sz w:val="22"/>
                <w:szCs w:val="22"/>
              </w:rPr>
              <w:t xml:space="preserve"> </w:t>
            </w:r>
            <w:r>
              <w:rPr>
                <w:rFonts w:cs="Caladea;Cambria" w:ascii="Caladea;Cambria" w:hAnsi="Caladea;Cambria"/>
                <w:sz w:val="22"/>
                <w:szCs w:val="22"/>
              </w:rPr>
              <w:t>*Categoría Especial</w:t>
            </w:r>
          </w:p>
        </w:tc>
        <w:tc>
          <w:tcPr>
            <w:tcW w:w="4709" w:type="dxa"/>
            <w:tcBorders>
              <w:left w:val="single" w:sz="8" w:space="0" w:color="000001"/>
              <w:bottom w:val="single" w:sz="4" w:space="0" w:color="000000"/>
              <w:right w:val="single" w:sz="8" w:space="0" w:color="000001"/>
              <w:insideH w:val="single" w:sz="4" w:space="0" w:color="000000"/>
              <w:insideV w:val="single" w:sz="8" w:space="0" w:color="000001"/>
            </w:tcBorders>
            <w:shd w:fill="auto" w:val="clear"/>
            <w:tcMar>
              <w:top w:w="0" w:type="dxa"/>
            </w:tcMar>
          </w:tcPr>
          <w:p>
            <w:pPr>
              <w:pStyle w:val="Contenidodelatabla"/>
              <w:spacing w:lineRule="auto" w:line="276"/>
              <w:jc w:val="both"/>
              <w:rPr>
                <w:rFonts w:ascii="Caladea;Cambria" w:hAnsi="Caladea;Cambria" w:cs="Caladea;Cambria"/>
                <w:sz w:val="22"/>
                <w:szCs w:val="22"/>
              </w:rPr>
            </w:pPr>
            <w:r>
              <w:rPr>
                <w:rFonts w:cs="Caladea;Cambria" w:ascii="Caladea;Cambria" w:hAnsi="Caladea;Cambria"/>
                <w:sz w:val="22"/>
                <w:szCs w:val="22"/>
              </w:rPr>
              <w:t>2 puntos</w:t>
            </w:r>
          </w:p>
        </w:tc>
      </w:tr>
      <w:tr>
        <w:trPr>
          <w:trHeight w:val="341" w:hRule="atLeast"/>
        </w:trPr>
        <w:tc>
          <w:tcPr>
            <w:tcW w:w="3840" w:type="dxa"/>
            <w:tcBorders>
              <w:top w:val="single" w:sz="4" w:space="0" w:color="000000"/>
              <w:left w:val="single" w:sz="4" w:space="0" w:color="000000"/>
              <w:bottom w:val="single" w:sz="4" w:space="0" w:color="000000"/>
              <w:insideH w:val="single" w:sz="4" w:space="0" w:color="000000"/>
            </w:tcBorders>
            <w:shd w:fill="auto" w:val="clear"/>
            <w:tcMar>
              <w:top w:w="0" w:type="dxa"/>
              <w:bottom w:w="0" w:type="dxa"/>
              <w:right w:w="0" w:type="dxa"/>
            </w:tcMar>
          </w:tcPr>
          <w:p>
            <w:pPr>
              <w:pStyle w:val="Contenidodelatabla"/>
              <w:numPr>
                <w:ilvl w:val="0"/>
                <w:numId w:val="4"/>
              </w:numPr>
              <w:spacing w:lineRule="auto" w:line="276"/>
              <w:jc w:val="both"/>
              <w:rPr>
                <w:rFonts w:ascii="Caladea;Cambria" w:hAnsi="Caladea;Cambria" w:cs="Caladea;Cambria"/>
                <w:sz w:val="22"/>
                <w:szCs w:val="22"/>
              </w:rPr>
            </w:pPr>
            <w:r>
              <w:rPr>
                <w:rFonts w:cs="Caladea;Cambria" w:ascii="Caladea;Cambria" w:hAnsi="Caladea;Cambria"/>
                <w:sz w:val="22"/>
                <w:szCs w:val="22"/>
              </w:rPr>
              <w:t>Familia acogedora</w:t>
            </w:r>
          </w:p>
        </w:tc>
        <w:tc>
          <w:tcPr>
            <w:tcW w:w="468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top w:w="0" w:type="dxa"/>
              <w:bottom w:w="0" w:type="dxa"/>
              <w:right w:w="0" w:type="dxa"/>
            </w:tcMar>
          </w:tcPr>
          <w:p>
            <w:pPr>
              <w:pStyle w:val="Contenidodelatabla"/>
              <w:spacing w:lineRule="auto" w:line="276"/>
              <w:jc w:val="both"/>
              <w:rPr>
                <w:rFonts w:ascii="Caladea;Cambria" w:hAnsi="Caladea;Cambria" w:cs="Caladea;Cambria"/>
                <w:sz w:val="22"/>
                <w:szCs w:val="22"/>
              </w:rPr>
            </w:pPr>
            <w:r>
              <w:rPr>
                <w:rFonts w:cs="Caladea;Cambria" w:ascii="Caladea;Cambria" w:hAnsi="Caladea;Cambria"/>
                <w:sz w:val="22"/>
                <w:szCs w:val="22"/>
              </w:rPr>
              <w:t>2 puntos</w:t>
            </w:r>
          </w:p>
        </w:tc>
      </w:tr>
    </w:tbl>
    <w:p>
      <w:pPr>
        <w:pStyle w:val="Cuerpodetexto"/>
        <w:spacing w:lineRule="auto" w:line="276" w:before="0" w:after="0"/>
        <w:jc w:val="both"/>
        <w:rPr>
          <w:rFonts w:ascii="Caladea;Cambria" w:hAnsi="Caladea;Cambria" w:cs="Caladea;Cambria"/>
          <w:sz w:val="22"/>
          <w:szCs w:val="22"/>
        </w:rPr>
      </w:pPr>
      <w:r>
        <w:rPr>
          <w:rFonts w:cs="Caladea;Cambria" w:ascii="Caladea;Cambria" w:hAnsi="Caladea;Cambria"/>
          <w:sz w:val="22"/>
          <w:szCs w:val="22"/>
        </w:rPr>
      </w:r>
    </w:p>
    <w:p>
      <w:pPr>
        <w:pStyle w:val="Cuerpodetexto"/>
        <w:spacing w:lineRule="auto" w:line="276" w:before="0" w:after="0"/>
        <w:jc w:val="both"/>
        <w:rPr>
          <w:rFonts w:ascii="Caladea;Cambria" w:hAnsi="Caladea;Cambria" w:cs="Caladea;Cambria"/>
          <w:sz w:val="22"/>
          <w:szCs w:val="22"/>
        </w:rPr>
      </w:pPr>
      <w:r>
        <w:rPr>
          <w:rFonts w:cs="Caladea;Cambria" w:ascii="Caladea;Cambria" w:hAnsi="Caladea;Cambria"/>
          <w:sz w:val="22"/>
          <w:szCs w:val="22"/>
        </w:rPr>
        <w:t xml:space="preserve">No se computará monoparentalidad en los casos en que la madre, padre o tutor legal del menor/es, mantenga una relación de convivencia de pareja o análoga a la conyugal. </w:t>
      </w:r>
    </w:p>
    <w:p>
      <w:pPr>
        <w:pStyle w:val="Cuerpodetexto"/>
        <w:spacing w:lineRule="auto" w:line="276" w:before="0" w:after="0"/>
        <w:jc w:val="both"/>
        <w:rPr>
          <w:rFonts w:ascii="Caladea;Cambria" w:hAnsi="Caladea;Cambria" w:cs="Caladea;Cambria"/>
          <w:sz w:val="22"/>
          <w:szCs w:val="22"/>
        </w:rPr>
      </w:pPr>
      <w:r>
        <w:rPr>
          <w:rFonts w:cs="Caladea;Cambria" w:ascii="Caladea;Cambria" w:hAnsi="Caladea;Cambria"/>
          <w:sz w:val="22"/>
          <w:szCs w:val="22"/>
        </w:rPr>
      </w:r>
    </w:p>
    <w:p>
      <w:pPr>
        <w:pStyle w:val="Cuerpodetexto"/>
        <w:spacing w:lineRule="auto" w:line="276"/>
        <w:jc w:val="both"/>
        <w:rPr/>
      </w:pPr>
      <w:r>
        <w:rPr>
          <w:rFonts w:cs="Caladea;Cambria" w:ascii="Caladea;Cambria" w:hAnsi="Caladea;Cambria"/>
          <w:b/>
          <w:sz w:val="22"/>
          <w:szCs w:val="22"/>
          <w:u w:val="single"/>
        </w:rPr>
        <w:t>SITUACIÓN DE LA UNIDAD DE CONVIVENCIA</w:t>
      </w:r>
      <w:r>
        <w:rPr>
          <w:rFonts w:cs="Caladea;Cambria" w:ascii="Caladea;Cambria" w:hAnsi="Caladea;Cambria"/>
          <w:sz w:val="22"/>
          <w:szCs w:val="22"/>
        </w:rPr>
        <w:t xml:space="preserve"> (situaciones acumulables):</w:t>
      </w:r>
    </w:p>
    <w:tbl>
      <w:tblPr>
        <w:tblW w:w="8549" w:type="dxa"/>
        <w:jc w:val="left"/>
        <w:tblInd w:w="0" w:type="dxa"/>
        <w:tblBorders>
          <w:top w:val="single" w:sz="8" w:space="0" w:color="000001"/>
          <w:left w:val="single" w:sz="8" w:space="0" w:color="000001"/>
          <w:bottom w:val="single" w:sz="8" w:space="0" w:color="000001"/>
          <w:insideH w:val="single" w:sz="8" w:space="0" w:color="000001"/>
        </w:tblBorders>
        <w:tblCellMar>
          <w:top w:w="28" w:type="dxa"/>
          <w:left w:w="0" w:type="dxa"/>
          <w:bottom w:w="28" w:type="dxa"/>
          <w:right w:w="28" w:type="dxa"/>
        </w:tblCellMar>
      </w:tblPr>
      <w:tblGrid>
        <w:gridCol w:w="5619"/>
        <w:gridCol w:w="2910"/>
        <w:gridCol w:w="20"/>
      </w:tblGrid>
      <w:tr>
        <w:trPr/>
        <w:tc>
          <w:tcPr>
            <w:tcW w:w="5619" w:type="dxa"/>
            <w:tcBorders>
              <w:top w:val="single" w:sz="8" w:space="0" w:color="000001"/>
              <w:left w:val="single" w:sz="8" w:space="0" w:color="000001"/>
              <w:bottom w:val="single" w:sz="8" w:space="0" w:color="000001"/>
              <w:insideH w:val="single" w:sz="8" w:space="0" w:color="000001"/>
            </w:tcBorders>
            <w:shd w:fill="auto" w:val="clear"/>
          </w:tcPr>
          <w:p>
            <w:pPr>
              <w:pStyle w:val="Contenidodelatabla"/>
              <w:spacing w:lineRule="auto" w:line="276"/>
              <w:jc w:val="both"/>
              <w:rPr>
                <w:rFonts w:ascii="Caladea;Cambria" w:hAnsi="Caladea;Cambria" w:cs="Caladea;Cambria"/>
                <w:sz w:val="22"/>
                <w:szCs w:val="22"/>
              </w:rPr>
            </w:pPr>
            <w:r>
              <w:rPr>
                <w:rFonts w:cs="Caladea;Cambria" w:ascii="Caladea;Cambria" w:hAnsi="Caladea;Cambria"/>
                <w:sz w:val="22"/>
                <w:szCs w:val="22"/>
              </w:rPr>
              <w:t>-Familia con un miembro con diversidad funcional y/o dependencia:</w:t>
            </w:r>
          </w:p>
        </w:tc>
        <w:tc>
          <w:tcPr>
            <w:tcW w:w="293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Pr>
          <w:p>
            <w:pPr>
              <w:pStyle w:val="Contenidodelatabla"/>
              <w:snapToGrid w:val="false"/>
              <w:spacing w:lineRule="auto" w:line="276"/>
              <w:jc w:val="both"/>
              <w:rPr>
                <w:rFonts w:ascii="Caladea;Cambria" w:hAnsi="Caladea;Cambria" w:cs="Caladea;Cambria"/>
                <w:sz w:val="22"/>
                <w:szCs w:val="22"/>
              </w:rPr>
            </w:pPr>
            <w:r>
              <w:rPr>
                <w:rFonts w:cs="Caladea;Cambria" w:ascii="Caladea;Cambria" w:hAnsi="Caladea;Cambria"/>
                <w:sz w:val="22"/>
                <w:szCs w:val="22"/>
              </w:rPr>
            </w:r>
          </w:p>
        </w:tc>
      </w:tr>
      <w:tr>
        <w:trPr/>
        <w:tc>
          <w:tcPr>
            <w:tcW w:w="5619" w:type="dxa"/>
            <w:tcBorders>
              <w:left w:val="single" w:sz="8" w:space="0" w:color="000001"/>
              <w:bottom w:val="single" w:sz="8" w:space="0" w:color="000001"/>
              <w:insideH w:val="single" w:sz="8" w:space="0" w:color="000001"/>
            </w:tcBorders>
            <w:shd w:fill="auto" w:val="clear"/>
            <w:tcMar>
              <w:top w:w="0" w:type="dxa"/>
            </w:tcMar>
          </w:tcPr>
          <w:p>
            <w:pPr>
              <w:pStyle w:val="Contenidodelatabla"/>
              <w:spacing w:lineRule="auto" w:line="276"/>
              <w:jc w:val="both"/>
              <w:rPr>
                <w:rFonts w:ascii="Caladea;Cambria" w:hAnsi="Caladea;Cambria" w:cs="Caladea;Cambria"/>
                <w:sz w:val="22"/>
                <w:szCs w:val="22"/>
              </w:rPr>
            </w:pPr>
            <w:r>
              <w:rPr>
                <w:rFonts w:cs="Caladea;Cambria" w:ascii="Caladea;Cambria" w:hAnsi="Caladea;Cambria"/>
                <w:sz w:val="22"/>
                <w:szCs w:val="22"/>
              </w:rPr>
              <w:t>*Discapacidad del 33% al 64 %</w:t>
            </w:r>
          </w:p>
        </w:tc>
        <w:tc>
          <w:tcPr>
            <w:tcW w:w="2930"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tcMar>
          </w:tcPr>
          <w:p>
            <w:pPr>
              <w:pStyle w:val="Contenidodelatabla"/>
              <w:spacing w:lineRule="auto" w:line="276"/>
              <w:jc w:val="both"/>
              <w:rPr>
                <w:rFonts w:ascii="Caladea;Cambria" w:hAnsi="Caladea;Cambria" w:cs="Caladea;Cambria"/>
                <w:sz w:val="22"/>
                <w:szCs w:val="22"/>
              </w:rPr>
            </w:pPr>
            <w:r>
              <w:rPr>
                <w:rFonts w:cs="Caladea;Cambria" w:ascii="Caladea;Cambria" w:hAnsi="Caladea;Cambria"/>
                <w:sz w:val="22"/>
                <w:szCs w:val="22"/>
              </w:rPr>
              <w:t>1 punto</w:t>
            </w:r>
          </w:p>
        </w:tc>
      </w:tr>
      <w:tr>
        <w:trPr/>
        <w:tc>
          <w:tcPr>
            <w:tcW w:w="5619" w:type="dxa"/>
            <w:tcBorders>
              <w:left w:val="single" w:sz="8" w:space="0" w:color="000001"/>
              <w:bottom w:val="single" w:sz="8" w:space="0" w:color="000001"/>
              <w:insideH w:val="single" w:sz="8" w:space="0" w:color="000001"/>
            </w:tcBorders>
            <w:shd w:fill="auto" w:val="clear"/>
            <w:tcMar>
              <w:top w:w="0" w:type="dxa"/>
            </w:tcMar>
          </w:tcPr>
          <w:p>
            <w:pPr>
              <w:pStyle w:val="Contenidodelatabla"/>
              <w:spacing w:lineRule="auto" w:line="276"/>
              <w:jc w:val="both"/>
              <w:rPr>
                <w:rFonts w:ascii="Caladea;Cambria" w:hAnsi="Caladea;Cambria" w:cs="Caladea;Cambria"/>
                <w:sz w:val="22"/>
                <w:szCs w:val="22"/>
              </w:rPr>
            </w:pPr>
            <w:r>
              <w:rPr>
                <w:rFonts w:cs="Caladea;Cambria" w:ascii="Caladea;Cambria" w:hAnsi="Caladea;Cambria"/>
                <w:sz w:val="22"/>
                <w:szCs w:val="22"/>
              </w:rPr>
              <w:t>*Discapacidad igual o superior al 65%</w:t>
            </w:r>
          </w:p>
        </w:tc>
        <w:tc>
          <w:tcPr>
            <w:tcW w:w="2930"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tcMar>
          </w:tcPr>
          <w:p>
            <w:pPr>
              <w:pStyle w:val="Contenidodelatabla"/>
              <w:spacing w:lineRule="auto" w:line="276"/>
              <w:jc w:val="both"/>
              <w:rPr>
                <w:rFonts w:ascii="Caladea;Cambria" w:hAnsi="Caladea;Cambria" w:cs="Caladea;Cambria"/>
                <w:sz w:val="22"/>
                <w:szCs w:val="22"/>
              </w:rPr>
            </w:pPr>
            <w:r>
              <w:rPr>
                <w:rFonts w:cs="Caladea;Cambria" w:ascii="Caladea;Cambria" w:hAnsi="Caladea;Cambria"/>
                <w:sz w:val="22"/>
                <w:szCs w:val="22"/>
              </w:rPr>
              <w:t>2 puntos</w:t>
            </w:r>
          </w:p>
        </w:tc>
      </w:tr>
      <w:tr>
        <w:trPr/>
        <w:tc>
          <w:tcPr>
            <w:tcW w:w="5619" w:type="dxa"/>
            <w:tcBorders>
              <w:left w:val="single" w:sz="8" w:space="0" w:color="000001"/>
              <w:bottom w:val="single" w:sz="8" w:space="0" w:color="000001"/>
              <w:insideH w:val="single" w:sz="8" w:space="0" w:color="000001"/>
            </w:tcBorders>
            <w:shd w:fill="auto" w:val="clear"/>
            <w:tcMar>
              <w:top w:w="0" w:type="dxa"/>
            </w:tcMar>
          </w:tcPr>
          <w:p>
            <w:pPr>
              <w:pStyle w:val="Contenidodelatabla"/>
              <w:spacing w:lineRule="auto" w:line="276"/>
              <w:jc w:val="both"/>
              <w:rPr>
                <w:rFonts w:ascii="Caladea;Cambria" w:hAnsi="Caladea;Cambria" w:cs="Caladea;Cambria"/>
                <w:sz w:val="22"/>
                <w:szCs w:val="22"/>
              </w:rPr>
            </w:pPr>
            <w:r>
              <w:rPr>
                <w:rFonts w:cs="Caladea;Cambria" w:ascii="Caladea;Cambria" w:hAnsi="Caladea;Cambria"/>
                <w:sz w:val="22"/>
                <w:szCs w:val="22"/>
              </w:rPr>
              <w:t>*Discapacidad igual o superior al 75 % con ayuda de tercera persona</w:t>
            </w:r>
          </w:p>
        </w:tc>
        <w:tc>
          <w:tcPr>
            <w:tcW w:w="2930"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tcMar>
          </w:tcPr>
          <w:p>
            <w:pPr>
              <w:pStyle w:val="Contenidodelatabla"/>
              <w:spacing w:lineRule="auto" w:line="276"/>
              <w:jc w:val="both"/>
              <w:rPr>
                <w:rFonts w:ascii="Caladea;Cambria" w:hAnsi="Caladea;Cambria" w:cs="Caladea;Cambria"/>
                <w:sz w:val="22"/>
                <w:szCs w:val="22"/>
              </w:rPr>
            </w:pPr>
            <w:r>
              <w:rPr>
                <w:rFonts w:cs="Caladea;Cambria" w:ascii="Caladea;Cambria" w:hAnsi="Caladea;Cambria"/>
                <w:sz w:val="22"/>
                <w:szCs w:val="22"/>
              </w:rPr>
              <w:t>3 puntos</w:t>
            </w:r>
          </w:p>
        </w:tc>
      </w:tr>
      <w:tr>
        <w:trPr/>
        <w:tc>
          <w:tcPr>
            <w:tcW w:w="5619" w:type="dxa"/>
            <w:tcBorders>
              <w:left w:val="single" w:sz="8" w:space="0" w:color="000001"/>
              <w:bottom w:val="single" w:sz="8" w:space="0" w:color="000001"/>
              <w:insideH w:val="single" w:sz="8" w:space="0" w:color="000001"/>
            </w:tcBorders>
            <w:shd w:fill="auto" w:val="clear"/>
            <w:tcMar>
              <w:top w:w="0" w:type="dxa"/>
            </w:tcMar>
          </w:tcPr>
          <w:p>
            <w:pPr>
              <w:pStyle w:val="Contenidodelatabla"/>
              <w:spacing w:lineRule="auto" w:line="276"/>
              <w:jc w:val="both"/>
              <w:rPr>
                <w:rFonts w:ascii="Caladea;Cambria" w:hAnsi="Caladea;Cambria" w:cs="Caladea;Cambria"/>
                <w:sz w:val="22"/>
                <w:szCs w:val="22"/>
              </w:rPr>
            </w:pPr>
            <w:r>
              <w:rPr>
                <w:rFonts w:cs="Caladea;Cambria" w:ascii="Caladea;Cambria" w:hAnsi="Caladea;Cambria"/>
                <w:sz w:val="22"/>
                <w:szCs w:val="22"/>
              </w:rPr>
              <w:t>*Grado I</w:t>
            </w:r>
          </w:p>
        </w:tc>
        <w:tc>
          <w:tcPr>
            <w:tcW w:w="2930"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tcMar>
          </w:tcPr>
          <w:p>
            <w:pPr>
              <w:pStyle w:val="Contenidodelatabla"/>
              <w:spacing w:lineRule="auto" w:line="276"/>
              <w:jc w:val="both"/>
              <w:rPr>
                <w:rFonts w:ascii="Caladea;Cambria" w:hAnsi="Caladea;Cambria" w:cs="Caladea;Cambria"/>
                <w:sz w:val="22"/>
                <w:szCs w:val="22"/>
              </w:rPr>
            </w:pPr>
            <w:r>
              <w:rPr>
                <w:rFonts w:cs="Caladea;Cambria" w:ascii="Caladea;Cambria" w:hAnsi="Caladea;Cambria"/>
                <w:sz w:val="22"/>
                <w:szCs w:val="22"/>
              </w:rPr>
              <w:t>1 punto</w:t>
            </w:r>
          </w:p>
        </w:tc>
      </w:tr>
      <w:tr>
        <w:trPr/>
        <w:tc>
          <w:tcPr>
            <w:tcW w:w="5619" w:type="dxa"/>
            <w:tcBorders>
              <w:left w:val="single" w:sz="8" w:space="0" w:color="000001"/>
              <w:bottom w:val="single" w:sz="8" w:space="0" w:color="000001"/>
              <w:insideH w:val="single" w:sz="8" w:space="0" w:color="000001"/>
            </w:tcBorders>
            <w:shd w:fill="auto" w:val="clear"/>
            <w:tcMar>
              <w:top w:w="0" w:type="dxa"/>
            </w:tcMar>
          </w:tcPr>
          <w:p>
            <w:pPr>
              <w:pStyle w:val="Contenidodelatabla"/>
              <w:spacing w:lineRule="auto" w:line="276"/>
              <w:jc w:val="both"/>
              <w:rPr>
                <w:rFonts w:ascii="Caladea;Cambria" w:hAnsi="Caladea;Cambria" w:cs="Caladea;Cambria"/>
                <w:sz w:val="22"/>
                <w:szCs w:val="22"/>
              </w:rPr>
            </w:pPr>
            <w:r>
              <w:rPr>
                <w:rFonts w:cs="Caladea;Cambria" w:ascii="Caladea;Cambria" w:hAnsi="Caladea;Cambria"/>
                <w:sz w:val="22"/>
                <w:szCs w:val="22"/>
              </w:rPr>
              <w:t>*Grado II</w:t>
            </w:r>
          </w:p>
        </w:tc>
        <w:tc>
          <w:tcPr>
            <w:tcW w:w="2930"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tcMar>
          </w:tcPr>
          <w:p>
            <w:pPr>
              <w:pStyle w:val="Contenidodelatabla"/>
              <w:spacing w:lineRule="auto" w:line="276"/>
              <w:jc w:val="both"/>
              <w:rPr>
                <w:rFonts w:ascii="Caladea;Cambria" w:hAnsi="Caladea;Cambria" w:cs="Caladea;Cambria"/>
                <w:sz w:val="22"/>
                <w:szCs w:val="22"/>
              </w:rPr>
            </w:pPr>
            <w:r>
              <w:rPr>
                <w:rFonts w:cs="Caladea;Cambria" w:ascii="Caladea;Cambria" w:hAnsi="Caladea;Cambria"/>
                <w:sz w:val="22"/>
                <w:szCs w:val="22"/>
              </w:rPr>
              <w:t>2 puntos</w:t>
            </w:r>
          </w:p>
        </w:tc>
      </w:tr>
      <w:tr>
        <w:trPr/>
        <w:tc>
          <w:tcPr>
            <w:tcW w:w="5619" w:type="dxa"/>
            <w:tcBorders>
              <w:left w:val="single" w:sz="8" w:space="0" w:color="000001"/>
              <w:bottom w:val="single" w:sz="4" w:space="0" w:color="000000"/>
              <w:insideH w:val="single" w:sz="4" w:space="0" w:color="000000"/>
            </w:tcBorders>
            <w:shd w:fill="auto" w:val="clear"/>
            <w:tcMar>
              <w:top w:w="0" w:type="dxa"/>
            </w:tcMar>
          </w:tcPr>
          <w:p>
            <w:pPr>
              <w:pStyle w:val="Contenidodelatabla"/>
              <w:spacing w:lineRule="auto" w:line="276"/>
              <w:jc w:val="both"/>
              <w:rPr>
                <w:rFonts w:ascii="Caladea;Cambria" w:hAnsi="Caladea;Cambria" w:cs="Caladea;Cambria"/>
                <w:sz w:val="22"/>
                <w:szCs w:val="22"/>
              </w:rPr>
            </w:pPr>
            <w:r>
              <w:rPr>
                <w:rFonts w:cs="Caladea;Cambria" w:ascii="Caladea;Cambria" w:hAnsi="Caladea;Cambria"/>
                <w:sz w:val="22"/>
                <w:szCs w:val="22"/>
              </w:rPr>
              <w:t>*Grado III</w:t>
            </w:r>
          </w:p>
        </w:tc>
        <w:tc>
          <w:tcPr>
            <w:tcW w:w="2930" w:type="dxa"/>
            <w:tcBorders>
              <w:left w:val="single" w:sz="8" w:space="0" w:color="000001"/>
              <w:bottom w:val="single" w:sz="4" w:space="0" w:color="000000"/>
              <w:right w:val="single" w:sz="8" w:space="0" w:color="000001"/>
              <w:insideH w:val="single" w:sz="4" w:space="0" w:color="000000"/>
              <w:insideV w:val="single" w:sz="8" w:space="0" w:color="000001"/>
            </w:tcBorders>
            <w:shd w:fill="auto" w:val="clear"/>
            <w:tcMar>
              <w:top w:w="0" w:type="dxa"/>
            </w:tcMar>
          </w:tcPr>
          <w:p>
            <w:pPr>
              <w:pStyle w:val="Contenidodelatabla"/>
              <w:spacing w:lineRule="auto" w:line="276"/>
              <w:jc w:val="both"/>
              <w:rPr>
                <w:rFonts w:ascii="Caladea;Cambria" w:hAnsi="Caladea;Cambria" w:cs="Caladea;Cambria"/>
                <w:sz w:val="22"/>
                <w:szCs w:val="22"/>
              </w:rPr>
            </w:pPr>
            <w:r>
              <w:rPr>
                <w:rFonts w:cs="Caladea;Cambria" w:ascii="Caladea;Cambria" w:hAnsi="Caladea;Cambria"/>
                <w:sz w:val="22"/>
                <w:szCs w:val="22"/>
              </w:rPr>
              <w:t>3 puntos</w:t>
            </w:r>
          </w:p>
        </w:tc>
      </w:tr>
      <w:tr>
        <w:trPr/>
        <w:tc>
          <w:tcPr>
            <w:tcW w:w="5619" w:type="dxa"/>
            <w:tcBorders>
              <w:top w:val="single" w:sz="4" w:space="0" w:color="000000"/>
              <w:left w:val="single" w:sz="4" w:space="0" w:color="000000"/>
              <w:bottom w:val="single" w:sz="4" w:space="0" w:color="000000"/>
              <w:insideH w:val="single" w:sz="4" w:space="0" w:color="000000"/>
            </w:tcBorders>
            <w:shd w:fill="auto" w:val="clear"/>
            <w:tcMar>
              <w:top w:w="0" w:type="dxa"/>
              <w:bottom w:w="0" w:type="dxa"/>
              <w:right w:w="0" w:type="dxa"/>
            </w:tcMar>
          </w:tcPr>
          <w:p>
            <w:pPr>
              <w:pStyle w:val="Contenidodelatabla"/>
              <w:numPr>
                <w:ilvl w:val="0"/>
                <w:numId w:val="4"/>
              </w:numPr>
              <w:spacing w:lineRule="auto" w:line="276"/>
              <w:jc w:val="both"/>
              <w:rPr>
                <w:rFonts w:ascii="Caladea;Cambria" w:hAnsi="Caladea;Cambria" w:cs="Caladea;Cambria"/>
                <w:sz w:val="22"/>
                <w:szCs w:val="22"/>
              </w:rPr>
            </w:pPr>
            <w:r>
              <w:rPr>
                <w:rFonts w:cs="Caladea;Cambria" w:ascii="Caladea;Cambria" w:hAnsi="Caladea;Cambria"/>
                <w:sz w:val="22"/>
                <w:szCs w:val="22"/>
              </w:rPr>
              <w:t>Víctima de violencia de genero</w:t>
            </w:r>
          </w:p>
        </w:tc>
        <w:tc>
          <w:tcPr>
            <w:tcW w:w="291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top w:w="0" w:type="dxa"/>
              <w:bottom w:w="0" w:type="dxa"/>
              <w:right w:w="0" w:type="dxa"/>
            </w:tcMar>
          </w:tcPr>
          <w:p>
            <w:pPr>
              <w:pStyle w:val="Contenidodelatabla"/>
              <w:spacing w:lineRule="auto" w:line="276"/>
              <w:jc w:val="both"/>
              <w:rPr>
                <w:rFonts w:ascii="Caladea;Cambria" w:hAnsi="Caladea;Cambria" w:cs="Caladea;Cambria"/>
                <w:sz w:val="22"/>
                <w:szCs w:val="22"/>
              </w:rPr>
            </w:pPr>
            <w:r>
              <w:rPr>
                <w:rFonts w:cs="Caladea;Cambria" w:ascii="Caladea;Cambria" w:hAnsi="Caladea;Cambria"/>
                <w:sz w:val="22"/>
                <w:szCs w:val="22"/>
              </w:rPr>
              <w:t>3 puntos</w:t>
            </w:r>
          </w:p>
        </w:tc>
      </w:tr>
    </w:tbl>
    <w:p>
      <w:pPr>
        <w:pStyle w:val="Cuerpodetexto"/>
        <w:spacing w:lineRule="auto" w:line="276" w:before="0" w:after="0"/>
        <w:jc w:val="both"/>
        <w:rPr>
          <w:rFonts w:ascii="Caladea;Cambria" w:hAnsi="Caladea;Cambria" w:cs="Caladea;Cambria"/>
          <w:sz w:val="22"/>
          <w:szCs w:val="22"/>
        </w:rPr>
      </w:pPr>
      <w:r>
        <w:rPr>
          <w:rFonts w:cs="Caladea;Cambria" w:ascii="Caladea;Cambria" w:hAnsi="Caladea;Cambria"/>
          <w:sz w:val="22"/>
          <w:szCs w:val="22"/>
        </w:rPr>
      </w:r>
    </w:p>
    <w:p>
      <w:pPr>
        <w:pStyle w:val="Cuerpodetexto"/>
        <w:spacing w:lineRule="auto" w:line="276" w:before="0" w:after="0"/>
        <w:jc w:val="both"/>
        <w:rPr>
          <w:rFonts w:ascii="Caladea;Cambria" w:hAnsi="Caladea;Cambria" w:cs="Caladea;Cambria"/>
          <w:sz w:val="22"/>
          <w:szCs w:val="22"/>
        </w:rPr>
      </w:pPr>
      <w:r>
        <w:rPr>
          <w:rFonts w:cs="Caladea;Cambria" w:ascii="Caladea;Cambria" w:hAnsi="Caladea;Cambria"/>
          <w:sz w:val="22"/>
          <w:szCs w:val="22"/>
        </w:rPr>
        <w:t>Se considerarán afectados por una discapacidad en grado igual o superior al 33%, los pensionistas de la Seguridad Social, que tengan reconocida una pensión de incapacidad permanente en el grado de total, absoluta o gran invalidez y los pensionistas de Clases Pasivas que tengan reconocida una pensión de jubilación o de retiro por incapacidad permanente para el servicio o inutilidad (RD 1414/2006 de 1 de diciembre).</w:t>
      </w:r>
    </w:p>
    <w:p>
      <w:pPr>
        <w:pStyle w:val="Cuerpodetexto"/>
        <w:spacing w:lineRule="auto" w:line="276" w:before="0" w:after="0"/>
        <w:jc w:val="both"/>
        <w:rPr>
          <w:rFonts w:ascii="Caladea;Cambria" w:hAnsi="Caladea;Cambria" w:cs="Caladea;Cambria"/>
          <w:sz w:val="22"/>
          <w:szCs w:val="22"/>
        </w:rPr>
      </w:pPr>
      <w:r>
        <w:rPr>
          <w:rFonts w:cs="Caladea;Cambria" w:ascii="Caladea;Cambria" w:hAnsi="Caladea;Cambria"/>
          <w:sz w:val="22"/>
          <w:szCs w:val="22"/>
        </w:rPr>
        <w:t>En caso de que una persona disponga de grado de discapacidad y dependencia se valorará la situación más favorable para la persona.</w:t>
      </w:r>
    </w:p>
    <w:p>
      <w:pPr>
        <w:pStyle w:val="Cuerpodetexto"/>
        <w:spacing w:lineRule="auto" w:line="276" w:before="0" w:after="0"/>
        <w:jc w:val="both"/>
        <w:rPr>
          <w:rFonts w:ascii="Caladea;Cambria" w:hAnsi="Caladea;Cambria" w:cs="Caladea;Cambria"/>
          <w:sz w:val="22"/>
          <w:szCs w:val="22"/>
        </w:rPr>
      </w:pPr>
      <w:r>
        <w:rPr>
          <w:rFonts w:cs="Caladea;Cambria" w:ascii="Caladea;Cambria" w:hAnsi="Caladea;Cambria"/>
          <w:sz w:val="22"/>
          <w:szCs w:val="22"/>
        </w:rPr>
      </w:r>
    </w:p>
    <w:p>
      <w:pPr>
        <w:pStyle w:val="Cuerpodetexto"/>
        <w:spacing w:lineRule="auto" w:line="276" w:before="0" w:after="0"/>
        <w:jc w:val="both"/>
        <w:rPr>
          <w:rFonts w:ascii="Caladea;Cambria" w:hAnsi="Caladea;Cambria" w:cs="Caladea;Cambria"/>
          <w:sz w:val="22"/>
          <w:szCs w:val="22"/>
        </w:rPr>
      </w:pPr>
      <w:r>
        <w:rPr>
          <w:rFonts w:cs="Caladea;Cambria" w:ascii="Caladea;Cambria" w:hAnsi="Caladea;Cambria"/>
          <w:sz w:val="22"/>
          <w:szCs w:val="22"/>
        </w:rPr>
      </w:r>
    </w:p>
    <w:p>
      <w:pPr>
        <w:pStyle w:val="Cuerpodetexto"/>
        <w:spacing w:lineRule="auto" w:line="276" w:before="0" w:after="0"/>
        <w:jc w:val="both"/>
        <w:rPr>
          <w:rFonts w:ascii="Caladea;Cambria" w:hAnsi="Caladea;Cambria" w:cs="Caladea;Cambria"/>
          <w:b/>
          <w:b/>
          <w:sz w:val="22"/>
          <w:szCs w:val="22"/>
          <w:u w:val="single"/>
        </w:rPr>
      </w:pPr>
      <w:r>
        <w:rPr>
          <w:rFonts w:cs="Caladea;Cambria" w:ascii="Caladea;Cambria" w:hAnsi="Caladea;Cambria"/>
          <w:b/>
          <w:sz w:val="22"/>
          <w:szCs w:val="22"/>
          <w:u w:val="single"/>
        </w:rPr>
        <w:t xml:space="preserve">SITUACIÓN ECONÓMICA: </w:t>
      </w:r>
    </w:p>
    <w:p>
      <w:pPr>
        <w:pStyle w:val="Cuerpodetexto"/>
        <w:spacing w:lineRule="auto" w:line="276" w:before="0" w:after="0"/>
        <w:jc w:val="both"/>
        <w:rPr>
          <w:rFonts w:ascii="Caladea;Cambria" w:hAnsi="Caladea;Cambria" w:cs="Caladea;Cambria"/>
          <w:sz w:val="22"/>
          <w:szCs w:val="22"/>
        </w:rPr>
      </w:pPr>
      <w:r>
        <w:rPr>
          <w:rFonts w:cs="Caladea;Cambria" w:ascii="Caladea;Cambria" w:hAnsi="Caladea;Cambria"/>
          <w:sz w:val="22"/>
          <w:szCs w:val="22"/>
        </w:rPr>
      </w:r>
    </w:p>
    <w:p>
      <w:pPr>
        <w:pStyle w:val="Cuerpodetexto"/>
        <w:spacing w:lineRule="auto" w:line="276" w:before="0" w:after="0"/>
        <w:jc w:val="both"/>
        <w:rPr>
          <w:rFonts w:ascii="Caladea;Cambria" w:hAnsi="Caladea;Cambria" w:cs="Caladea;Cambria"/>
          <w:b/>
          <w:b/>
          <w:color w:val="000000"/>
          <w:sz w:val="22"/>
          <w:szCs w:val="22"/>
          <w:u w:val="single"/>
        </w:rPr>
      </w:pPr>
      <w:r>
        <w:rPr>
          <w:rFonts w:cs="Caladea;Cambria" w:ascii="Caladea;Cambria" w:hAnsi="Caladea;Cambria"/>
          <w:b/>
          <w:color w:val="000000"/>
          <w:sz w:val="22"/>
          <w:szCs w:val="22"/>
          <w:u w:val="single"/>
        </w:rPr>
        <w:t>RENTA PER CÁPITA  (para 2020)</w:t>
      </w:r>
    </w:p>
    <w:p>
      <w:pPr>
        <w:pStyle w:val="Cuerpodetexto"/>
        <w:spacing w:lineRule="auto" w:line="276" w:before="0" w:after="0"/>
        <w:jc w:val="both"/>
        <w:rPr>
          <w:rFonts w:ascii="Caladea;Cambria" w:hAnsi="Caladea;Cambria" w:cs="Caladea;Cambria"/>
          <w:b/>
          <w:b/>
          <w:color w:val="000000"/>
          <w:sz w:val="22"/>
          <w:szCs w:val="22"/>
          <w:u w:val="single"/>
        </w:rPr>
      </w:pPr>
      <w:r>
        <w:rPr>
          <w:rFonts w:cs="Caladea;Cambria" w:ascii="Caladea;Cambria" w:hAnsi="Caladea;Cambria"/>
          <w:b/>
          <w:color w:val="000000"/>
          <w:sz w:val="22"/>
          <w:szCs w:val="22"/>
          <w:u w:val="single"/>
        </w:rPr>
      </w:r>
    </w:p>
    <w:p>
      <w:pPr>
        <w:pStyle w:val="Cuerpodetexto"/>
        <w:spacing w:lineRule="auto" w:line="276" w:before="0" w:after="0"/>
        <w:jc w:val="both"/>
        <w:rPr>
          <w:rFonts w:ascii="Caladea;Cambria" w:hAnsi="Caladea;Cambria" w:cs="Caladea;Cambria"/>
          <w:b/>
          <w:b/>
          <w:bCs/>
          <w:color w:val="000000"/>
          <w:sz w:val="22"/>
          <w:szCs w:val="22"/>
          <w:u w:val="single"/>
        </w:rPr>
      </w:pPr>
      <w:r>
        <w:rPr>
          <w:rFonts w:cs="Caladea;Cambria" w:ascii="Caladea;Cambria" w:hAnsi="Caladea;Cambria"/>
          <w:b/>
          <w:bCs/>
          <w:color w:val="000000"/>
          <w:sz w:val="22"/>
          <w:szCs w:val="22"/>
          <w:u w:val="single"/>
        </w:rPr>
        <w:t>(IPREM: 537,84 € mensuales y 7.519,59 € por 14 pagas)</w:t>
      </w:r>
    </w:p>
    <w:p>
      <w:pPr>
        <w:pStyle w:val="Cuerpodetexto"/>
        <w:spacing w:lineRule="auto" w:line="276" w:before="0" w:after="0"/>
        <w:jc w:val="both"/>
        <w:rPr>
          <w:rFonts w:ascii="Caladea;Cambria" w:hAnsi="Caladea;Cambria" w:cs="Caladea;Cambria"/>
          <w:color w:val="000000"/>
          <w:sz w:val="22"/>
          <w:szCs w:val="22"/>
        </w:rPr>
      </w:pPr>
      <w:r>
        <w:rPr>
          <w:rFonts w:cs="Caladea;Cambria" w:ascii="Caladea;Cambria" w:hAnsi="Caladea;Cambria"/>
          <w:color w:val="000000"/>
          <w:sz w:val="22"/>
          <w:szCs w:val="22"/>
        </w:rPr>
      </w:r>
    </w:p>
    <w:p>
      <w:pPr>
        <w:pStyle w:val="Cuerpodetexto"/>
        <w:pageBreakBefore w:val="false"/>
        <w:rPr>
          <w:rFonts w:ascii="Caladea;Cambria" w:hAnsi="Caladea;Cambria" w:cs="Caladea;Cambria"/>
          <w:color w:val="000000"/>
          <w:sz w:val="22"/>
          <w:szCs w:val="22"/>
        </w:rPr>
      </w:pPr>
      <w:r>
        <w:rPr>
          <w:rFonts w:cs="Caladea;Cambria" w:ascii="Caladea;Cambria" w:hAnsi="Caladea;Cambria"/>
          <w:color w:val="000000"/>
          <w:sz w:val="22"/>
          <w:szCs w:val="22"/>
        </w:rPr>
      </w:r>
    </w:p>
    <w:tbl>
      <w:tblPr>
        <w:tblW w:w="8522" w:type="dxa"/>
        <w:jc w:val="left"/>
        <w:tblInd w:w="-3" w:type="dxa"/>
        <w:tblBorders>
          <w:top w:val="single" w:sz="8" w:space="0" w:color="000001"/>
          <w:left w:val="single" w:sz="8" w:space="0" w:color="000001"/>
          <w:bottom w:val="single" w:sz="8" w:space="0" w:color="000001"/>
          <w:insideH w:val="single" w:sz="8" w:space="0" w:color="000001"/>
        </w:tblBorders>
        <w:tblCellMar>
          <w:top w:w="28" w:type="dxa"/>
          <w:left w:w="0" w:type="dxa"/>
          <w:bottom w:w="28" w:type="dxa"/>
          <w:right w:w="28" w:type="dxa"/>
        </w:tblCellMar>
      </w:tblPr>
      <w:tblGrid>
        <w:gridCol w:w="7036"/>
        <w:gridCol w:w="1466"/>
        <w:gridCol w:w="20"/>
      </w:tblGrid>
      <w:tr>
        <w:trPr>
          <w:trHeight w:val="450" w:hRule="atLeast"/>
        </w:trPr>
        <w:tc>
          <w:tcPr>
            <w:tcW w:w="7036" w:type="dxa"/>
            <w:tcBorders>
              <w:top w:val="single" w:sz="8" w:space="0" w:color="000001"/>
              <w:left w:val="single" w:sz="8" w:space="0" w:color="000001"/>
              <w:bottom w:val="single" w:sz="8" w:space="0" w:color="000001"/>
              <w:insideH w:val="single" w:sz="8" w:space="0" w:color="000001"/>
            </w:tcBorders>
            <w:shd w:fill="auto" w:val="clear"/>
          </w:tcPr>
          <w:p>
            <w:pPr>
              <w:pStyle w:val="Contenidodelatabla"/>
              <w:spacing w:lineRule="auto" w:line="276"/>
              <w:rPr>
                <w:rFonts w:ascii="Caladea;Cambria" w:hAnsi="Caladea;Cambria" w:eastAsia="Times New Roman" w:cs="Caladea;Cambria"/>
                <w:color w:val="000000"/>
                <w:kern w:val="2"/>
                <w:sz w:val="22"/>
                <w:szCs w:val="22"/>
                <w:highlight w:val="white"/>
                <w:lang w:val="es-ES" w:eastAsia="zh-CN" w:bidi="ar-SA"/>
              </w:rPr>
            </w:pPr>
            <w:r>
              <w:rPr>
                <w:rFonts w:eastAsia="Times New Roman" w:cs="Caladea;Cambria" w:ascii="Caladea;Cambria" w:hAnsi="Caladea;Cambria"/>
                <w:color w:val="000000"/>
                <w:kern w:val="2"/>
                <w:sz w:val="22"/>
                <w:szCs w:val="22"/>
                <w:highlight w:val="white"/>
                <w:lang w:val="es-ES" w:eastAsia="zh-CN" w:bidi="ar-SA"/>
              </w:rPr>
              <w:t>Renta Per Cápita inferior al 0,5 IPREM (3.759,79 €)</w:t>
            </w:r>
          </w:p>
        </w:tc>
        <w:tc>
          <w:tcPr>
            <w:tcW w:w="1486"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fill="auto" w:val="clear"/>
          </w:tcPr>
          <w:p>
            <w:pPr>
              <w:pStyle w:val="Contenidodelatabla"/>
              <w:spacing w:lineRule="auto" w:line="276"/>
              <w:rPr>
                <w:rFonts w:ascii="Caladea;Cambria" w:hAnsi="Caladea;Cambria" w:eastAsia="Times New Roman" w:cs="Caladea;Cambria"/>
                <w:color w:val="000000"/>
                <w:kern w:val="2"/>
                <w:sz w:val="22"/>
                <w:szCs w:val="22"/>
                <w:highlight w:val="white"/>
                <w:lang w:val="es-ES" w:eastAsia="zh-CN" w:bidi="ar-SA"/>
              </w:rPr>
            </w:pPr>
            <w:r>
              <w:rPr>
                <w:rFonts w:eastAsia="Times New Roman" w:cs="Caladea;Cambria" w:ascii="Caladea;Cambria" w:hAnsi="Caladea;Cambria"/>
                <w:color w:val="000000"/>
                <w:kern w:val="2"/>
                <w:sz w:val="22"/>
                <w:szCs w:val="22"/>
                <w:highlight w:val="white"/>
                <w:lang w:val="es-ES" w:eastAsia="zh-CN" w:bidi="ar-SA"/>
              </w:rPr>
              <w:t>20 puntos</w:t>
            </w:r>
          </w:p>
        </w:tc>
      </w:tr>
      <w:tr>
        <w:trPr>
          <w:trHeight w:val="594" w:hRule="atLeast"/>
        </w:trPr>
        <w:tc>
          <w:tcPr>
            <w:tcW w:w="7036" w:type="dxa"/>
            <w:tcBorders>
              <w:left w:val="single" w:sz="8" w:space="0" w:color="000001"/>
              <w:bottom w:val="single" w:sz="8" w:space="0" w:color="000001"/>
              <w:insideH w:val="single" w:sz="8" w:space="0" w:color="000001"/>
            </w:tcBorders>
            <w:shd w:fill="auto" w:val="clear"/>
            <w:tcMar>
              <w:top w:w="0" w:type="dxa"/>
            </w:tcMar>
          </w:tcPr>
          <w:p>
            <w:pPr>
              <w:pStyle w:val="Contenidodelatabla"/>
              <w:spacing w:lineRule="auto" w:line="276"/>
              <w:rPr>
                <w:rFonts w:ascii="Caladea;Cambria" w:hAnsi="Caladea;Cambria" w:eastAsia="Times New Roman" w:cs="Caladea;Cambria"/>
                <w:color w:val="000000"/>
                <w:kern w:val="2"/>
                <w:sz w:val="22"/>
                <w:szCs w:val="22"/>
                <w:highlight w:val="white"/>
                <w:lang w:val="es-ES" w:eastAsia="zh-CN" w:bidi="ar-SA"/>
              </w:rPr>
            </w:pPr>
            <w:r>
              <w:rPr>
                <w:rFonts w:eastAsia="Times New Roman" w:cs="Caladea;Cambria" w:ascii="Caladea;Cambria" w:hAnsi="Caladea;Cambria"/>
                <w:color w:val="000000"/>
                <w:kern w:val="2"/>
                <w:sz w:val="22"/>
                <w:szCs w:val="22"/>
                <w:highlight w:val="white"/>
                <w:lang w:val="es-ES" w:eastAsia="zh-CN" w:bidi="ar-SA"/>
              </w:rPr>
              <w:t>Renta Per Cápita de familias entre el 0,51 y el 0,75 IPREM</w:t>
            </w:r>
          </w:p>
          <w:p>
            <w:pPr>
              <w:pStyle w:val="Contenidodelatabla"/>
              <w:spacing w:lineRule="auto" w:line="276"/>
              <w:rPr>
                <w:rFonts w:ascii="Caladea;Cambria" w:hAnsi="Caladea;Cambria" w:eastAsia="Times New Roman" w:cs="Caladea;Cambria"/>
                <w:color w:val="000000"/>
                <w:kern w:val="2"/>
                <w:sz w:val="22"/>
                <w:szCs w:val="22"/>
                <w:highlight w:val="white"/>
                <w:lang w:val="es-ES" w:eastAsia="zh-CN" w:bidi="ar-SA"/>
              </w:rPr>
            </w:pPr>
            <w:r>
              <w:rPr>
                <w:rFonts w:eastAsia="Times New Roman" w:cs="Caladea;Cambria" w:ascii="Caladea;Cambria" w:hAnsi="Caladea;Cambria"/>
                <w:color w:val="000000"/>
                <w:kern w:val="2"/>
                <w:sz w:val="22"/>
                <w:szCs w:val="22"/>
                <w:shd w:fill="FFFFFF" w:val="clear"/>
                <w:lang w:val="es-ES" w:eastAsia="zh-CN" w:bidi="ar-SA"/>
              </w:rPr>
              <w:t xml:space="preserve">(3.759,80€ – 5.639,69€) </w:t>
            </w:r>
          </w:p>
        </w:tc>
        <w:tc>
          <w:tcPr>
            <w:tcW w:w="1486" w:type="dxa"/>
            <w:tcBorders>
              <w:left w:val="single" w:sz="8" w:space="0" w:color="000001"/>
              <w:bottom w:val="single" w:sz="8" w:space="0" w:color="000001"/>
              <w:right w:val="single" w:sz="8" w:space="0" w:color="000001"/>
              <w:insideH w:val="single" w:sz="8" w:space="0" w:color="000001"/>
              <w:insideV w:val="single" w:sz="8" w:space="0" w:color="000001"/>
            </w:tcBorders>
            <w:shd w:fill="auto" w:val="clear"/>
            <w:tcMar>
              <w:top w:w="0" w:type="dxa"/>
            </w:tcMar>
          </w:tcPr>
          <w:p>
            <w:pPr>
              <w:pStyle w:val="Contenidodelatabla"/>
              <w:spacing w:lineRule="auto" w:line="276"/>
              <w:rPr>
                <w:rFonts w:ascii="Caladea;Cambria" w:hAnsi="Caladea;Cambria" w:eastAsia="Times New Roman" w:cs="Caladea;Cambria"/>
                <w:color w:val="000000"/>
                <w:kern w:val="2"/>
                <w:sz w:val="22"/>
                <w:szCs w:val="22"/>
                <w:lang w:val="es-ES" w:eastAsia="zh-CN" w:bidi="ar-SA"/>
              </w:rPr>
            </w:pPr>
            <w:r>
              <w:rPr>
                <w:rFonts w:eastAsia="Times New Roman" w:cs="Caladea;Cambria" w:ascii="Caladea;Cambria" w:hAnsi="Caladea;Cambria"/>
                <w:color w:val="000000"/>
                <w:kern w:val="2"/>
                <w:sz w:val="22"/>
                <w:szCs w:val="22"/>
                <w:lang w:val="es-ES" w:eastAsia="zh-CN" w:bidi="ar-SA"/>
              </w:rPr>
              <w:t>15 puntos</w:t>
            </w:r>
          </w:p>
        </w:tc>
      </w:tr>
      <w:tr>
        <w:trPr/>
        <w:tc>
          <w:tcPr>
            <w:tcW w:w="7036" w:type="dxa"/>
            <w:tcBorders>
              <w:top w:val="single" w:sz="4" w:space="0" w:color="000000"/>
              <w:left w:val="single" w:sz="4" w:space="0" w:color="000000"/>
              <w:bottom w:val="single" w:sz="4" w:space="0" w:color="000000"/>
              <w:insideH w:val="single" w:sz="4" w:space="0" w:color="000000"/>
            </w:tcBorders>
            <w:shd w:fill="auto" w:val="clear"/>
            <w:tcMar>
              <w:top w:w="0" w:type="dxa"/>
              <w:bottom w:w="0" w:type="dxa"/>
              <w:right w:w="0" w:type="dxa"/>
            </w:tcMar>
          </w:tcPr>
          <w:p>
            <w:pPr>
              <w:pStyle w:val="Normal"/>
              <w:rPr>
                <w:rFonts w:ascii="Caladea;Cambria" w:hAnsi="Caladea;Cambria" w:eastAsia="Times New Roman" w:cs="Caladea;Cambria"/>
                <w:color w:val="000000"/>
                <w:kern w:val="2"/>
                <w:sz w:val="22"/>
                <w:szCs w:val="22"/>
                <w:highlight w:val="white"/>
                <w:lang w:val="es-ES" w:eastAsia="zh-CN" w:bidi="ar-SA"/>
              </w:rPr>
            </w:pPr>
            <w:r>
              <w:rPr>
                <w:rFonts w:eastAsia="Times New Roman" w:cs="Caladea;Cambria" w:ascii="Caladea;Cambria" w:hAnsi="Caladea;Cambria"/>
                <w:color w:val="000000"/>
                <w:kern w:val="2"/>
                <w:sz w:val="22"/>
                <w:szCs w:val="22"/>
                <w:shd w:fill="FFFFFF" w:val="clear"/>
                <w:lang w:val="es-ES" w:eastAsia="zh-CN" w:bidi="ar-SA"/>
              </w:rPr>
              <w:t>Renta Per Cápita superior a 0,751 IPREM e inferior o igual a 1 IPREM</w:t>
            </w:r>
          </w:p>
          <w:p>
            <w:pPr>
              <w:pStyle w:val="Contenidodelatabla"/>
              <w:spacing w:lineRule="auto" w:line="276"/>
              <w:rPr/>
            </w:pPr>
            <w:r>
              <w:rPr>
                <w:rFonts w:eastAsia="Caladea;Cambria" w:cs="Caladea;Cambria" w:ascii="Caladea;Cambria" w:hAnsi="Caladea;Cambria"/>
                <w:color w:val="000000"/>
                <w:kern w:val="2"/>
                <w:sz w:val="22"/>
                <w:szCs w:val="22"/>
                <w:shd w:fill="FFFFFF" w:val="clear"/>
                <w:lang w:val="es-ES" w:eastAsia="zh-CN" w:bidi="ar-SA"/>
              </w:rPr>
              <w:t xml:space="preserve"> </w:t>
            </w:r>
            <w:r>
              <w:rPr>
                <w:rFonts w:eastAsia="Times New Roman" w:cs="Caladea;Cambria" w:ascii="Caladea;Cambria" w:hAnsi="Caladea;Cambria"/>
                <w:color w:val="000000"/>
                <w:kern w:val="2"/>
                <w:sz w:val="22"/>
                <w:szCs w:val="22"/>
                <w:shd w:fill="FFFFFF" w:val="clear"/>
                <w:lang w:val="es-ES" w:eastAsia="zh-CN" w:bidi="ar-SA"/>
              </w:rPr>
              <w:t xml:space="preserve">(5.639,70€- 7.519,59€) </w:t>
            </w:r>
          </w:p>
        </w:tc>
        <w:tc>
          <w:tcPr>
            <w:tcW w:w="146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top w:w="0" w:type="dxa"/>
              <w:bottom w:w="0" w:type="dxa"/>
              <w:right w:w="0" w:type="dxa"/>
            </w:tcMar>
          </w:tcPr>
          <w:p>
            <w:pPr>
              <w:pStyle w:val="Normal"/>
              <w:rPr>
                <w:rFonts w:ascii="Caladea;Cambria" w:hAnsi="Caladea;Cambria" w:eastAsia="Times New Roman" w:cs="Caladea;Cambria"/>
                <w:color w:val="000000"/>
                <w:kern w:val="2"/>
                <w:sz w:val="22"/>
                <w:szCs w:val="22"/>
                <w:highlight w:val="white"/>
                <w:lang w:val="es-ES" w:eastAsia="zh-CN" w:bidi="ar-SA"/>
              </w:rPr>
            </w:pPr>
            <w:r>
              <w:rPr>
                <w:rFonts w:eastAsia="Times New Roman" w:cs="Caladea;Cambria" w:ascii="Caladea;Cambria" w:hAnsi="Caladea;Cambria"/>
                <w:color w:val="000000"/>
                <w:kern w:val="2"/>
                <w:sz w:val="22"/>
                <w:szCs w:val="22"/>
                <w:shd w:fill="FFFFFF" w:val="clear"/>
                <w:lang w:val="es-ES" w:eastAsia="zh-CN" w:bidi="ar-SA"/>
              </w:rPr>
              <w:t>10 puntos</w:t>
            </w:r>
          </w:p>
        </w:tc>
      </w:tr>
      <w:tr>
        <w:trPr/>
        <w:tc>
          <w:tcPr>
            <w:tcW w:w="7036" w:type="dxa"/>
            <w:tcBorders>
              <w:left w:val="single" w:sz="8" w:space="0" w:color="000001"/>
              <w:bottom w:val="single" w:sz="4" w:space="0" w:color="000000"/>
              <w:insideH w:val="single" w:sz="4" w:space="0" w:color="000000"/>
            </w:tcBorders>
            <w:shd w:fill="auto" w:val="clear"/>
            <w:tcMar>
              <w:top w:w="0" w:type="dxa"/>
            </w:tcMar>
          </w:tcPr>
          <w:p>
            <w:pPr>
              <w:pStyle w:val="Contenidodelatabla"/>
              <w:spacing w:before="0" w:after="300"/>
              <w:rPr>
                <w:rFonts w:ascii="Caladea;Cambria" w:hAnsi="Caladea;Cambria" w:cs="Caladea;Cambria"/>
                <w:color w:val="000000"/>
                <w:sz w:val="22"/>
                <w:szCs w:val="22"/>
              </w:rPr>
            </w:pPr>
            <w:r>
              <w:rPr>
                <w:rFonts w:cs="Caladea;Cambria" w:ascii="Caladea;Cambria" w:hAnsi="Caladea;Cambria"/>
                <w:color w:val="000000"/>
                <w:sz w:val="22"/>
                <w:szCs w:val="22"/>
              </w:rPr>
              <w:t>Renta Per Cápita superior a 1,01 IPREM e inferior o igual a 1,5 IPREM</w:t>
            </w:r>
          </w:p>
          <w:p>
            <w:pPr>
              <w:pStyle w:val="Contenidodelatabla"/>
              <w:spacing w:before="0" w:after="300"/>
              <w:rPr>
                <w:rFonts w:ascii="Caladea;Cambria" w:hAnsi="Caladea;Cambria" w:cs="Caladea;Cambria"/>
                <w:color w:val="000000"/>
                <w:sz w:val="22"/>
                <w:szCs w:val="22"/>
              </w:rPr>
            </w:pPr>
            <w:r>
              <w:rPr>
                <w:rFonts w:cs="Caladea;Cambria" w:ascii="Caladea;Cambria" w:hAnsi="Caladea;Cambria"/>
                <w:color w:val="000000"/>
                <w:sz w:val="22"/>
                <w:szCs w:val="22"/>
              </w:rPr>
              <w:t xml:space="preserve">(7.519,60€- 11.279,38€) </w:t>
            </w:r>
          </w:p>
        </w:tc>
        <w:tc>
          <w:tcPr>
            <w:tcW w:w="1486" w:type="dxa"/>
            <w:tcBorders>
              <w:left w:val="single" w:sz="8" w:space="0" w:color="000001"/>
              <w:bottom w:val="single" w:sz="4" w:space="0" w:color="000000"/>
              <w:right w:val="single" w:sz="8" w:space="0" w:color="000001"/>
              <w:insideH w:val="single" w:sz="4" w:space="0" w:color="000000"/>
              <w:insideV w:val="single" w:sz="8" w:space="0" w:color="000001"/>
            </w:tcBorders>
            <w:shd w:fill="auto" w:val="clear"/>
            <w:tcMar>
              <w:top w:w="0" w:type="dxa"/>
            </w:tcMar>
          </w:tcPr>
          <w:p>
            <w:pPr>
              <w:pStyle w:val="Contenidodelatabla"/>
              <w:spacing w:before="0" w:after="300"/>
              <w:rPr>
                <w:rFonts w:ascii="Caladea;Cambria" w:hAnsi="Caladea;Cambria" w:cs="Caladea;Cambria"/>
                <w:color w:val="000000"/>
                <w:sz w:val="22"/>
                <w:szCs w:val="22"/>
              </w:rPr>
            </w:pPr>
            <w:r>
              <w:rPr>
                <w:rFonts w:cs="Caladea;Cambria" w:ascii="Caladea;Cambria" w:hAnsi="Caladea;Cambria"/>
                <w:color w:val="000000"/>
                <w:sz w:val="22"/>
                <w:szCs w:val="22"/>
              </w:rPr>
              <w:t>5 puntos</w:t>
            </w:r>
          </w:p>
        </w:tc>
      </w:tr>
      <w:tr>
        <w:trPr/>
        <w:tc>
          <w:tcPr>
            <w:tcW w:w="7036" w:type="dxa"/>
            <w:tcBorders>
              <w:top w:val="single" w:sz="4" w:space="0" w:color="000000"/>
              <w:left w:val="single" w:sz="4" w:space="0" w:color="000000"/>
              <w:bottom w:val="single" w:sz="4" w:space="0" w:color="000000"/>
              <w:insideH w:val="single" w:sz="4" w:space="0" w:color="000000"/>
            </w:tcBorders>
            <w:shd w:fill="auto" w:val="clear"/>
            <w:tcMar>
              <w:top w:w="0" w:type="dxa"/>
              <w:bottom w:w="0" w:type="dxa"/>
              <w:right w:w="0" w:type="dxa"/>
            </w:tcMar>
          </w:tcPr>
          <w:p>
            <w:pPr>
              <w:pStyle w:val="Contenidodelatabla"/>
              <w:spacing w:before="0" w:after="300"/>
              <w:rPr>
                <w:rFonts w:ascii="Caladea;Cambria" w:hAnsi="Caladea;Cambria" w:cs="Caladea;Cambria"/>
                <w:color w:val="000000"/>
                <w:sz w:val="22"/>
                <w:szCs w:val="22"/>
              </w:rPr>
            </w:pPr>
            <w:r>
              <w:rPr>
                <w:rFonts w:cs="Caladea;Cambria" w:ascii="Caladea;Cambria" w:hAnsi="Caladea;Cambria"/>
                <w:color w:val="000000"/>
                <w:sz w:val="22"/>
                <w:szCs w:val="22"/>
              </w:rPr>
              <w:t>Renta Per Cápita superior a 1,51 IPREM e inferior o igual a 2 IPREM</w:t>
            </w:r>
          </w:p>
          <w:p>
            <w:pPr>
              <w:pStyle w:val="Contenidodelatabla"/>
              <w:spacing w:before="0" w:after="300"/>
              <w:rPr>
                <w:rFonts w:ascii="Caladea;Cambria" w:hAnsi="Caladea;Cambria" w:cs="Caladea;Cambria"/>
                <w:color w:val="000000"/>
                <w:sz w:val="22"/>
                <w:szCs w:val="22"/>
              </w:rPr>
            </w:pPr>
            <w:r>
              <w:rPr>
                <w:rFonts w:cs="Caladea;Cambria" w:ascii="Caladea;Cambria" w:hAnsi="Caladea;Cambria"/>
                <w:color w:val="000000"/>
                <w:sz w:val="22"/>
                <w:szCs w:val="22"/>
              </w:rPr>
              <w:t xml:space="preserve">(11.279,39€-15.039,18€ ) </w:t>
            </w:r>
          </w:p>
        </w:tc>
        <w:tc>
          <w:tcPr>
            <w:tcW w:w="146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top w:w="0" w:type="dxa"/>
              <w:bottom w:w="0" w:type="dxa"/>
              <w:right w:w="0" w:type="dxa"/>
            </w:tcMar>
          </w:tcPr>
          <w:p>
            <w:pPr>
              <w:pStyle w:val="Contenidodelatabla"/>
              <w:spacing w:before="0" w:after="300"/>
              <w:rPr>
                <w:rFonts w:ascii="Caladea;Cambria" w:hAnsi="Caladea;Cambria" w:cs="Caladea;Cambria"/>
                <w:color w:val="000000"/>
                <w:sz w:val="22"/>
                <w:szCs w:val="22"/>
              </w:rPr>
            </w:pPr>
            <w:r>
              <w:rPr>
                <w:rFonts w:cs="Caladea;Cambria" w:ascii="Caladea;Cambria" w:hAnsi="Caladea;Cambria"/>
                <w:color w:val="000000"/>
                <w:sz w:val="22"/>
                <w:szCs w:val="22"/>
              </w:rPr>
              <w:t>2 puntos</w:t>
            </w:r>
          </w:p>
        </w:tc>
      </w:tr>
      <w:tr>
        <w:trPr/>
        <w:tc>
          <w:tcPr>
            <w:tcW w:w="7036" w:type="dxa"/>
            <w:tcBorders>
              <w:top w:val="single" w:sz="4" w:space="0" w:color="000000"/>
              <w:left w:val="single" w:sz="4" w:space="0" w:color="000000"/>
              <w:bottom w:val="single" w:sz="4" w:space="0" w:color="000000"/>
              <w:insideH w:val="single" w:sz="4" w:space="0" w:color="000000"/>
            </w:tcBorders>
            <w:shd w:fill="auto" w:val="clear"/>
            <w:tcMar>
              <w:top w:w="0" w:type="dxa"/>
              <w:bottom w:w="0" w:type="dxa"/>
              <w:right w:w="0" w:type="dxa"/>
            </w:tcMar>
          </w:tcPr>
          <w:p>
            <w:pPr>
              <w:pStyle w:val="Contenidodelatabla"/>
              <w:spacing w:before="0" w:after="300"/>
              <w:rPr>
                <w:rFonts w:ascii="Caladea;Cambria" w:hAnsi="Caladea;Cambria" w:cs="Caladea;Cambria"/>
                <w:color w:val="000000"/>
                <w:sz w:val="22"/>
                <w:szCs w:val="22"/>
              </w:rPr>
            </w:pPr>
            <w:r>
              <w:rPr>
                <w:rFonts w:cs="Caladea;Cambria" w:ascii="Caladea;Cambria" w:hAnsi="Caladea;Cambria"/>
                <w:color w:val="000000"/>
                <w:sz w:val="22"/>
                <w:szCs w:val="22"/>
              </w:rPr>
              <w:t>Renta Per Cápita superior a 2,1 IPREM e inferior o igual a 2,5 IPREM</w:t>
            </w:r>
          </w:p>
          <w:p>
            <w:pPr>
              <w:pStyle w:val="Contenidodelatabla"/>
              <w:spacing w:before="0" w:after="300"/>
              <w:rPr>
                <w:rFonts w:ascii="Caladea;Cambria" w:hAnsi="Caladea;Cambria" w:cs="Caladea;Cambria"/>
                <w:color w:val="000000"/>
                <w:sz w:val="22"/>
                <w:szCs w:val="22"/>
              </w:rPr>
            </w:pPr>
            <w:r>
              <w:rPr>
                <w:rFonts w:cs="Caladea;Cambria" w:ascii="Caladea;Cambria" w:hAnsi="Caladea;Cambria"/>
                <w:color w:val="000000"/>
                <w:sz w:val="22"/>
                <w:szCs w:val="22"/>
              </w:rPr>
              <w:t xml:space="preserve">(15.039,19€- 18.798,97€ ) </w:t>
            </w:r>
          </w:p>
        </w:tc>
        <w:tc>
          <w:tcPr>
            <w:tcW w:w="146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Mar>
              <w:top w:w="0" w:type="dxa"/>
              <w:bottom w:w="0" w:type="dxa"/>
              <w:right w:w="0" w:type="dxa"/>
            </w:tcMar>
          </w:tcPr>
          <w:p>
            <w:pPr>
              <w:pStyle w:val="Contenidodelatabla"/>
              <w:spacing w:before="0" w:after="300"/>
              <w:rPr>
                <w:rFonts w:ascii="Caladea;Cambria" w:hAnsi="Caladea;Cambria" w:cs="Caladea;Cambria"/>
                <w:color w:val="000000"/>
                <w:sz w:val="22"/>
                <w:szCs w:val="22"/>
              </w:rPr>
            </w:pPr>
            <w:r>
              <w:rPr>
                <w:rFonts w:cs="Caladea;Cambria" w:ascii="Caladea;Cambria" w:hAnsi="Caladea;Cambria"/>
                <w:color w:val="000000"/>
                <w:sz w:val="22"/>
                <w:szCs w:val="22"/>
              </w:rPr>
              <w:t>1 punto</w:t>
            </w:r>
          </w:p>
        </w:tc>
      </w:tr>
    </w:tbl>
    <w:p>
      <w:pPr>
        <w:pStyle w:val="Cuerpodetexto"/>
        <w:spacing w:lineRule="auto" w:line="276" w:before="0" w:after="0"/>
        <w:jc w:val="both"/>
        <w:rPr>
          <w:rFonts w:ascii="Caladea;Cambria" w:hAnsi="Caladea;Cambria" w:cs="Caladea;Cambria"/>
          <w:sz w:val="22"/>
          <w:szCs w:val="22"/>
        </w:rPr>
      </w:pPr>
      <w:r>
        <w:rPr>
          <w:rFonts w:cs="Caladea;Cambria" w:ascii="Caladea;Cambria" w:hAnsi="Caladea;Cambria"/>
          <w:sz w:val="22"/>
          <w:szCs w:val="22"/>
        </w:rPr>
      </w:r>
    </w:p>
    <w:p>
      <w:pPr>
        <w:pStyle w:val="Cuerpodetexto"/>
        <w:widowControl/>
        <w:numPr>
          <w:ilvl w:val="1"/>
          <w:numId w:val="3"/>
        </w:numPr>
        <w:spacing w:lineRule="auto" w:line="276" w:before="0" w:after="0"/>
        <w:jc w:val="both"/>
        <w:rPr>
          <w:rFonts w:ascii="Caladea;Cambria" w:hAnsi="Caladea;Cambria" w:cs="Caladea;Cambria"/>
          <w:color w:val="000000"/>
          <w:sz w:val="22"/>
          <w:szCs w:val="22"/>
        </w:rPr>
      </w:pPr>
      <w:r>
        <w:rPr>
          <w:rFonts w:cs="Caladea;Cambria" w:ascii="Caladea;Cambria" w:hAnsi="Caladea;Cambria"/>
          <w:color w:val="000000"/>
          <w:sz w:val="22"/>
          <w:szCs w:val="22"/>
        </w:rPr>
        <w:t>Se computará el IPREM atendiendo a 14 pagas anuales.</w:t>
      </w:r>
    </w:p>
    <w:p>
      <w:pPr>
        <w:pStyle w:val="Cuerpodetexto"/>
        <w:spacing w:lineRule="auto" w:line="276" w:before="0" w:after="0"/>
        <w:jc w:val="both"/>
        <w:rPr>
          <w:rFonts w:ascii="Caladea;Cambria" w:hAnsi="Caladea;Cambria" w:cs="Caladea;Cambria"/>
          <w:color w:val="FF0000"/>
          <w:sz w:val="22"/>
          <w:szCs w:val="22"/>
        </w:rPr>
      </w:pPr>
      <w:r>
        <w:rPr>
          <w:rFonts w:cs="Caladea;Cambria" w:ascii="Caladea;Cambria" w:hAnsi="Caladea;Cambria"/>
          <w:color w:val="FF0000"/>
          <w:sz w:val="22"/>
          <w:szCs w:val="22"/>
        </w:rPr>
      </w:r>
    </w:p>
    <w:p>
      <w:pPr>
        <w:pStyle w:val="Cuerpodetexto"/>
        <w:spacing w:lineRule="auto" w:line="276" w:before="0" w:after="0"/>
        <w:jc w:val="both"/>
        <w:rPr>
          <w:rFonts w:ascii="Caladea;Cambria" w:hAnsi="Caladea;Cambria" w:cs="Caladea;Cambria"/>
          <w:b/>
          <w:b/>
          <w:sz w:val="22"/>
          <w:szCs w:val="22"/>
        </w:rPr>
      </w:pPr>
      <w:r>
        <w:rPr>
          <w:rFonts w:cs="Caladea;Cambria" w:ascii="Caladea;Cambria" w:hAnsi="Caladea;Cambria"/>
          <w:b/>
          <w:sz w:val="22"/>
          <w:szCs w:val="22"/>
        </w:rPr>
        <w:t xml:space="preserve">DÉCIMO TERCERA.- PUBLICIDAD </w:t>
      </w:r>
    </w:p>
    <w:p>
      <w:pPr>
        <w:pStyle w:val="Cuerpodetexto"/>
        <w:spacing w:lineRule="auto" w:line="276" w:before="0" w:after="0"/>
        <w:jc w:val="both"/>
        <w:rPr>
          <w:rFonts w:ascii="Caladea;Cambria" w:hAnsi="Caladea;Cambria" w:cs="Caladea;Cambria"/>
          <w:sz w:val="22"/>
          <w:szCs w:val="22"/>
        </w:rPr>
      </w:pPr>
      <w:r>
        <w:rPr>
          <w:rFonts w:cs="Caladea;Cambria" w:ascii="Caladea;Cambria" w:hAnsi="Caladea;Cambria"/>
          <w:sz w:val="22"/>
          <w:szCs w:val="22"/>
        </w:rPr>
      </w:r>
    </w:p>
    <w:p>
      <w:pPr>
        <w:pStyle w:val="Cuerpodetexto"/>
        <w:spacing w:lineRule="auto" w:line="276" w:before="0" w:after="0"/>
        <w:jc w:val="both"/>
        <w:rPr>
          <w:rFonts w:ascii="Caladea;Cambria" w:hAnsi="Caladea;Cambria" w:cs="Caladea;Cambria"/>
          <w:sz w:val="22"/>
          <w:szCs w:val="22"/>
        </w:rPr>
      </w:pPr>
      <w:r>
        <w:rPr>
          <w:rFonts w:cs="Caladea;Cambria" w:ascii="Caladea;Cambria" w:hAnsi="Caladea;Cambria"/>
          <w:sz w:val="22"/>
          <w:szCs w:val="22"/>
        </w:rPr>
        <w:t>Las subvenciones concedidas atendiendo a la naturaleza de las ayudas objeto de las presentes bases, se remitirá a la publicación en el BDNS, con la salvaguarda de que la publicación de dichos datos pueden ser contrarios a lo establecido en Ley Orgánica 1/1982, de 5 de mayo con respecto al honor, la intimidad personal y familiar de las personas beneficiarias de dichas prestaciones. Así como lo que establece la Ley Orgánica 15/1999 de 13 de diciembre, de protección de datos de carácter personal.</w:t>
      </w:r>
    </w:p>
    <w:p>
      <w:pPr>
        <w:pStyle w:val="Cuerpodetexto"/>
        <w:spacing w:lineRule="auto" w:line="276" w:before="0" w:after="0"/>
        <w:jc w:val="both"/>
        <w:rPr>
          <w:rFonts w:ascii="Caladea;Cambria" w:hAnsi="Caladea;Cambria" w:cs="Caladea;Cambria"/>
          <w:sz w:val="22"/>
          <w:szCs w:val="22"/>
        </w:rPr>
      </w:pPr>
      <w:r>
        <w:rPr>
          <w:rFonts w:cs="Caladea;Cambria" w:ascii="Caladea;Cambria" w:hAnsi="Caladea;Cambria"/>
          <w:sz w:val="22"/>
          <w:szCs w:val="22"/>
        </w:rPr>
      </w:r>
    </w:p>
    <w:p>
      <w:pPr>
        <w:pStyle w:val="Cuerpodetexto"/>
        <w:spacing w:lineRule="auto" w:line="276" w:before="0" w:after="0"/>
        <w:jc w:val="both"/>
        <w:rPr>
          <w:rFonts w:ascii="Caladea;Cambria" w:hAnsi="Caladea;Cambria" w:cs="Caladea;Cambria"/>
          <w:sz w:val="22"/>
          <w:szCs w:val="22"/>
        </w:rPr>
      </w:pPr>
      <w:r>
        <w:rPr>
          <w:rFonts w:cs="Caladea;Cambria" w:ascii="Caladea;Cambria" w:hAnsi="Caladea;Cambria"/>
          <w:sz w:val="22"/>
          <w:szCs w:val="22"/>
        </w:rPr>
      </w:r>
    </w:p>
    <w:p>
      <w:pPr>
        <w:pStyle w:val="Cuerpodetexto"/>
        <w:spacing w:lineRule="auto" w:line="276" w:before="0" w:after="0"/>
        <w:jc w:val="both"/>
        <w:rPr>
          <w:rFonts w:ascii="Caladea;Cambria" w:hAnsi="Caladea;Cambria" w:cs="Caladea;Cambria"/>
          <w:b/>
          <w:b/>
          <w:sz w:val="22"/>
          <w:szCs w:val="22"/>
        </w:rPr>
      </w:pPr>
      <w:r>
        <w:rPr>
          <w:rFonts w:cs="Caladea;Cambria" w:ascii="Caladea;Cambria" w:hAnsi="Caladea;Cambria"/>
          <w:b/>
          <w:sz w:val="22"/>
          <w:szCs w:val="22"/>
        </w:rPr>
        <w:t xml:space="preserve">DÉCIMO CUARTA.- RÉGIMEN DE PAGOS </w:t>
      </w:r>
    </w:p>
    <w:p>
      <w:pPr>
        <w:pStyle w:val="Cuerpodetexto"/>
        <w:spacing w:lineRule="auto" w:line="276" w:before="0" w:after="0"/>
        <w:jc w:val="both"/>
        <w:rPr>
          <w:rFonts w:ascii="Caladea;Cambria" w:hAnsi="Caladea;Cambria" w:cs="Caladea;Cambria"/>
          <w:sz w:val="22"/>
          <w:szCs w:val="22"/>
        </w:rPr>
      </w:pPr>
      <w:r>
        <w:rPr>
          <w:rFonts w:cs="Caladea;Cambria" w:ascii="Caladea;Cambria" w:hAnsi="Caladea;Cambria"/>
          <w:sz w:val="22"/>
          <w:szCs w:val="22"/>
        </w:rPr>
      </w:r>
    </w:p>
    <w:p>
      <w:pPr>
        <w:pStyle w:val="Normal"/>
        <w:jc w:val="both"/>
        <w:rPr>
          <w:rFonts w:ascii="Caladea;Cambria" w:hAnsi="Caladea;Cambria" w:cs="Caladea;Cambria"/>
          <w:sz w:val="22"/>
          <w:szCs w:val="22"/>
          <w:lang w:bidi="zxx"/>
        </w:rPr>
      </w:pPr>
      <w:r>
        <w:rPr>
          <w:rFonts w:cs="Caladea;Cambria" w:ascii="Caladea;Cambria" w:hAnsi="Caladea;Cambria"/>
          <w:sz w:val="22"/>
          <w:szCs w:val="22"/>
          <w:lang w:bidi="zxx"/>
        </w:rPr>
      </w:r>
    </w:p>
    <w:p>
      <w:pPr>
        <w:pStyle w:val="Normal"/>
        <w:jc w:val="both"/>
        <w:rPr>
          <w:rFonts w:ascii="Caladea;Cambria" w:hAnsi="Caladea;Cambria" w:cs="Caladea;Cambria"/>
          <w:lang w:bidi="zxx"/>
        </w:rPr>
      </w:pPr>
      <w:r>
        <w:rPr>
          <w:rFonts w:cs="Caladea;Cambria" w:ascii="Caladea;Cambria" w:hAnsi="Caladea;Cambria"/>
          <w:lang w:bidi="zxx"/>
        </w:rPr>
        <w:t xml:space="preserve">1. El pago de la ayuda se realizará en un plazo máximo de 1 mes desde la notificación de la resolución definitiva de ésta. </w:t>
      </w:r>
    </w:p>
    <w:p>
      <w:pPr>
        <w:pStyle w:val="Normal"/>
        <w:spacing w:lineRule="auto" w:line="276" w:before="0" w:after="0"/>
        <w:jc w:val="both"/>
        <w:rPr>
          <w:rFonts w:ascii="Caladea;Cambria" w:hAnsi="Caladea;Cambria" w:cs="Caladea;Cambria"/>
          <w:sz w:val="22"/>
          <w:szCs w:val="22"/>
          <w:lang w:bidi="zxx"/>
        </w:rPr>
      </w:pPr>
      <w:r>
        <w:rPr>
          <w:rFonts w:cs="Caladea;Cambria" w:ascii="Caladea;Cambria" w:hAnsi="Caladea;Cambria"/>
          <w:sz w:val="22"/>
          <w:szCs w:val="22"/>
          <w:lang w:bidi="zxx"/>
        </w:rPr>
        <w:t xml:space="preserve">Las ayudas se pagarán mediante transferencia bancaria al/la beneficiario/a y es obligatorio la presentación de la ficha de mantenimiento de terceros por éste/a. En caso de menores de edad, se realizará a uno de sus progenitores o tutor/a. El vencimiento del plazo máximo sin haberse notificado la resolución legitima a los interesados para entender desestimada por silencio administrativo la solicitud de concesión de la subvención. </w:t>
      </w:r>
    </w:p>
    <w:p>
      <w:pPr>
        <w:pStyle w:val="Cuerpodetexto"/>
        <w:spacing w:lineRule="auto" w:line="276" w:before="0" w:after="0"/>
        <w:jc w:val="both"/>
        <w:rPr>
          <w:rFonts w:ascii="Caladea;Cambria" w:hAnsi="Caladea;Cambria" w:cs="Caladea;Cambria"/>
          <w:sz w:val="22"/>
          <w:szCs w:val="22"/>
        </w:rPr>
      </w:pPr>
      <w:r>
        <w:rPr>
          <w:rFonts w:cs="Caladea;Cambria" w:ascii="Caladea;Cambria" w:hAnsi="Caladea;Cambria"/>
          <w:sz w:val="22"/>
          <w:szCs w:val="22"/>
        </w:rPr>
      </w:r>
    </w:p>
    <w:p>
      <w:pPr>
        <w:pStyle w:val="Cuerpodetexto"/>
        <w:spacing w:lineRule="auto" w:line="276" w:before="0" w:after="0"/>
        <w:jc w:val="both"/>
        <w:rPr>
          <w:rFonts w:ascii="Caladea;Cambria" w:hAnsi="Caladea;Cambria" w:cs="Caladea;Cambria"/>
          <w:sz w:val="22"/>
          <w:szCs w:val="22"/>
        </w:rPr>
      </w:pPr>
      <w:r>
        <w:rPr>
          <w:rFonts w:cs="Caladea;Cambria" w:ascii="Caladea;Cambria" w:hAnsi="Caladea;Cambria"/>
          <w:sz w:val="22"/>
          <w:szCs w:val="22"/>
        </w:rPr>
      </w:r>
    </w:p>
    <w:p>
      <w:pPr>
        <w:pStyle w:val="Cuerpodetexto"/>
        <w:spacing w:lineRule="auto" w:line="276" w:before="0" w:after="0"/>
        <w:jc w:val="both"/>
        <w:rPr>
          <w:rFonts w:ascii="Caladea;Cambria" w:hAnsi="Caladea;Cambria" w:cs="Caladea;Cambria"/>
          <w:b/>
          <w:b/>
          <w:sz w:val="22"/>
          <w:szCs w:val="22"/>
        </w:rPr>
      </w:pPr>
      <w:r>
        <w:rPr>
          <w:rFonts w:cs="Caladea;Cambria" w:ascii="Caladea;Cambria" w:hAnsi="Caladea;Cambria"/>
          <w:b/>
          <w:sz w:val="22"/>
          <w:szCs w:val="22"/>
        </w:rPr>
        <w:t xml:space="preserve">DÉCIMO QUINTA.- RECURSOS </w:t>
      </w:r>
    </w:p>
    <w:p>
      <w:pPr>
        <w:pStyle w:val="Cuerpodetexto"/>
        <w:spacing w:lineRule="auto" w:line="276" w:before="0" w:after="0"/>
        <w:jc w:val="both"/>
        <w:rPr>
          <w:rFonts w:ascii="Caladea;Cambria" w:hAnsi="Caladea;Cambria" w:cs="Caladea;Cambria"/>
          <w:sz w:val="22"/>
          <w:szCs w:val="22"/>
        </w:rPr>
      </w:pPr>
      <w:r>
        <w:rPr>
          <w:rFonts w:cs="Caladea;Cambria" w:ascii="Caladea;Cambria" w:hAnsi="Caladea;Cambria"/>
          <w:sz w:val="22"/>
          <w:szCs w:val="22"/>
        </w:rPr>
      </w:r>
    </w:p>
    <w:p>
      <w:pPr>
        <w:pStyle w:val="Cuerpodetexto"/>
        <w:spacing w:lineRule="auto" w:line="276" w:before="0" w:after="0"/>
        <w:jc w:val="both"/>
        <w:rPr>
          <w:rFonts w:ascii="Caladea;Cambria" w:hAnsi="Caladea;Cambria" w:cs="Caladea;Cambria"/>
          <w:sz w:val="22"/>
          <w:szCs w:val="22"/>
        </w:rPr>
      </w:pPr>
      <w:r>
        <w:rPr>
          <w:rFonts w:cs="Caladea;Cambria" w:ascii="Caladea;Cambria" w:hAnsi="Caladea;Cambria"/>
          <w:sz w:val="22"/>
          <w:szCs w:val="22"/>
        </w:rPr>
        <w:t xml:space="preserve">Contra la resolución, que pone fin a la vía administrativa, y de conformidad con lo dispuesto en los artículos 123 y 124 de la Ley 39/2015, de 1 de octubre, y 8, 45 y 46 de la Ley 29/1998, de 13 de julio, se podrá interponer uno de los siguientes recursos: </w:t>
      </w:r>
    </w:p>
    <w:p>
      <w:pPr>
        <w:pStyle w:val="Cuerpodetexto"/>
        <w:spacing w:lineRule="auto" w:line="276" w:before="0" w:after="0"/>
        <w:jc w:val="both"/>
        <w:rPr>
          <w:rFonts w:ascii="Caladea;Cambria" w:hAnsi="Caladea;Cambria" w:cs="Caladea;Cambria"/>
          <w:sz w:val="22"/>
          <w:szCs w:val="22"/>
        </w:rPr>
      </w:pPr>
      <w:r>
        <w:rPr>
          <w:rFonts w:cs="Caladea;Cambria" w:ascii="Caladea;Cambria" w:hAnsi="Caladea;Cambria"/>
          <w:sz w:val="22"/>
          <w:szCs w:val="22"/>
        </w:rPr>
        <w:t xml:space="preserve">a. Con carácter potestativo, recurso de reposición ante el mismo órgano que dictó el acto recurrido (salvo que se trate de un acto dictado por delegación en cuyo caso corresponderá la resolución al órgano delegante), en el plazo de un mes, a contar desde el día siguiente al de la recepción de esta notificación. La interposición del recurso, excepto en los casos en que una disposición establezca lo contrario, no suspenderá la ejecución del acto impugnado, de conformidad con lo dispuesto en el artículo 117 de la Ley 39/2015, de 1 de octubre. Si transcurriese un mes desde el día siguiente al de la interposición del recurso de reposición sin que éste haya sido resuelto, podrá entender que ha sido desestimado e interponer recurso contencioso-administrativo ante el Juzgado de lo Contencioso Administrativo de Valencia, en el plazo de seis meses, a contar desde el día siguiente al de la desestimación presunta. </w:t>
      </w:r>
    </w:p>
    <w:p>
      <w:pPr>
        <w:pStyle w:val="Cuerpodetexto"/>
        <w:spacing w:lineRule="auto" w:line="276" w:before="0" w:after="0"/>
        <w:jc w:val="both"/>
        <w:rPr>
          <w:rFonts w:ascii="Caladea;Cambria" w:hAnsi="Caladea;Cambria" w:cs="Caladea;Cambria"/>
          <w:sz w:val="22"/>
          <w:szCs w:val="22"/>
        </w:rPr>
      </w:pPr>
      <w:r>
        <w:rPr>
          <w:rFonts w:cs="Caladea;Cambria" w:ascii="Caladea;Cambria" w:hAnsi="Caladea;Cambria"/>
          <w:sz w:val="22"/>
          <w:szCs w:val="22"/>
        </w:rPr>
        <w:t>b. Recurso contencioso-administrativo ante el Juzgado de lo Contencioso Administrativo de Valencia, dentro del plazo de dos meses contados desde el día siguiente al de la recepción de esta notificación. En caso de optar por el recurso potestativo de reposición no se podrá interponer el recurso contencioso-administrativo hasta que aquél sea resuelto expresamente o se haya producido su desestimación por silencio administrativo. Todo ello sin perjuicio de cualquier otro recurso o acción que se estime procedente.</w:t>
      </w:r>
    </w:p>
    <w:p>
      <w:pPr>
        <w:pStyle w:val="Cuerpodetexto"/>
        <w:spacing w:lineRule="auto" w:line="276" w:before="0" w:after="0"/>
        <w:jc w:val="both"/>
        <w:rPr>
          <w:rFonts w:ascii="Caladea;Cambria" w:hAnsi="Caladea;Cambria" w:cs="Caladea;Cambria"/>
          <w:sz w:val="22"/>
          <w:szCs w:val="22"/>
        </w:rPr>
      </w:pPr>
      <w:r>
        <w:rPr>
          <w:rFonts w:cs="Caladea;Cambria" w:ascii="Caladea;Cambria" w:hAnsi="Caladea;Cambria"/>
          <w:sz w:val="22"/>
          <w:szCs w:val="22"/>
        </w:rPr>
      </w:r>
    </w:p>
    <w:p>
      <w:pPr>
        <w:pStyle w:val="Cuerpodetexto"/>
        <w:spacing w:lineRule="auto" w:line="276" w:before="0" w:after="0"/>
        <w:jc w:val="both"/>
        <w:rPr>
          <w:rFonts w:ascii="Caladea;Cambria" w:hAnsi="Caladea;Cambria" w:cs="Caladea;Cambria"/>
          <w:sz w:val="22"/>
          <w:szCs w:val="22"/>
        </w:rPr>
      </w:pPr>
      <w:r>
        <w:rPr>
          <w:rFonts w:cs="Caladea;Cambria" w:ascii="Caladea;Cambria" w:hAnsi="Caladea;Cambria"/>
          <w:sz w:val="22"/>
          <w:szCs w:val="22"/>
        </w:rPr>
      </w:r>
    </w:p>
    <w:p>
      <w:pPr>
        <w:pStyle w:val="Cuerpodetexto"/>
        <w:spacing w:lineRule="auto" w:line="276" w:before="0" w:after="0"/>
        <w:jc w:val="both"/>
        <w:rPr/>
      </w:pPr>
      <w:r>
        <w:rPr>
          <w:rFonts w:cs="Caladea;Cambria" w:ascii="Caladea;Cambria" w:hAnsi="Caladea;Cambria"/>
          <w:b/>
          <w:sz w:val="22"/>
          <w:szCs w:val="22"/>
        </w:rPr>
        <w:t>DÉCIMO SEXTA.- NORMATIVA APLICABLE</w:t>
      </w:r>
      <w:r>
        <w:rPr>
          <w:rFonts w:cs="Caladea;Cambria" w:ascii="Caladea;Cambria" w:hAnsi="Caladea;Cambria"/>
          <w:sz w:val="22"/>
          <w:szCs w:val="22"/>
        </w:rPr>
        <w:t xml:space="preserve"> </w:t>
      </w:r>
    </w:p>
    <w:p>
      <w:pPr>
        <w:pStyle w:val="Cuerpodetexto"/>
        <w:spacing w:lineRule="auto" w:line="276" w:before="0" w:after="0"/>
        <w:jc w:val="both"/>
        <w:rPr>
          <w:rFonts w:ascii="Caladea;Cambria" w:hAnsi="Caladea;Cambria" w:cs="Caladea;Cambria"/>
          <w:sz w:val="22"/>
          <w:szCs w:val="22"/>
        </w:rPr>
      </w:pPr>
      <w:r>
        <w:rPr>
          <w:rFonts w:cs="Caladea;Cambria" w:ascii="Caladea;Cambria" w:hAnsi="Caladea;Cambria"/>
          <w:sz w:val="22"/>
          <w:szCs w:val="22"/>
        </w:rPr>
      </w:r>
    </w:p>
    <w:p>
      <w:pPr>
        <w:pStyle w:val="Cuerpodetexto"/>
        <w:spacing w:lineRule="auto" w:line="276" w:before="0" w:after="0"/>
        <w:jc w:val="both"/>
        <w:rPr>
          <w:rFonts w:ascii="Caladea;Cambria" w:hAnsi="Caladea;Cambria" w:cs="Caladea;Cambria"/>
          <w:sz w:val="22"/>
          <w:szCs w:val="22"/>
        </w:rPr>
      </w:pPr>
      <w:r>
        <w:rPr>
          <w:rFonts w:cs="Caladea;Cambria" w:ascii="Caladea;Cambria" w:hAnsi="Caladea;Cambria"/>
          <w:sz w:val="22"/>
          <w:szCs w:val="22"/>
        </w:rPr>
        <w:t xml:space="preserve">1. Las presentes Bases se regirán por lo dispuesto en la siguiente normativa: </w:t>
      </w:r>
    </w:p>
    <w:p>
      <w:pPr>
        <w:pStyle w:val="Cuerpodetexto"/>
        <w:spacing w:lineRule="auto" w:line="276" w:before="0" w:after="0"/>
        <w:jc w:val="both"/>
        <w:rPr>
          <w:rFonts w:ascii="Caladea;Cambria" w:hAnsi="Caladea;Cambria" w:cs="Caladea;Cambria"/>
          <w:sz w:val="22"/>
          <w:szCs w:val="22"/>
        </w:rPr>
      </w:pPr>
      <w:r>
        <w:rPr>
          <w:rFonts w:cs="Caladea;Cambria" w:ascii="Caladea;Cambria" w:hAnsi="Caladea;Cambria"/>
          <w:sz w:val="22"/>
          <w:szCs w:val="22"/>
        </w:rPr>
        <w:t>- Ley 3/2019, de 18 de febrero, de la Generalitat, de Servicios Sociales Inclusivos de la Comunitat Valenciana.</w:t>
      </w:r>
    </w:p>
    <w:p>
      <w:pPr>
        <w:pStyle w:val="Cuerpodetexto"/>
        <w:spacing w:lineRule="auto" w:line="276" w:before="0" w:after="0"/>
        <w:jc w:val="both"/>
        <w:rPr>
          <w:rFonts w:ascii="Caladea;Cambria" w:hAnsi="Caladea;Cambria" w:cs="Caladea;Cambria"/>
          <w:sz w:val="22"/>
          <w:szCs w:val="22"/>
        </w:rPr>
      </w:pPr>
      <w:r>
        <w:rPr>
          <w:rFonts w:cs="Caladea;Cambria" w:ascii="Caladea;Cambria" w:hAnsi="Caladea;Cambria"/>
          <w:sz w:val="22"/>
          <w:szCs w:val="22"/>
        </w:rPr>
        <w:t xml:space="preserve">- Ley 38/2003, de 17 de noviembre, General de Subvenciones. </w:t>
      </w:r>
    </w:p>
    <w:p>
      <w:pPr>
        <w:pStyle w:val="Cuerpodetexto"/>
        <w:spacing w:lineRule="auto" w:line="276" w:before="0" w:after="0"/>
        <w:jc w:val="both"/>
        <w:rPr>
          <w:rFonts w:ascii="Caladea;Cambria" w:hAnsi="Caladea;Cambria" w:cs="Caladea;Cambria"/>
          <w:sz w:val="22"/>
          <w:szCs w:val="22"/>
        </w:rPr>
      </w:pPr>
      <w:r>
        <w:rPr>
          <w:rFonts w:cs="Caladea;Cambria" w:ascii="Caladea;Cambria" w:hAnsi="Caladea;Cambria"/>
          <w:sz w:val="22"/>
          <w:szCs w:val="22"/>
        </w:rPr>
        <w:t xml:space="preserve">- Ley 39/2015, de 1 de octubre, del Procedimiento Administrativo Común de las Administraciones Públicas. </w:t>
      </w:r>
    </w:p>
    <w:p>
      <w:pPr>
        <w:pStyle w:val="Cuerpodetexto"/>
        <w:spacing w:lineRule="auto" w:line="276" w:before="0" w:after="0"/>
        <w:jc w:val="both"/>
        <w:rPr/>
      </w:pPr>
      <w:r>
        <w:rPr>
          <w:rFonts w:cs="Caladea;Cambria" w:ascii="Caladea;Cambria" w:hAnsi="Caladea;Cambria"/>
          <w:sz w:val="22"/>
          <w:szCs w:val="22"/>
        </w:rPr>
        <w:t>- Bases de ejecución del Presupuesto Ejercici</w:t>
      </w:r>
      <w:r>
        <w:rPr>
          <w:rFonts w:cs="Caladea;Cambria" w:ascii="Caladea;Cambria" w:hAnsi="Caladea;Cambria"/>
          <w:color w:val="000000"/>
          <w:sz w:val="22"/>
          <w:szCs w:val="22"/>
        </w:rPr>
        <w:t>o 2020</w:t>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bookmarkStart w:id="2" w:name="__DdeLink__4179_901425498"/>
      <w:bookmarkStart w:id="3" w:name="__DdeLink__4179_901425498"/>
      <w:bookmarkEnd w:id="3"/>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both"/>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center"/>
        <w:rPr>
          <w:rFonts w:ascii="Caladea;Cambria" w:hAnsi="Caladea;Cambria" w:cs="Caladea;Cambria"/>
          <w:sz w:val="22"/>
          <w:szCs w:val="22"/>
        </w:rPr>
      </w:pPr>
      <w:r>
        <w:rPr>
          <w:rFonts w:cs="Caladea;Cambria" w:ascii="Caladea;Cambria" w:hAnsi="Caladea;Cambria"/>
          <w:sz w:val="22"/>
          <w:szCs w:val="22"/>
        </w:rPr>
        <w:t>ANEJO I</w:t>
      </w:r>
    </w:p>
    <w:p>
      <w:pPr>
        <w:pStyle w:val="Cuerpodetexto"/>
        <w:spacing w:before="0" w:after="120"/>
        <w:jc w:val="center"/>
        <w:rPr>
          <w:rFonts w:ascii="Caladea;Cambria" w:hAnsi="Caladea;Cambria" w:cs="Caladea;Cambria"/>
          <w:sz w:val="22"/>
          <w:szCs w:val="22"/>
        </w:rPr>
      </w:pPr>
      <w:r>
        <w:rPr>
          <w:rFonts w:cs="Caladea;Cambria" w:ascii="Caladea;Cambria" w:hAnsi="Caladea;Cambria"/>
          <w:sz w:val="22"/>
          <w:szCs w:val="22"/>
        </w:rPr>
        <w:t>MODELO SOLICITUD</w:t>
      </w:r>
    </w:p>
    <w:p>
      <w:pPr>
        <w:pStyle w:val="Cuerpodetexto"/>
        <w:spacing w:before="0" w:after="120"/>
        <w:jc w:val="center"/>
        <w:rPr>
          <w:rFonts w:ascii="Caladea;Cambria" w:hAnsi="Caladea;Cambria" w:cs="Caladea;Cambria"/>
          <w:sz w:val="22"/>
          <w:szCs w:val="22"/>
        </w:rPr>
      </w:pPr>
      <w:r>
        <w:rPr>
          <w:rFonts w:cs="Caladea;Cambria" w:ascii="Caladea;Cambria" w:hAnsi="Caladea;Cambria"/>
          <w:sz w:val="22"/>
          <w:szCs w:val="22"/>
        </w:rPr>
        <w:drawing>
          <wp:anchor behindDoc="0" distT="0" distB="0" distL="0" distR="0" simplePos="0" locked="0" layoutInCell="1" allowOverlap="1" relativeHeight="15">
            <wp:simplePos x="0" y="0"/>
            <wp:positionH relativeFrom="column">
              <wp:align>center</wp:align>
            </wp:positionH>
            <wp:positionV relativeFrom="paragraph">
              <wp:posOffset>635</wp:posOffset>
            </wp:positionV>
            <wp:extent cx="5399405" cy="7793355"/>
            <wp:effectExtent l="0" t="0" r="0" b="0"/>
            <wp:wrapSquare wrapText="largest"/>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2"/>
                    <a:srcRect l="-3" t="-2" r="-3" b="-2"/>
                    <a:stretch>
                      <a:fillRect/>
                    </a:stretch>
                  </pic:blipFill>
                  <pic:spPr bwMode="auto">
                    <a:xfrm>
                      <a:off x="0" y="0"/>
                      <a:ext cx="5399405" cy="7793355"/>
                    </a:xfrm>
                    <a:prstGeom prst="rect">
                      <a:avLst/>
                    </a:prstGeom>
                  </pic:spPr>
                </pic:pic>
              </a:graphicData>
            </a:graphic>
          </wp:anchor>
        </w:drawing>
      </w:r>
    </w:p>
    <w:p>
      <w:pPr>
        <w:pStyle w:val="Cuerpodetexto"/>
        <w:spacing w:before="0" w:after="120"/>
        <w:jc w:val="center"/>
        <w:rPr>
          <w:rFonts w:ascii="Caladea;Cambria" w:hAnsi="Caladea;Cambria" w:cs="Caladea;Cambria"/>
          <w:sz w:val="22"/>
          <w:szCs w:val="22"/>
        </w:rPr>
      </w:pPr>
      <w:r>
        <w:rPr>
          <w:rFonts w:cs="Caladea;Cambria" w:ascii="Caladea;Cambria" w:hAnsi="Caladea;Cambria"/>
          <w:sz w:val="22"/>
          <w:szCs w:val="22"/>
        </w:rPr>
        <w:drawing>
          <wp:anchor behindDoc="0" distT="0" distB="0" distL="0" distR="0" simplePos="0" locked="0" layoutInCell="1" allowOverlap="1" relativeHeight="14">
            <wp:simplePos x="0" y="0"/>
            <wp:positionH relativeFrom="column">
              <wp:align>center</wp:align>
            </wp:positionH>
            <wp:positionV relativeFrom="paragraph">
              <wp:posOffset>635</wp:posOffset>
            </wp:positionV>
            <wp:extent cx="5399405" cy="7836535"/>
            <wp:effectExtent l="0" t="0" r="0" b="0"/>
            <wp:wrapSquare wrapText="largest"/>
            <wp:docPr id="2"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2" descr=""/>
                    <pic:cNvPicPr>
                      <a:picLocks noChangeAspect="1" noChangeArrowheads="1"/>
                    </pic:cNvPicPr>
                  </pic:nvPicPr>
                  <pic:blipFill>
                    <a:blip r:embed="rId3"/>
                    <a:srcRect l="-3" t="-2" r="-3" b="-2"/>
                    <a:stretch>
                      <a:fillRect/>
                    </a:stretch>
                  </pic:blipFill>
                  <pic:spPr bwMode="auto">
                    <a:xfrm>
                      <a:off x="0" y="0"/>
                      <a:ext cx="5399405" cy="7836535"/>
                    </a:xfrm>
                    <a:prstGeom prst="rect">
                      <a:avLst/>
                    </a:prstGeom>
                  </pic:spPr>
                </pic:pic>
              </a:graphicData>
            </a:graphic>
          </wp:anchor>
        </w:drawing>
      </w:r>
    </w:p>
    <w:p>
      <w:pPr>
        <w:pStyle w:val="Cuerpodetexto"/>
        <w:spacing w:before="0" w:after="120"/>
        <w:jc w:val="center"/>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center"/>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jc w:val="center"/>
        <w:rPr>
          <w:rFonts w:ascii="Caladea;Cambria" w:hAnsi="Caladea;Cambria" w:cs="Caladea;Cambria"/>
          <w:sz w:val="22"/>
          <w:szCs w:val="22"/>
        </w:rPr>
      </w:pPr>
      <w:r>
        <w:rPr>
          <w:rFonts w:cs="Caladea;Cambria" w:ascii="Caladea;Cambria" w:hAnsi="Caladea;Cambria"/>
          <w:sz w:val="22"/>
          <w:szCs w:val="22"/>
        </w:rPr>
      </w:r>
    </w:p>
    <w:p>
      <w:pPr>
        <w:pStyle w:val="Cuerpodetexto"/>
        <w:spacing w:before="0" w:after="120"/>
        <w:ind w:left="3790" w:hanging="0"/>
        <w:jc w:val="center"/>
        <w:rPr>
          <w:rFonts w:ascii="Caladea;Cambria" w:hAnsi="Caladea;Cambria" w:cs="Caladea;Cambria"/>
          <w:sz w:val="22"/>
          <w:szCs w:val="22"/>
        </w:rPr>
      </w:pPr>
      <w:r>
        <w:rPr>
          <w:rFonts w:cs="Caladea;Cambria" w:ascii="Caladea;Cambria" w:hAnsi="Caladea;Cambria"/>
          <w:sz w:val="22"/>
          <w:szCs w:val="22"/>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ind w:left="3790" w:hanging="0"/>
        <w:rPr>
          <w:rFonts w:ascii="Arial Narrow" w:hAnsi="Arial Narrow"/>
          <w:sz w:val="20"/>
        </w:rPr>
      </w:pPr>
      <w:r>
        <w:rPr>
          <w:rFonts w:ascii="Arial Narrow" w:hAnsi="Arial Narrow"/>
          <w:sz w:val="20"/>
        </w:rPr>
      </w:r>
    </w:p>
    <w:p>
      <w:pPr>
        <w:pStyle w:val="Cuerpodetexto"/>
        <w:rPr>
          <w:rFonts w:ascii="Arial Narrow" w:hAnsi="Arial Narrow"/>
          <w:sz w:val="20"/>
        </w:rPr>
      </w:pPr>
      <w:r>
        <w:rPr>
          <w:rFonts w:ascii="Arial Narrow" w:hAnsi="Arial Narrow"/>
          <w:sz w:val="20"/>
        </w:rPr>
      </w:r>
    </w:p>
    <w:p>
      <w:pPr>
        <w:pStyle w:val="Cuerpodetexto"/>
        <w:rPr>
          <w:rFonts w:ascii="Arial Narrow" w:hAnsi="Arial Narrow"/>
          <w:b/>
          <w:b/>
          <w:sz w:val="20"/>
        </w:rPr>
      </w:pPr>
      <w:r>
        <w:rPr>
          <w:rFonts w:ascii="Arial Narrow" w:hAnsi="Arial Narrow"/>
          <w:b/>
          <w:sz w:val="20"/>
        </w:rPr>
        <w:drawing>
          <wp:anchor behindDoc="0" distT="0" distB="0" distL="0" distR="0" simplePos="0" locked="0" layoutInCell="1" allowOverlap="1" relativeHeight="16">
            <wp:simplePos x="0" y="0"/>
            <wp:positionH relativeFrom="column">
              <wp:align>center</wp:align>
            </wp:positionH>
            <wp:positionV relativeFrom="paragraph">
              <wp:posOffset>635</wp:posOffset>
            </wp:positionV>
            <wp:extent cx="5399405" cy="7836535"/>
            <wp:effectExtent l="0" t="0" r="0" b="0"/>
            <wp:wrapSquare wrapText="largest"/>
            <wp:docPr id="3" name="Imagen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3" descr=""/>
                    <pic:cNvPicPr>
                      <a:picLocks noChangeAspect="1" noChangeArrowheads="1"/>
                    </pic:cNvPicPr>
                  </pic:nvPicPr>
                  <pic:blipFill>
                    <a:blip r:embed="rId4"/>
                    <a:srcRect l="-3" t="-2" r="-3" b="-2"/>
                    <a:stretch>
                      <a:fillRect/>
                    </a:stretch>
                  </pic:blipFill>
                  <pic:spPr bwMode="auto">
                    <a:xfrm>
                      <a:off x="0" y="0"/>
                      <a:ext cx="5399405" cy="7836535"/>
                    </a:xfrm>
                    <a:prstGeom prst="rect">
                      <a:avLst/>
                    </a:prstGeom>
                  </pic:spPr>
                </pic:pic>
              </a:graphicData>
            </a:graphic>
          </wp:anchor>
        </w:drawing>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rPr>
          <w:rFonts w:ascii="Arial Narrow" w:hAnsi="Arial Narrow"/>
          <w:b/>
          <w:b/>
          <w:sz w:val="20"/>
        </w:rPr>
      </w:pPr>
      <w:r>
        <w:rPr>
          <w:rFonts w:ascii="Arial Narrow" w:hAnsi="Arial Narrow"/>
          <w:b/>
          <w:sz w:val="20"/>
        </w:rPr>
      </w:r>
    </w:p>
    <w:p>
      <w:pPr>
        <w:pStyle w:val="Cuerpodetexto"/>
        <w:jc w:val="center"/>
        <w:rPr/>
      </w:pPr>
      <w:r>
        <w:rPr/>
      </w:r>
    </w:p>
    <w:p>
      <w:pPr>
        <w:pStyle w:val="Cuerpodetexto"/>
        <w:jc w:val="center"/>
        <w:rPr/>
      </w:pPr>
      <w:r>
        <w:rPr/>
        <w:t>ANEJO II</w:t>
      </w:r>
    </w:p>
    <w:p>
      <w:pPr>
        <w:pStyle w:val="Cuerpodetexto"/>
        <w:jc w:val="center"/>
        <w:rPr/>
      </w:pPr>
      <w:r>
        <w:rPr/>
      </w:r>
    </w:p>
    <w:p>
      <w:pPr>
        <w:pStyle w:val="Cuerpodetexto"/>
        <w:jc w:val="center"/>
        <w:rPr/>
      </w:pPr>
      <w:r>
        <w:rPr/>
        <w:t>MODELO MANTENIMIENTO DE TERCEROS</w:t>
      </w:r>
    </w:p>
    <w:p>
      <w:pPr>
        <w:pStyle w:val="Cuerpodetexto"/>
        <w:rPr>
          <w:rFonts w:ascii="Arial Narrow" w:hAnsi="Arial Narrow"/>
          <w:b/>
          <w:b/>
          <w:sz w:val="20"/>
        </w:rPr>
      </w:pPr>
      <w:r>
        <w:rPr>
          <w:rFonts w:ascii="Arial Narrow" w:hAnsi="Arial Narrow"/>
          <w:b/>
          <w:sz w:val="20"/>
        </w:rPr>
      </w:r>
    </w:p>
    <w:p>
      <w:pPr>
        <w:pStyle w:val="Cuerpodetexto"/>
        <w:spacing w:before="4" w:after="0"/>
        <w:rPr>
          <w:rFonts w:ascii="Arial Narrow" w:hAnsi="Arial Narrow"/>
          <w:b/>
          <w:b/>
          <w:sz w:val="16"/>
        </w:rPr>
      </w:pPr>
      <w:r>
        <w:rPr>
          <w:rFonts w:ascii="Arial Narrow" w:hAnsi="Arial Narrow"/>
          <w:b/>
          <w:sz w:val="16"/>
        </w:rPr>
      </w:r>
    </w:p>
    <w:tbl>
      <w:tblPr>
        <w:tblStyle w:val="TableNormal"/>
        <w:tblW w:w="9897" w:type="dxa"/>
        <w:jc w:val="left"/>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firstRow="1" w:noVBand="0" w:lastRow="1" w:firstColumn="1" w:lastColumn="1" w:noHBand="0" w:val="01e0"/>
      </w:tblPr>
      <w:tblGrid>
        <w:gridCol w:w="9897"/>
      </w:tblGrid>
      <w:tr>
        <w:trPr>
          <w:trHeight w:val="537" w:hRule="atLeast"/>
        </w:trPr>
        <w:tc>
          <w:tcPr>
            <w:tcW w:w="989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TableParagraph"/>
              <w:spacing w:lineRule="atLeast" w:line="270"/>
              <w:ind w:left="2088" w:hanging="1090"/>
              <w:rPr>
                <w:b/>
                <w:b/>
              </w:rPr>
            </w:pPr>
            <w:r>
              <w:rPr>
                <w:b/>
              </w:rPr>
              <w:t>AYUNTAMIENTO DE ALBALAT DELS SORELLS / AJUNTAMENT D’ALBALAT DELS SORELLS MANTENIMIENTO DE TERCEROS / MANTENIMENT DE TERCERS</w:t>
            </w:r>
          </w:p>
        </w:tc>
      </w:tr>
    </w:tbl>
    <w:p>
      <w:pPr>
        <w:pStyle w:val="Cuerpodetexto"/>
        <w:rPr>
          <w:rFonts w:ascii="Arial Narrow" w:hAnsi="Arial Narrow"/>
          <w:b/>
          <w:b/>
          <w:sz w:val="20"/>
        </w:rPr>
      </w:pPr>
      <w:r>
        <w:rPr>
          <w:rFonts w:ascii="Arial Narrow" w:hAnsi="Arial Narrow"/>
          <w:b/>
          <w:sz w:val="20"/>
        </w:rPr>
      </w:r>
    </w:p>
    <w:p>
      <w:pPr>
        <w:pStyle w:val="Cuerpodetexto"/>
        <w:spacing w:before="3" w:after="1"/>
        <w:rPr>
          <w:rFonts w:ascii="Arial Narrow" w:hAnsi="Arial Narrow"/>
          <w:b/>
          <w:b/>
        </w:rPr>
      </w:pPr>
      <w:r>
        <w:rPr>
          <w:rFonts w:ascii="Arial Narrow" w:hAnsi="Arial Narrow"/>
          <w:b/>
        </w:rPr>
      </w:r>
    </w:p>
    <w:tbl>
      <w:tblPr>
        <w:tblStyle w:val="TableNormal"/>
        <w:tblW w:w="9897" w:type="dxa"/>
        <w:jc w:val="left"/>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firstRow="1" w:noVBand="0" w:lastRow="1" w:firstColumn="1" w:lastColumn="1" w:noHBand="0" w:val="01e0"/>
      </w:tblPr>
      <w:tblGrid>
        <w:gridCol w:w="9897"/>
      </w:tblGrid>
      <w:tr>
        <w:trPr>
          <w:trHeight w:val="537" w:hRule="atLeast"/>
        </w:trPr>
        <w:tc>
          <w:tcPr>
            <w:tcW w:w="989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TableParagraph"/>
              <w:spacing w:before="1" w:after="0"/>
              <w:ind w:left="110" w:hanging="0"/>
              <w:rPr>
                <w:b/>
                <w:b/>
              </w:rPr>
            </w:pPr>
            <w:r>
              <w:rPr>
                <w:b/>
              </w:rPr>
              <w:t>DATOS PERSONALES / DADES PERSONALS:</w:t>
            </w:r>
          </w:p>
        </w:tc>
      </w:tr>
      <w:tr>
        <w:trPr>
          <w:trHeight w:val="537" w:hRule="atLeast"/>
        </w:trPr>
        <w:tc>
          <w:tcPr>
            <w:tcW w:w="989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TableParagraph"/>
              <w:spacing w:before="2" w:after="0"/>
              <w:ind w:left="110" w:hanging="0"/>
              <w:rPr>
                <w:b/>
                <w:b/>
              </w:rPr>
            </w:pPr>
            <w:r>
              <w:rPr>
                <w:b/>
              </w:rPr>
              <w:t>TITULAR:</w:t>
            </w:r>
          </w:p>
        </w:tc>
      </w:tr>
      <w:tr>
        <w:trPr>
          <w:trHeight w:val="537" w:hRule="atLeast"/>
        </w:trPr>
        <w:tc>
          <w:tcPr>
            <w:tcW w:w="989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TableParagraph"/>
              <w:spacing w:before="1" w:after="0"/>
              <w:ind w:left="110" w:hanging="0"/>
              <w:rPr>
                <w:b/>
                <w:b/>
              </w:rPr>
            </w:pPr>
            <w:r>
              <w:rPr>
                <w:b/>
              </w:rPr>
              <w:t>NIF:</w:t>
            </w:r>
          </w:p>
        </w:tc>
      </w:tr>
      <w:tr>
        <w:trPr>
          <w:trHeight w:val="537" w:hRule="atLeast"/>
        </w:trPr>
        <w:tc>
          <w:tcPr>
            <w:tcW w:w="989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TableParagraph"/>
              <w:spacing w:before="1" w:after="0"/>
              <w:ind w:left="110" w:hanging="0"/>
              <w:rPr>
                <w:b/>
                <w:b/>
              </w:rPr>
            </w:pPr>
            <w:r>
              <w:rPr>
                <w:b/>
              </w:rPr>
              <w:t>COMICILIO / ADREÇA:</w:t>
            </w:r>
          </w:p>
        </w:tc>
      </w:tr>
      <w:tr>
        <w:trPr>
          <w:trHeight w:val="537" w:hRule="atLeast"/>
        </w:trPr>
        <w:tc>
          <w:tcPr>
            <w:tcW w:w="989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TableParagraph"/>
              <w:spacing w:before="2" w:after="0"/>
              <w:ind w:left="110" w:hanging="0"/>
              <w:rPr>
                <w:b/>
                <w:b/>
              </w:rPr>
            </w:pPr>
            <w:r>
              <w:rPr>
                <w:b/>
              </w:rPr>
              <w:t>POBLACIÓN / POBLACIÓ:</w:t>
            </w:r>
          </w:p>
        </w:tc>
      </w:tr>
    </w:tbl>
    <w:p>
      <w:pPr>
        <w:pStyle w:val="Cuerpodetexto"/>
        <w:rPr>
          <w:rFonts w:ascii="Arial Narrow" w:hAnsi="Arial Narrow"/>
          <w:b/>
          <w:b/>
          <w:sz w:val="20"/>
        </w:rPr>
      </w:pPr>
      <w:r>
        <w:rPr>
          <w:rFonts w:ascii="Arial Narrow" w:hAnsi="Arial Narrow"/>
          <w:b/>
          <w:sz w:val="20"/>
        </w:rPr>
      </w:r>
    </w:p>
    <w:p>
      <w:pPr>
        <w:pStyle w:val="Cuerpodetexto"/>
        <w:spacing w:before="3" w:after="1"/>
        <w:rPr>
          <w:rFonts w:ascii="Arial Narrow" w:hAnsi="Arial Narrow"/>
          <w:b/>
          <w:b/>
        </w:rPr>
      </w:pPr>
      <w:r>
        <w:rPr>
          <w:rFonts w:ascii="Arial Narrow" w:hAnsi="Arial Narrow"/>
          <w:b/>
        </w:rPr>
      </w:r>
    </w:p>
    <w:tbl>
      <w:tblPr>
        <w:tblStyle w:val="TableNormal"/>
        <w:tblW w:w="9892" w:type="dxa"/>
        <w:jc w:val="left"/>
        <w:tblInd w:w="62" w:type="dxa"/>
        <w:tblBorders>
          <w:top w:val="single" w:sz="4" w:space="0" w:color="000000"/>
          <w:left w:val="single" w:sz="4" w:space="0" w:color="000000"/>
          <w:bottom w:val="single" w:sz="4" w:space="0" w:color="000000"/>
          <w:insideH w:val="single" w:sz="4" w:space="0" w:color="000000"/>
        </w:tblBorders>
        <w:tblCellMar>
          <w:top w:w="55" w:type="dxa"/>
          <w:left w:w="55" w:type="dxa"/>
          <w:bottom w:w="55" w:type="dxa"/>
          <w:right w:w="55" w:type="dxa"/>
        </w:tblCellMar>
        <w:tblLook w:firstRow="1" w:noVBand="0" w:lastRow="1" w:firstColumn="1" w:lastColumn="1" w:noHBand="0" w:val="01e0"/>
      </w:tblPr>
      <w:tblGrid>
        <w:gridCol w:w="9892"/>
      </w:tblGrid>
      <w:tr>
        <w:trPr>
          <w:trHeight w:val="537" w:hRule="atLeast"/>
        </w:trPr>
        <w:tc>
          <w:tcPr>
            <w:tcW w:w="9892" w:type="dxa"/>
            <w:tcBorders>
              <w:top w:val="single" w:sz="4" w:space="0" w:color="000000"/>
              <w:left w:val="single" w:sz="4" w:space="0" w:color="000000"/>
              <w:bottom w:val="single" w:sz="4" w:space="0" w:color="000000"/>
              <w:insideH w:val="single" w:sz="4" w:space="0" w:color="000000"/>
            </w:tcBorders>
            <w:shd w:fill="auto" w:val="clear"/>
          </w:tcPr>
          <w:p>
            <w:pPr>
              <w:pStyle w:val="TableParagraph"/>
              <w:spacing w:before="1" w:after="0"/>
              <w:ind w:left="110" w:hanging="0"/>
              <w:rPr>
                <w:b/>
                <w:b/>
              </w:rPr>
            </w:pPr>
            <w:r>
              <w:rPr>
                <w:rFonts w:ascii="Liberation Serif" w:hAnsi="Liberation Serif"/>
                <w:b/>
                <w:color w:val="000000"/>
                <w:sz w:val="24"/>
                <w:szCs w:val="24"/>
              </w:rPr>
              <w:t>DATOS BANCARIOS / DADES BANCARIES:</w:t>
            </w:r>
          </w:p>
        </w:tc>
      </w:tr>
      <w:tr>
        <w:trPr>
          <w:trHeight w:val="537" w:hRule="atLeast"/>
        </w:trPr>
        <w:tc>
          <w:tcPr>
            <w:tcW w:w="9892" w:type="dxa"/>
            <w:tcBorders>
              <w:top w:val="single" w:sz="4" w:space="0" w:color="000000"/>
              <w:left w:val="single" w:sz="4" w:space="0" w:color="000000"/>
              <w:bottom w:val="single" w:sz="4" w:space="0" w:color="000000"/>
              <w:insideH w:val="single" w:sz="4" w:space="0" w:color="000000"/>
            </w:tcBorders>
            <w:shd w:fill="auto" w:val="clear"/>
          </w:tcPr>
          <w:p>
            <w:pPr>
              <w:pStyle w:val="TableParagraph"/>
              <w:spacing w:before="2" w:after="0"/>
              <w:ind w:left="110" w:hanging="0"/>
              <w:rPr>
                <w:b/>
                <w:b/>
              </w:rPr>
            </w:pPr>
            <w:r>
              <w:rPr>
                <w:rFonts w:ascii="Liberation Serif" w:hAnsi="Liberation Serif"/>
                <w:b/>
                <w:color w:val="000000"/>
                <w:sz w:val="24"/>
                <w:szCs w:val="24"/>
              </w:rPr>
              <w:t>ENTIDAD FINANCIERA / ENTITAT FINANCIERA</w:t>
            </w:r>
          </w:p>
        </w:tc>
      </w:tr>
      <w:tr>
        <w:trPr>
          <w:trHeight w:val="537" w:hRule="atLeast"/>
        </w:trPr>
        <w:tc>
          <w:tcPr>
            <w:tcW w:w="9892" w:type="dxa"/>
            <w:tcBorders>
              <w:top w:val="single" w:sz="4" w:space="0" w:color="000000"/>
              <w:left w:val="single" w:sz="4" w:space="0" w:color="000000"/>
              <w:bottom w:val="single" w:sz="4" w:space="0" w:color="000000"/>
              <w:insideH w:val="single" w:sz="4" w:space="0" w:color="000000"/>
            </w:tcBorders>
            <w:shd w:fill="auto" w:val="clear"/>
          </w:tcPr>
          <w:p>
            <w:pPr>
              <w:pStyle w:val="TableParagraph"/>
              <w:spacing w:before="1" w:after="0"/>
              <w:ind w:left="110" w:hanging="0"/>
              <w:rPr>
                <w:b/>
                <w:b/>
              </w:rPr>
            </w:pPr>
            <w:r>
              <w:rPr>
                <w:rFonts w:ascii="Liberation Serif" w:hAnsi="Liberation Serif"/>
                <w:b/>
                <w:color w:val="000000"/>
                <w:sz w:val="24"/>
                <w:szCs w:val="24"/>
              </w:rPr>
              <w:t>SUCURSAL</w:t>
            </w:r>
          </w:p>
        </w:tc>
      </w:tr>
      <w:tr>
        <w:trPr>
          <w:trHeight w:val="1286" w:hRule="atLeast"/>
        </w:trPr>
        <w:tc>
          <w:tcPr>
            <w:tcW w:w="9892" w:type="dxa"/>
            <w:tcBorders>
              <w:top w:val="single" w:sz="4" w:space="0" w:color="000000"/>
              <w:left w:val="single" w:sz="4" w:space="0" w:color="000000"/>
              <w:bottom w:val="single" w:sz="4" w:space="0" w:color="000000"/>
              <w:insideH w:val="single" w:sz="4" w:space="0" w:color="000000"/>
            </w:tcBorders>
            <w:shd w:fill="auto" w:val="clear"/>
          </w:tcPr>
          <w:p>
            <w:pPr>
              <w:pStyle w:val="TableParagraph"/>
              <w:spacing w:before="1" w:after="0"/>
              <w:ind w:left="110" w:hanging="0"/>
              <w:rPr>
                <w:rFonts w:ascii="Liberation Serif" w:hAnsi="Liberation Serif"/>
                <w:color w:val="000000"/>
                <w:sz w:val="24"/>
                <w:szCs w:val="24"/>
              </w:rPr>
            </w:pPr>
            <w:r>
              <mc:AlternateContent>
                <mc:Choice Requires="wps">
                  <w:drawing>
                    <wp:anchor behindDoc="0" distT="0" distB="0" distL="114300" distR="114300" simplePos="0" locked="0" layoutInCell="1" allowOverlap="1" relativeHeight="2" wp14:anchorId="480A99AB">
                      <wp:simplePos x="0" y="0"/>
                      <wp:positionH relativeFrom="page">
                        <wp:posOffset>69850</wp:posOffset>
                      </wp:positionH>
                      <wp:positionV relativeFrom="page">
                        <wp:posOffset>242570</wp:posOffset>
                      </wp:positionV>
                      <wp:extent cx="6153785" cy="386715"/>
                      <wp:effectExtent l="0" t="0" r="1270" b="15240"/>
                      <wp:wrapNone/>
                      <wp:docPr id="4" name="Text Box 2"/>
                      <a:graphic xmlns:a="http://schemas.openxmlformats.org/drawingml/2006/main">
                        <a:graphicData uri="http://schemas.microsoft.com/office/word/2010/wordprocessingShape">
                          <wps:wsp>
                            <wps:cNvSpPr/>
                            <wps:spPr>
                              <a:xfrm>
                                <a:off x="0" y="0"/>
                                <a:ext cx="6153120" cy="385920"/>
                              </a:xfrm>
                              <a:prstGeom prst="rect">
                                <a:avLst/>
                              </a:prstGeom>
                              <a:noFill/>
                              <a:ln>
                                <a:noFill/>
                              </a:ln>
                            </wps:spPr>
                            <wps:style>
                              <a:lnRef idx="0"/>
                              <a:fillRef idx="0"/>
                              <a:effectRef idx="0"/>
                              <a:fontRef idx="minor"/>
                            </wps:style>
                            <wps:txbx>
                              <w:txbxContent>
                                <w:p>
                                  <w:pPr>
                                    <w:pStyle w:val="Cuerpodetexto"/>
                                    <w:rPr/>
                                  </w:pPr>
                                  <w:r>
                                    <w:rPr/>
                                  </w:r>
                                </w:p>
                              </w:txbxContent>
                            </wps:txbx>
                            <wps:bodyPr lIns="0" rIns="0" tIns="0" bIns="0">
                              <a:noAutofit/>
                            </wps:bodyPr>
                          </wps:wsp>
                        </a:graphicData>
                      </a:graphic>
                    </wp:anchor>
                  </w:drawing>
                </mc:Choice>
                <mc:Fallback>
                  <w:pict>
                    <v:rect id="shape_0" ID="Text Box 2" stroked="f" style="position:absolute;margin-left:5.5pt;margin-top:19.1pt;width:484.45pt;height:30.35pt;mso-position-horizontal-relative:page;mso-position-vertical-relative:page" wp14:anchorId="480A99AB">
                      <w10:wrap type="none"/>
                      <v:fill o:detectmouseclick="t" on="false"/>
                      <v:stroke color="#3465a4" joinstyle="round" endcap="flat"/>
                      <v:textbox>
                        <w:txbxContent>
                          <w:p>
                            <w:pPr>
                              <w:pStyle w:val="Cuerpodetexto"/>
                              <w:rPr/>
                            </w:pPr>
                            <w:r>
                              <w:rPr/>
                            </w:r>
                          </w:p>
                        </w:txbxContent>
                      </v:textbox>
                    </v:rect>
                  </w:pict>
                </mc:Fallback>
              </mc:AlternateContent>
            </w:r>
            <w:r>
              <w:rPr>
                <w:rFonts w:ascii="Liberation Serif" w:hAnsi="Liberation Serif"/>
                <w:b/>
                <w:color w:val="000000"/>
                <w:sz w:val="24"/>
                <w:szCs w:val="24"/>
              </w:rPr>
              <w:t>CÓDIGO CUENTA / CODI COMPTE</w:t>
            </w:r>
          </w:p>
          <w:p>
            <w:pPr>
              <w:pStyle w:val="TableParagraph"/>
              <w:spacing w:before="1" w:after="0"/>
              <w:ind w:left="110" w:hanging="0"/>
              <w:rPr>
                <w:b/>
                <w:b/>
              </w:rPr>
            </w:pPr>
            <w:r>
              <w:rPr>
                <w:b/>
              </w:rPr>
            </w:r>
          </w:p>
          <w:tbl>
            <w:tblPr>
              <w:tblW w:w="9782" w:type="dxa"/>
              <w:jc w:val="left"/>
              <w:tblInd w:w="0" w:type="dxa"/>
              <w:tblBorders>
                <w:top w:val="single" w:sz="4" w:space="0" w:color="000000"/>
                <w:left w:val="single" w:sz="4" w:space="0" w:color="000000"/>
                <w:bottom w:val="single" w:sz="4" w:space="0" w:color="000000"/>
                <w:insideH w:val="single" w:sz="4" w:space="0" w:color="000000"/>
              </w:tblBorders>
              <w:tblCellMar>
                <w:top w:w="55" w:type="dxa"/>
                <w:left w:w="55" w:type="dxa"/>
                <w:bottom w:w="55" w:type="dxa"/>
                <w:right w:w="55" w:type="dxa"/>
              </w:tblCellMar>
              <w:tblLook w:firstRow="1" w:noVBand="1" w:lastRow="0" w:firstColumn="1" w:lastColumn="0" w:noHBand="0" w:val="04a0"/>
            </w:tblPr>
            <w:tblGrid>
              <w:gridCol w:w="407"/>
              <w:gridCol w:w="407"/>
              <w:gridCol w:w="408"/>
              <w:gridCol w:w="407"/>
              <w:gridCol w:w="408"/>
              <w:gridCol w:w="407"/>
              <w:gridCol w:w="408"/>
              <w:gridCol w:w="407"/>
              <w:gridCol w:w="408"/>
              <w:gridCol w:w="407"/>
              <w:gridCol w:w="408"/>
              <w:gridCol w:w="408"/>
              <w:gridCol w:w="407"/>
              <w:gridCol w:w="407"/>
              <w:gridCol w:w="408"/>
              <w:gridCol w:w="407"/>
              <w:gridCol w:w="408"/>
              <w:gridCol w:w="407"/>
              <w:gridCol w:w="408"/>
              <w:gridCol w:w="407"/>
              <w:gridCol w:w="408"/>
              <w:gridCol w:w="407"/>
              <w:gridCol w:w="408"/>
              <w:gridCol w:w="407"/>
            </w:tblGrid>
            <w:tr>
              <w:trPr/>
              <w:tc>
                <w:tcPr>
                  <w:tcW w:w="407" w:type="dxa"/>
                  <w:tcBorders>
                    <w:top w:val="single" w:sz="4" w:space="0" w:color="000000"/>
                    <w:left w:val="single" w:sz="4" w:space="0" w:color="000000"/>
                    <w:bottom w:val="single" w:sz="4" w:space="0" w:color="000000"/>
                    <w:insideH w:val="single" w:sz="4" w:space="0" w:color="000000"/>
                  </w:tcBorders>
                  <w:shd w:fill="auto" w:val="clear"/>
                </w:tcPr>
                <w:p>
                  <w:pPr>
                    <w:pStyle w:val="Contenidodelatabla"/>
                    <w:rPr>
                      <w:rFonts w:ascii="Liberation Serif" w:hAnsi="Liberation Serif"/>
                      <w:color w:val="000000"/>
                      <w:sz w:val="24"/>
                      <w:szCs w:val="24"/>
                    </w:rPr>
                  </w:pPr>
                  <w:r>
                    <w:rPr>
                      <w:rFonts w:ascii="Liberation Serif" w:hAnsi="Liberation Serif"/>
                      <w:color w:val="000000"/>
                      <w:sz w:val="24"/>
                      <w:szCs w:val="24"/>
                    </w:rPr>
                    <w:t>E</w:t>
                  </w:r>
                </w:p>
              </w:tc>
              <w:tc>
                <w:tcPr>
                  <w:tcW w:w="407" w:type="dxa"/>
                  <w:tcBorders>
                    <w:top w:val="single" w:sz="4" w:space="0" w:color="000000"/>
                    <w:left w:val="single" w:sz="4" w:space="0" w:color="000000"/>
                    <w:bottom w:val="single" w:sz="4" w:space="0" w:color="000000"/>
                    <w:insideH w:val="single" w:sz="4" w:space="0" w:color="000000"/>
                  </w:tcBorders>
                  <w:shd w:fill="auto" w:val="clear"/>
                </w:tcPr>
                <w:p>
                  <w:pPr>
                    <w:pStyle w:val="Contenidodelatabla"/>
                    <w:rPr>
                      <w:rFonts w:ascii="Liberation Serif" w:hAnsi="Liberation Serif"/>
                      <w:color w:val="000000"/>
                      <w:sz w:val="24"/>
                      <w:szCs w:val="24"/>
                    </w:rPr>
                  </w:pPr>
                  <w:r>
                    <w:rPr>
                      <w:rFonts w:ascii="Liberation Serif" w:hAnsi="Liberation Serif"/>
                      <w:color w:val="000000"/>
                      <w:sz w:val="24"/>
                      <w:szCs w:val="24"/>
                    </w:rPr>
                    <w:t>S</w:t>
                  </w:r>
                </w:p>
              </w:tc>
              <w:tc>
                <w:tcPr>
                  <w:tcW w:w="408" w:type="dxa"/>
                  <w:tcBorders>
                    <w:top w:val="single" w:sz="4" w:space="0" w:color="000000"/>
                    <w:left w:val="single" w:sz="4" w:space="0" w:color="000000"/>
                    <w:bottom w:val="single" w:sz="4" w:space="0" w:color="000000"/>
                    <w:insideH w:val="single" w:sz="4" w:space="0" w:color="000000"/>
                  </w:tcBorders>
                  <w:shd w:fill="auto" w:val="clear"/>
                </w:tcPr>
                <w:p>
                  <w:pPr>
                    <w:pStyle w:val="Contenidodelatabla"/>
                    <w:rPr>
                      <w:rFonts w:ascii="Liberation Serif" w:hAnsi="Liberation Serif"/>
                      <w:color w:val="000000"/>
                      <w:sz w:val="24"/>
                      <w:szCs w:val="24"/>
                    </w:rPr>
                  </w:pPr>
                  <w:r>
                    <w:rPr>
                      <w:rFonts w:ascii="Liberation Serif" w:hAnsi="Liberation Serif"/>
                      <w:color w:val="000000"/>
                      <w:sz w:val="24"/>
                      <w:szCs w:val="24"/>
                    </w:rPr>
                  </w:r>
                </w:p>
              </w:tc>
              <w:tc>
                <w:tcPr>
                  <w:tcW w:w="407" w:type="dxa"/>
                  <w:tcBorders>
                    <w:top w:val="single" w:sz="4" w:space="0" w:color="000000"/>
                    <w:left w:val="single" w:sz="4" w:space="0" w:color="000000"/>
                    <w:bottom w:val="single" w:sz="4" w:space="0" w:color="000000"/>
                    <w:insideH w:val="single" w:sz="4" w:space="0" w:color="000000"/>
                  </w:tcBorders>
                  <w:shd w:fill="auto" w:val="clear"/>
                </w:tcPr>
                <w:p>
                  <w:pPr>
                    <w:pStyle w:val="Contenidodelatabla"/>
                    <w:rPr>
                      <w:rFonts w:ascii="Liberation Serif" w:hAnsi="Liberation Serif"/>
                      <w:color w:val="000000"/>
                      <w:sz w:val="24"/>
                      <w:szCs w:val="24"/>
                    </w:rPr>
                  </w:pPr>
                  <w:r>
                    <w:rPr>
                      <w:rFonts w:ascii="Liberation Serif" w:hAnsi="Liberation Serif"/>
                      <w:color w:val="000000"/>
                      <w:sz w:val="24"/>
                      <w:szCs w:val="24"/>
                    </w:rPr>
                  </w:r>
                </w:p>
              </w:tc>
              <w:tc>
                <w:tcPr>
                  <w:tcW w:w="408" w:type="dxa"/>
                  <w:tcBorders>
                    <w:top w:val="single" w:sz="4" w:space="0" w:color="000000"/>
                    <w:left w:val="single" w:sz="4" w:space="0" w:color="000000"/>
                    <w:bottom w:val="single" w:sz="4" w:space="0" w:color="000000"/>
                    <w:insideH w:val="single" w:sz="4" w:space="0" w:color="000000"/>
                  </w:tcBorders>
                  <w:shd w:fill="auto" w:val="clear"/>
                </w:tcPr>
                <w:p>
                  <w:pPr>
                    <w:pStyle w:val="Contenidodelatabla"/>
                    <w:rPr>
                      <w:rFonts w:ascii="Liberation Serif" w:hAnsi="Liberation Serif"/>
                      <w:color w:val="000000"/>
                      <w:sz w:val="24"/>
                      <w:szCs w:val="24"/>
                    </w:rPr>
                  </w:pPr>
                  <w:r>
                    <w:rPr>
                      <w:rFonts w:ascii="Liberation Serif" w:hAnsi="Liberation Serif"/>
                      <w:color w:val="000000"/>
                      <w:sz w:val="24"/>
                      <w:szCs w:val="24"/>
                    </w:rPr>
                  </w:r>
                </w:p>
              </w:tc>
              <w:tc>
                <w:tcPr>
                  <w:tcW w:w="407" w:type="dxa"/>
                  <w:tcBorders>
                    <w:top w:val="single" w:sz="4" w:space="0" w:color="000000"/>
                    <w:left w:val="single" w:sz="4" w:space="0" w:color="000000"/>
                    <w:bottom w:val="single" w:sz="4" w:space="0" w:color="000000"/>
                    <w:insideH w:val="single" w:sz="4" w:space="0" w:color="000000"/>
                  </w:tcBorders>
                  <w:shd w:fill="auto" w:val="clear"/>
                </w:tcPr>
                <w:p>
                  <w:pPr>
                    <w:pStyle w:val="Contenidodelatabla"/>
                    <w:rPr>
                      <w:rFonts w:ascii="Liberation Serif" w:hAnsi="Liberation Serif"/>
                      <w:color w:val="000000"/>
                      <w:sz w:val="24"/>
                      <w:szCs w:val="24"/>
                    </w:rPr>
                  </w:pPr>
                  <w:r>
                    <w:rPr>
                      <w:rFonts w:ascii="Liberation Serif" w:hAnsi="Liberation Serif"/>
                      <w:color w:val="000000"/>
                      <w:sz w:val="24"/>
                      <w:szCs w:val="24"/>
                    </w:rPr>
                  </w:r>
                </w:p>
              </w:tc>
              <w:tc>
                <w:tcPr>
                  <w:tcW w:w="408" w:type="dxa"/>
                  <w:tcBorders>
                    <w:top w:val="single" w:sz="4" w:space="0" w:color="000000"/>
                    <w:left w:val="single" w:sz="4" w:space="0" w:color="000000"/>
                    <w:bottom w:val="single" w:sz="4" w:space="0" w:color="000000"/>
                    <w:insideH w:val="single" w:sz="4" w:space="0" w:color="000000"/>
                  </w:tcBorders>
                  <w:shd w:fill="auto" w:val="clear"/>
                </w:tcPr>
                <w:p>
                  <w:pPr>
                    <w:pStyle w:val="Contenidodelatabla"/>
                    <w:rPr>
                      <w:rFonts w:ascii="Liberation Serif" w:hAnsi="Liberation Serif"/>
                      <w:color w:val="000000"/>
                      <w:sz w:val="24"/>
                      <w:szCs w:val="24"/>
                    </w:rPr>
                  </w:pPr>
                  <w:r>
                    <w:rPr>
                      <w:rFonts w:ascii="Liberation Serif" w:hAnsi="Liberation Serif"/>
                      <w:color w:val="000000"/>
                      <w:sz w:val="24"/>
                      <w:szCs w:val="24"/>
                    </w:rPr>
                  </w:r>
                </w:p>
              </w:tc>
              <w:tc>
                <w:tcPr>
                  <w:tcW w:w="407" w:type="dxa"/>
                  <w:tcBorders>
                    <w:top w:val="single" w:sz="4" w:space="0" w:color="000000"/>
                    <w:left w:val="single" w:sz="4" w:space="0" w:color="000000"/>
                    <w:bottom w:val="single" w:sz="4" w:space="0" w:color="000000"/>
                    <w:insideH w:val="single" w:sz="4" w:space="0" w:color="000000"/>
                  </w:tcBorders>
                  <w:shd w:fill="auto" w:val="clear"/>
                </w:tcPr>
                <w:p>
                  <w:pPr>
                    <w:pStyle w:val="Contenidodelatabla"/>
                    <w:rPr>
                      <w:rFonts w:ascii="Liberation Serif" w:hAnsi="Liberation Serif"/>
                      <w:color w:val="000000"/>
                      <w:sz w:val="24"/>
                      <w:szCs w:val="24"/>
                    </w:rPr>
                  </w:pPr>
                  <w:r>
                    <w:rPr>
                      <w:rFonts w:ascii="Liberation Serif" w:hAnsi="Liberation Serif"/>
                      <w:color w:val="000000"/>
                      <w:sz w:val="24"/>
                      <w:szCs w:val="24"/>
                    </w:rPr>
                  </w:r>
                </w:p>
              </w:tc>
              <w:tc>
                <w:tcPr>
                  <w:tcW w:w="408" w:type="dxa"/>
                  <w:tcBorders>
                    <w:top w:val="single" w:sz="4" w:space="0" w:color="000000"/>
                    <w:left w:val="single" w:sz="4" w:space="0" w:color="000000"/>
                    <w:bottom w:val="single" w:sz="4" w:space="0" w:color="000000"/>
                    <w:insideH w:val="single" w:sz="4" w:space="0" w:color="000000"/>
                  </w:tcBorders>
                  <w:shd w:fill="auto" w:val="clear"/>
                </w:tcPr>
                <w:p>
                  <w:pPr>
                    <w:pStyle w:val="Contenidodelatabla"/>
                    <w:rPr>
                      <w:rFonts w:ascii="Liberation Serif" w:hAnsi="Liberation Serif"/>
                      <w:color w:val="000000"/>
                      <w:sz w:val="24"/>
                      <w:szCs w:val="24"/>
                    </w:rPr>
                  </w:pPr>
                  <w:r>
                    <w:rPr>
                      <w:rFonts w:ascii="Liberation Serif" w:hAnsi="Liberation Serif"/>
                      <w:color w:val="000000"/>
                      <w:sz w:val="24"/>
                      <w:szCs w:val="24"/>
                    </w:rPr>
                  </w:r>
                </w:p>
              </w:tc>
              <w:tc>
                <w:tcPr>
                  <w:tcW w:w="407" w:type="dxa"/>
                  <w:tcBorders>
                    <w:top w:val="single" w:sz="4" w:space="0" w:color="000000"/>
                    <w:left w:val="single" w:sz="4" w:space="0" w:color="000000"/>
                    <w:bottom w:val="single" w:sz="4" w:space="0" w:color="000000"/>
                    <w:insideH w:val="single" w:sz="4" w:space="0" w:color="000000"/>
                  </w:tcBorders>
                  <w:shd w:fill="auto" w:val="clear"/>
                </w:tcPr>
                <w:p>
                  <w:pPr>
                    <w:pStyle w:val="Contenidodelatabla"/>
                    <w:rPr>
                      <w:rFonts w:ascii="Liberation Serif" w:hAnsi="Liberation Serif"/>
                      <w:color w:val="000000"/>
                      <w:sz w:val="24"/>
                      <w:szCs w:val="24"/>
                    </w:rPr>
                  </w:pPr>
                  <w:r>
                    <w:rPr>
                      <w:rFonts w:ascii="Liberation Serif" w:hAnsi="Liberation Serif"/>
                      <w:color w:val="000000"/>
                      <w:sz w:val="24"/>
                      <w:szCs w:val="24"/>
                    </w:rPr>
                  </w:r>
                </w:p>
              </w:tc>
              <w:tc>
                <w:tcPr>
                  <w:tcW w:w="408" w:type="dxa"/>
                  <w:tcBorders>
                    <w:top w:val="single" w:sz="4" w:space="0" w:color="000000"/>
                    <w:left w:val="single" w:sz="4" w:space="0" w:color="000000"/>
                    <w:bottom w:val="single" w:sz="4" w:space="0" w:color="000000"/>
                    <w:insideH w:val="single" w:sz="4" w:space="0" w:color="000000"/>
                  </w:tcBorders>
                  <w:shd w:fill="auto" w:val="clear"/>
                </w:tcPr>
                <w:p>
                  <w:pPr>
                    <w:pStyle w:val="Contenidodelatabla"/>
                    <w:rPr>
                      <w:rFonts w:ascii="Liberation Serif" w:hAnsi="Liberation Serif"/>
                      <w:color w:val="000000"/>
                      <w:sz w:val="24"/>
                      <w:szCs w:val="24"/>
                    </w:rPr>
                  </w:pPr>
                  <w:r>
                    <w:rPr>
                      <w:rFonts w:ascii="Liberation Serif" w:hAnsi="Liberation Serif"/>
                      <w:color w:val="000000"/>
                      <w:sz w:val="24"/>
                      <w:szCs w:val="24"/>
                    </w:rPr>
                  </w:r>
                </w:p>
              </w:tc>
              <w:tc>
                <w:tcPr>
                  <w:tcW w:w="408" w:type="dxa"/>
                  <w:tcBorders>
                    <w:top w:val="single" w:sz="4" w:space="0" w:color="000000"/>
                    <w:left w:val="single" w:sz="4" w:space="0" w:color="000000"/>
                    <w:bottom w:val="single" w:sz="4" w:space="0" w:color="000000"/>
                    <w:insideH w:val="single" w:sz="4" w:space="0" w:color="000000"/>
                  </w:tcBorders>
                  <w:shd w:fill="auto" w:val="clear"/>
                </w:tcPr>
                <w:p>
                  <w:pPr>
                    <w:pStyle w:val="Contenidodelatabla"/>
                    <w:rPr>
                      <w:rFonts w:ascii="Liberation Serif" w:hAnsi="Liberation Serif"/>
                      <w:color w:val="000000"/>
                      <w:sz w:val="24"/>
                      <w:szCs w:val="24"/>
                    </w:rPr>
                  </w:pPr>
                  <w:r>
                    <w:rPr>
                      <w:rFonts w:ascii="Liberation Serif" w:hAnsi="Liberation Serif"/>
                      <w:color w:val="000000"/>
                      <w:sz w:val="24"/>
                      <w:szCs w:val="24"/>
                    </w:rPr>
                  </w:r>
                </w:p>
              </w:tc>
              <w:tc>
                <w:tcPr>
                  <w:tcW w:w="407" w:type="dxa"/>
                  <w:tcBorders>
                    <w:top w:val="single" w:sz="4" w:space="0" w:color="000000"/>
                    <w:left w:val="single" w:sz="4" w:space="0" w:color="000000"/>
                    <w:bottom w:val="single" w:sz="4" w:space="0" w:color="000000"/>
                    <w:insideH w:val="single" w:sz="4" w:space="0" w:color="000000"/>
                  </w:tcBorders>
                  <w:shd w:fill="auto" w:val="clear"/>
                </w:tcPr>
                <w:p>
                  <w:pPr>
                    <w:pStyle w:val="Contenidodelatabla"/>
                    <w:rPr>
                      <w:rFonts w:ascii="Liberation Serif" w:hAnsi="Liberation Serif"/>
                      <w:color w:val="000000"/>
                      <w:sz w:val="24"/>
                      <w:szCs w:val="24"/>
                    </w:rPr>
                  </w:pPr>
                  <w:r>
                    <w:rPr>
                      <w:rFonts w:ascii="Liberation Serif" w:hAnsi="Liberation Serif"/>
                      <w:color w:val="000000"/>
                      <w:sz w:val="24"/>
                      <w:szCs w:val="24"/>
                    </w:rPr>
                  </w:r>
                </w:p>
              </w:tc>
              <w:tc>
                <w:tcPr>
                  <w:tcW w:w="407" w:type="dxa"/>
                  <w:tcBorders>
                    <w:top w:val="single" w:sz="4" w:space="0" w:color="000000"/>
                    <w:left w:val="single" w:sz="4" w:space="0" w:color="000000"/>
                    <w:bottom w:val="single" w:sz="4" w:space="0" w:color="000000"/>
                    <w:insideH w:val="single" w:sz="4" w:space="0" w:color="000000"/>
                  </w:tcBorders>
                  <w:shd w:fill="auto" w:val="clear"/>
                </w:tcPr>
                <w:p>
                  <w:pPr>
                    <w:pStyle w:val="Contenidodelatabla"/>
                    <w:rPr>
                      <w:rFonts w:ascii="Liberation Serif" w:hAnsi="Liberation Serif"/>
                      <w:color w:val="000000"/>
                      <w:sz w:val="24"/>
                      <w:szCs w:val="24"/>
                    </w:rPr>
                  </w:pPr>
                  <w:r>
                    <w:rPr>
                      <w:rFonts w:ascii="Liberation Serif" w:hAnsi="Liberation Serif"/>
                      <w:color w:val="000000"/>
                      <w:sz w:val="24"/>
                      <w:szCs w:val="24"/>
                    </w:rPr>
                  </w:r>
                </w:p>
              </w:tc>
              <w:tc>
                <w:tcPr>
                  <w:tcW w:w="408" w:type="dxa"/>
                  <w:tcBorders>
                    <w:top w:val="single" w:sz="4" w:space="0" w:color="000000"/>
                    <w:left w:val="single" w:sz="4" w:space="0" w:color="000000"/>
                    <w:bottom w:val="single" w:sz="4" w:space="0" w:color="000000"/>
                    <w:insideH w:val="single" w:sz="4" w:space="0" w:color="000000"/>
                  </w:tcBorders>
                  <w:shd w:fill="auto" w:val="clear"/>
                </w:tcPr>
                <w:p>
                  <w:pPr>
                    <w:pStyle w:val="Contenidodelatabla"/>
                    <w:rPr>
                      <w:rFonts w:ascii="Liberation Serif" w:hAnsi="Liberation Serif"/>
                      <w:color w:val="000000"/>
                      <w:sz w:val="24"/>
                      <w:szCs w:val="24"/>
                    </w:rPr>
                  </w:pPr>
                  <w:r>
                    <w:rPr>
                      <w:rFonts w:ascii="Liberation Serif" w:hAnsi="Liberation Serif"/>
                      <w:color w:val="000000"/>
                      <w:sz w:val="24"/>
                      <w:szCs w:val="24"/>
                    </w:rPr>
                  </w:r>
                </w:p>
              </w:tc>
              <w:tc>
                <w:tcPr>
                  <w:tcW w:w="407" w:type="dxa"/>
                  <w:tcBorders>
                    <w:top w:val="single" w:sz="4" w:space="0" w:color="000000"/>
                    <w:left w:val="single" w:sz="4" w:space="0" w:color="000000"/>
                    <w:bottom w:val="single" w:sz="4" w:space="0" w:color="000000"/>
                    <w:insideH w:val="single" w:sz="4" w:space="0" w:color="000000"/>
                  </w:tcBorders>
                  <w:shd w:fill="auto" w:val="clear"/>
                </w:tcPr>
                <w:p>
                  <w:pPr>
                    <w:pStyle w:val="Contenidodelatabla"/>
                    <w:rPr>
                      <w:rFonts w:ascii="Liberation Serif" w:hAnsi="Liberation Serif"/>
                      <w:color w:val="000000"/>
                      <w:sz w:val="24"/>
                      <w:szCs w:val="24"/>
                    </w:rPr>
                  </w:pPr>
                  <w:r>
                    <w:rPr>
                      <w:rFonts w:ascii="Liberation Serif" w:hAnsi="Liberation Serif"/>
                      <w:color w:val="000000"/>
                      <w:sz w:val="24"/>
                      <w:szCs w:val="24"/>
                    </w:rPr>
                  </w:r>
                </w:p>
              </w:tc>
              <w:tc>
                <w:tcPr>
                  <w:tcW w:w="408" w:type="dxa"/>
                  <w:tcBorders>
                    <w:top w:val="single" w:sz="4" w:space="0" w:color="000000"/>
                    <w:left w:val="single" w:sz="4" w:space="0" w:color="000000"/>
                    <w:bottom w:val="single" w:sz="4" w:space="0" w:color="000000"/>
                    <w:insideH w:val="single" w:sz="4" w:space="0" w:color="000000"/>
                  </w:tcBorders>
                  <w:shd w:fill="auto" w:val="clear"/>
                </w:tcPr>
                <w:p>
                  <w:pPr>
                    <w:pStyle w:val="Contenidodelatabla"/>
                    <w:rPr>
                      <w:rFonts w:ascii="Liberation Serif" w:hAnsi="Liberation Serif"/>
                      <w:color w:val="000000"/>
                      <w:sz w:val="24"/>
                      <w:szCs w:val="24"/>
                    </w:rPr>
                  </w:pPr>
                  <w:r>
                    <w:rPr>
                      <w:rFonts w:ascii="Liberation Serif" w:hAnsi="Liberation Serif"/>
                      <w:color w:val="000000"/>
                      <w:sz w:val="24"/>
                      <w:szCs w:val="24"/>
                    </w:rPr>
                  </w:r>
                </w:p>
              </w:tc>
              <w:tc>
                <w:tcPr>
                  <w:tcW w:w="407" w:type="dxa"/>
                  <w:tcBorders>
                    <w:top w:val="single" w:sz="4" w:space="0" w:color="000000"/>
                    <w:left w:val="single" w:sz="4" w:space="0" w:color="000000"/>
                    <w:bottom w:val="single" w:sz="4" w:space="0" w:color="000000"/>
                    <w:insideH w:val="single" w:sz="4" w:space="0" w:color="000000"/>
                  </w:tcBorders>
                  <w:shd w:fill="auto" w:val="clear"/>
                </w:tcPr>
                <w:p>
                  <w:pPr>
                    <w:pStyle w:val="Contenidodelatabla"/>
                    <w:rPr>
                      <w:rFonts w:ascii="Liberation Serif" w:hAnsi="Liberation Serif"/>
                      <w:color w:val="000000"/>
                      <w:sz w:val="24"/>
                      <w:szCs w:val="24"/>
                    </w:rPr>
                  </w:pPr>
                  <w:r>
                    <w:rPr>
                      <w:rFonts w:ascii="Liberation Serif" w:hAnsi="Liberation Serif"/>
                      <w:color w:val="000000"/>
                      <w:sz w:val="24"/>
                      <w:szCs w:val="24"/>
                    </w:rPr>
                  </w:r>
                </w:p>
              </w:tc>
              <w:tc>
                <w:tcPr>
                  <w:tcW w:w="408" w:type="dxa"/>
                  <w:tcBorders>
                    <w:top w:val="single" w:sz="4" w:space="0" w:color="000000"/>
                    <w:left w:val="single" w:sz="4" w:space="0" w:color="000000"/>
                    <w:bottom w:val="single" w:sz="4" w:space="0" w:color="000000"/>
                    <w:insideH w:val="single" w:sz="4" w:space="0" w:color="000000"/>
                  </w:tcBorders>
                  <w:shd w:fill="auto" w:val="clear"/>
                </w:tcPr>
                <w:p>
                  <w:pPr>
                    <w:pStyle w:val="Contenidodelatabla"/>
                    <w:rPr>
                      <w:rFonts w:ascii="Liberation Serif" w:hAnsi="Liberation Serif"/>
                      <w:color w:val="000000"/>
                      <w:sz w:val="24"/>
                      <w:szCs w:val="24"/>
                    </w:rPr>
                  </w:pPr>
                  <w:r>
                    <w:rPr>
                      <w:rFonts w:ascii="Liberation Serif" w:hAnsi="Liberation Serif"/>
                      <w:color w:val="000000"/>
                      <w:sz w:val="24"/>
                      <w:szCs w:val="24"/>
                    </w:rPr>
                  </w:r>
                </w:p>
              </w:tc>
              <w:tc>
                <w:tcPr>
                  <w:tcW w:w="407" w:type="dxa"/>
                  <w:tcBorders>
                    <w:top w:val="single" w:sz="4" w:space="0" w:color="000000"/>
                    <w:left w:val="single" w:sz="4" w:space="0" w:color="000000"/>
                    <w:bottom w:val="single" w:sz="4" w:space="0" w:color="000000"/>
                    <w:insideH w:val="single" w:sz="4" w:space="0" w:color="000000"/>
                  </w:tcBorders>
                  <w:shd w:fill="auto" w:val="clear"/>
                </w:tcPr>
                <w:p>
                  <w:pPr>
                    <w:pStyle w:val="Contenidodelatabla"/>
                    <w:rPr>
                      <w:rFonts w:ascii="Liberation Serif" w:hAnsi="Liberation Serif"/>
                      <w:color w:val="000000"/>
                      <w:sz w:val="24"/>
                      <w:szCs w:val="24"/>
                    </w:rPr>
                  </w:pPr>
                  <w:r>
                    <w:rPr>
                      <w:rFonts w:ascii="Liberation Serif" w:hAnsi="Liberation Serif"/>
                      <w:color w:val="000000"/>
                      <w:sz w:val="24"/>
                      <w:szCs w:val="24"/>
                    </w:rPr>
                  </w:r>
                </w:p>
              </w:tc>
              <w:tc>
                <w:tcPr>
                  <w:tcW w:w="408" w:type="dxa"/>
                  <w:tcBorders>
                    <w:top w:val="single" w:sz="4" w:space="0" w:color="000000"/>
                    <w:left w:val="single" w:sz="4" w:space="0" w:color="000000"/>
                    <w:bottom w:val="single" w:sz="4" w:space="0" w:color="000000"/>
                    <w:insideH w:val="single" w:sz="4" w:space="0" w:color="000000"/>
                  </w:tcBorders>
                  <w:shd w:fill="auto" w:val="clear"/>
                </w:tcPr>
                <w:p>
                  <w:pPr>
                    <w:pStyle w:val="Contenidodelatabla"/>
                    <w:rPr>
                      <w:rFonts w:ascii="Liberation Serif" w:hAnsi="Liberation Serif"/>
                      <w:color w:val="000000"/>
                      <w:sz w:val="24"/>
                      <w:szCs w:val="24"/>
                    </w:rPr>
                  </w:pPr>
                  <w:r>
                    <w:rPr>
                      <w:rFonts w:ascii="Liberation Serif" w:hAnsi="Liberation Serif"/>
                      <w:color w:val="000000"/>
                      <w:sz w:val="24"/>
                      <w:szCs w:val="24"/>
                    </w:rPr>
                  </w:r>
                </w:p>
              </w:tc>
              <w:tc>
                <w:tcPr>
                  <w:tcW w:w="407" w:type="dxa"/>
                  <w:tcBorders>
                    <w:top w:val="single" w:sz="4" w:space="0" w:color="000000"/>
                    <w:left w:val="single" w:sz="4" w:space="0" w:color="000000"/>
                    <w:bottom w:val="single" w:sz="4" w:space="0" w:color="000000"/>
                    <w:insideH w:val="single" w:sz="4" w:space="0" w:color="000000"/>
                  </w:tcBorders>
                  <w:shd w:fill="auto" w:val="clear"/>
                </w:tcPr>
                <w:p>
                  <w:pPr>
                    <w:pStyle w:val="Contenidodelatabla"/>
                    <w:rPr>
                      <w:rFonts w:ascii="Liberation Serif" w:hAnsi="Liberation Serif"/>
                      <w:color w:val="000000"/>
                      <w:sz w:val="24"/>
                      <w:szCs w:val="24"/>
                    </w:rPr>
                  </w:pPr>
                  <w:r>
                    <w:rPr>
                      <w:rFonts w:ascii="Liberation Serif" w:hAnsi="Liberation Serif"/>
                      <w:color w:val="000000"/>
                      <w:sz w:val="24"/>
                      <w:szCs w:val="24"/>
                    </w:rPr>
                  </w:r>
                </w:p>
              </w:tc>
              <w:tc>
                <w:tcPr>
                  <w:tcW w:w="408" w:type="dxa"/>
                  <w:tcBorders>
                    <w:top w:val="single" w:sz="4" w:space="0" w:color="000000"/>
                    <w:left w:val="single" w:sz="4" w:space="0" w:color="000000"/>
                    <w:bottom w:val="single" w:sz="4" w:space="0" w:color="000000"/>
                    <w:insideH w:val="single" w:sz="4" w:space="0" w:color="000000"/>
                  </w:tcBorders>
                  <w:shd w:fill="auto" w:val="clear"/>
                </w:tcPr>
                <w:p>
                  <w:pPr>
                    <w:pStyle w:val="Contenidodelatabla"/>
                    <w:rPr>
                      <w:rFonts w:ascii="Liberation Serif" w:hAnsi="Liberation Serif"/>
                      <w:color w:val="000000"/>
                      <w:sz w:val="24"/>
                      <w:szCs w:val="24"/>
                    </w:rPr>
                  </w:pPr>
                  <w:r>
                    <w:rPr>
                      <w:rFonts w:ascii="Liberation Serif" w:hAnsi="Liberation Serif"/>
                      <w:color w:val="000000"/>
                      <w:sz w:val="24"/>
                      <w:szCs w:val="24"/>
                    </w:rPr>
                  </w:r>
                </w:p>
              </w:tc>
              <w:tc>
                <w:tcPr>
                  <w:tcW w:w="40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Contenidodelatabla"/>
                    <w:rPr>
                      <w:rFonts w:ascii="Liberation Serif" w:hAnsi="Liberation Serif"/>
                      <w:color w:val="000000"/>
                      <w:sz w:val="24"/>
                      <w:szCs w:val="24"/>
                    </w:rPr>
                  </w:pPr>
                  <w:r>
                    <w:rPr>
                      <w:rFonts w:ascii="Liberation Serif" w:hAnsi="Liberation Serif"/>
                      <w:color w:val="000000"/>
                      <w:sz w:val="24"/>
                      <w:szCs w:val="24"/>
                    </w:rPr>
                  </w:r>
                </w:p>
              </w:tc>
            </w:tr>
          </w:tbl>
          <w:p>
            <w:pPr>
              <w:pStyle w:val="TableParagraph"/>
              <w:spacing w:before="1" w:after="0"/>
              <w:ind w:left="110" w:hanging="0"/>
              <w:rPr>
                <w:b/>
                <w:b/>
              </w:rPr>
            </w:pPr>
            <w:r>
              <w:rPr>
                <w:b/>
              </w:rPr>
            </w:r>
          </w:p>
        </w:tc>
      </w:tr>
    </w:tbl>
    <w:p>
      <w:pPr>
        <w:pStyle w:val="Cuerpodetexto"/>
        <w:rPr>
          <w:rFonts w:ascii="Arial Narrow" w:hAnsi="Arial Narrow"/>
          <w:b/>
          <w:b/>
          <w:sz w:val="20"/>
        </w:rPr>
      </w:pPr>
      <w:r>
        <w:rPr>
          <w:rFonts w:ascii="Arial Narrow" w:hAnsi="Arial Narrow"/>
          <w:b/>
          <w:sz w:val="20"/>
        </w:rPr>
      </w:r>
    </w:p>
    <w:p>
      <w:pPr>
        <w:pStyle w:val="Cuerpodetexto"/>
        <w:spacing w:before="3" w:after="1"/>
        <w:rPr>
          <w:rFonts w:ascii="Arial Narrow" w:hAnsi="Arial Narrow"/>
          <w:b/>
          <w:b/>
        </w:rPr>
      </w:pPr>
      <w:r>
        <w:rPr>
          <w:rFonts w:ascii="Arial Narrow" w:hAnsi="Arial Narrow"/>
          <w:b/>
        </w:rPr>
      </w:r>
    </w:p>
    <w:tbl>
      <w:tblPr>
        <w:tblStyle w:val="TableNormal"/>
        <w:tblW w:w="9892" w:type="dxa"/>
        <w:jc w:val="left"/>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firstRow="1" w:noVBand="0" w:lastRow="1" w:firstColumn="1" w:lastColumn="1" w:noHBand="0" w:val="01e0"/>
      </w:tblPr>
      <w:tblGrid>
        <w:gridCol w:w="9892"/>
      </w:tblGrid>
      <w:tr>
        <w:trPr>
          <w:trHeight w:val="537" w:hRule="atLeast"/>
        </w:trPr>
        <w:tc>
          <w:tcPr>
            <w:tcW w:w="98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TableParagraph"/>
              <w:spacing w:before="1" w:after="0"/>
              <w:ind w:left="110" w:hanging="0"/>
              <w:rPr/>
            </w:pPr>
            <w:r>
              <w:rPr/>
              <w:t>DECLARACIÓN / DECLARACIÓ</w:t>
            </w:r>
          </w:p>
        </w:tc>
      </w:tr>
      <w:tr>
        <w:trPr>
          <w:trHeight w:val="3226" w:hRule="atLeast"/>
        </w:trPr>
        <w:tc>
          <w:tcPr>
            <w:tcW w:w="989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TableParagraph"/>
              <w:tabs>
                <w:tab w:val="clear" w:pos="720"/>
                <w:tab w:val="left" w:pos="6826" w:leader="none"/>
                <w:tab w:val="left" w:pos="9618" w:leader="none"/>
              </w:tabs>
              <w:spacing w:lineRule="auto" w:line="480" w:before="2" w:after="0"/>
              <w:ind w:left="110" w:right="190" w:hanging="0"/>
              <w:rPr/>
            </w:pPr>
            <w:r>
              <w:rPr/>
              <w:t>Dña.D.</w:t>
            </w:r>
            <w:r>
              <w:rPr>
                <w:spacing w:val="-2"/>
              </w:rPr>
              <w:t xml:space="preserve"> </w:t>
            </w:r>
            <w:r>
              <w:rPr/>
              <w:t>/</w:t>
            </w:r>
            <w:r>
              <w:rPr>
                <w:spacing w:val="-2"/>
              </w:rPr>
              <w:t xml:space="preserve"> </w:t>
            </w:r>
            <w:r>
              <w:rPr/>
              <w:t>Sra.Sr:</w:t>
            </w:r>
            <w:r>
              <w:rPr>
                <w:u w:val="single"/>
              </w:rPr>
              <w:t xml:space="preserve"> </w:t>
              <w:tab/>
            </w:r>
            <w:r>
              <w:rPr/>
              <w:t>con/amb NIF:</w:t>
            </w:r>
            <w:r>
              <w:rPr>
                <w:u w:val="single"/>
              </w:rPr>
              <w:t xml:space="preserve"> </w:t>
              <w:tab/>
            </w:r>
            <w:r>
              <w:rPr>
                <w:spacing w:val="-17"/>
              </w:rPr>
              <w:t xml:space="preserve">, </w:t>
            </w:r>
            <w:r>
              <w:rPr/>
              <w:t>en representación de / en</w:t>
            </w:r>
            <w:r>
              <w:rPr>
                <w:spacing w:val="-12"/>
              </w:rPr>
              <w:t xml:space="preserve"> </w:t>
            </w:r>
            <w:r>
              <w:rPr/>
              <w:t>representació</w:t>
            </w:r>
            <w:r>
              <w:rPr>
                <w:spacing w:val="-4"/>
              </w:rPr>
              <w:t xml:space="preserve"> </w:t>
            </w:r>
            <w:r>
              <w:rPr/>
              <w:t>de</w:t>
            </w:r>
            <w:r>
              <w:rPr>
                <w:u w:val="single"/>
              </w:rPr>
              <w:t xml:space="preserve"> </w:t>
              <w:tab/>
              <w:tab/>
            </w:r>
          </w:p>
          <w:p>
            <w:pPr>
              <w:pStyle w:val="TableParagraph"/>
              <w:spacing w:lineRule="atLeast" w:line="530"/>
              <w:ind w:left="110" w:hanging="0"/>
              <w:rPr/>
            </w:pPr>
            <w:r>
              <w:rPr/>
              <w:t>Declara que son ciertos los datos arriba indicados y que identifican la cuenta y la entidad financiera a través de las cuales deseo que me abonen. / Declare que són certes les dades anteriorment esmentades i que identifiquen el compte i l’entitat financera a través dels quals desitge que m’abonen.</w:t>
            </w:r>
          </w:p>
        </w:tc>
      </w:tr>
    </w:tbl>
    <w:p>
      <w:pPr>
        <w:pStyle w:val="Cuerpodetexto"/>
        <w:rPr>
          <w:rFonts w:ascii="Arial Narrow" w:hAnsi="Arial Narrow"/>
          <w:b/>
          <w:b/>
          <w:sz w:val="20"/>
        </w:rPr>
      </w:pPr>
      <w:r>
        <w:rPr>
          <w:rFonts w:ascii="Arial Narrow" w:hAnsi="Arial Narrow"/>
          <w:b/>
          <w:sz w:val="20"/>
        </w:rPr>
      </w:r>
    </w:p>
    <w:p>
      <w:pPr>
        <w:pStyle w:val="Cuerpodetexto"/>
        <w:spacing w:before="7" w:after="0"/>
        <w:rPr/>
      </w:pPr>
      <w:r>
        <w:rPr>
          <w:rFonts w:ascii="Arial Narrow" w:hAnsi="Arial Narrow"/>
        </w:rPr>
        <w:t>Albalat dels Sorells, a _____________________________de______________de 20___(firma/signatura)</w:t>
      </w:r>
    </w:p>
    <w:sectPr>
      <w:headerReference w:type="default" r:id="rId5"/>
      <w:footerReference w:type="default" r:id="rId6"/>
      <w:type w:val="nextPage"/>
      <w:pgSz w:w="11906" w:h="16838"/>
      <w:pgMar w:left="1134" w:right="1134" w:header="0" w:top="697" w:footer="0" w:bottom="278"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Consolas">
    <w:charset w:val="00"/>
    <w:family w:val="roman"/>
    <w:pitch w:val="variable"/>
  </w:font>
  <w:font w:name="Caladea">
    <w:altName w:val="Cambria"/>
    <w:charset w:val="00"/>
    <w:family w:val="roman"/>
    <w:pitch w:val="variable"/>
  </w:font>
  <w:font w:name="Symbol">
    <w:charset w:val="02"/>
    <w:family w:val="auto"/>
    <w:pitch w:val="default"/>
  </w:font>
  <w:font w:name="OpenSymbol">
    <w:altName w:val="Arial Unicode MS"/>
    <w:charset w:val="01"/>
    <w:family w:val="auto"/>
    <w:pitch w:val="default"/>
  </w:font>
  <w:font w:name="Wingdings">
    <w:charset w:val="02"/>
    <w:family w:val="auto"/>
    <w:pitch w:val="variable"/>
  </w:font>
  <w:font w:name="Liberation Sans">
    <w:altName w:val="Arial"/>
    <w:charset w:val="00"/>
    <w:family w:val="swiss"/>
    <w:pitch w:val="variable"/>
  </w:font>
  <w:font w:name="Liberation Sans">
    <w:altName w:val="Arial"/>
    <w:charset w:val="00"/>
    <w:family w:val="roman"/>
    <w:pitch w:val="variable"/>
  </w:font>
  <w:font w:name="Arial Narrow">
    <w:charset w:val="00"/>
    <w:family w:val="roman"/>
    <w:pitch w:val="variable"/>
  </w:font>
  <w:font w:name="Caladea">
    <w:altName w:val="Cambria"/>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pBdr>
        <w:top w:val="single" w:sz="4" w:space="5" w:color="000000"/>
      </w:pBdr>
      <w:jc w:val="center"/>
      <w:rPr/>
    </w:pPr>
    <w:r>
      <w:rPr>
        <w:b/>
      </w:rPr>
      <w:t>Ajuntament d' Albalat dels Sorells</w:t>
    </w:r>
  </w:p>
  <w:p>
    <w:pPr>
      <w:pStyle w:val="Cuerpodetexto"/>
      <w:spacing w:before="0" w:after="120"/>
      <w:jc w:val="center"/>
      <w:rPr/>
    </w:pPr>
    <w:r>
      <w:rPr>
        <w:sz w:val="16"/>
      </w:rPr>
      <w:t>Plaça del Castell, 2, Albalat dels Sorells. 46135 (València). Tel. 961490091. Fax: 961494636</w:t>
    </w:r>
  </w:p>
  <w:p>
    <w:pPr>
      <w:pStyle w:val="Piedepgina"/>
      <w:rPr/>
    </w:pPr>
    <w:r>
      <w:rPr/>
    </w:r>
  </w:p>
  <w:p>
    <w:pPr>
      <w:pStyle w:val="Cuerpodetexto"/>
      <w:spacing w:lineRule="auto" w:line="7"/>
      <w:rPr>
        <w:sz w:val="2"/>
      </w:rPr>
    </w:pPr>
    <w:r>
      <w:rPr>
        <w:sz w:val="2"/>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0" distR="0">
          <wp:extent cx="1749425" cy="699770"/>
          <wp:effectExtent l="0" t="0" r="0" b="0"/>
          <wp:docPr id="6" name="Imagen 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49" descr=""/>
                  <pic:cNvPicPr>
                    <a:picLocks noChangeAspect="1" noChangeArrowheads="1"/>
                  </pic:cNvPicPr>
                </pic:nvPicPr>
                <pic:blipFill>
                  <a:blip r:embed="rId1"/>
                  <a:srcRect l="-99" t="-248" r="-99" b="-248"/>
                  <a:stretch>
                    <a:fillRect/>
                  </a:stretch>
                </pic:blipFill>
                <pic:spPr bwMode="auto">
                  <a:xfrm>
                    <a:off x="0" y="0"/>
                    <a:ext cx="1749425" cy="699770"/>
                  </a:xfrm>
                  <a:prstGeom prst="rect">
                    <a:avLst/>
                  </a:prstGeom>
                </pic:spPr>
              </pic:pic>
            </a:graphicData>
          </a:graphic>
        </wp:inline>
      </w:drawing>
    </w:r>
  </w:p>
  <w:p>
    <w:pPr>
      <w:pStyle w:val="Cuerpodetexto"/>
      <w:spacing w:lineRule="auto" w:line="7"/>
      <w:rPr>
        <w:sz w:val="2"/>
      </w:rPr>
    </w:pPr>
    <w:r>
      <w:rPr>
        <w:sz w:val="2"/>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4"/>
        </w:tabs>
        <w:ind w:left="784" w:hanging="360"/>
      </w:pPr>
      <w:rPr>
        <w:rFonts w:ascii="Symbol" w:hAnsi="Symbol" w:cs="Symbol" w:hint="default"/>
        <w:sz w:val="40"/>
        <w:b/>
        <w:szCs w:val="40"/>
        <w:bCs/>
        <w:rFonts w:cs="OpenSymbol;Arial Unicode MS"/>
        <w:color w:val="000000"/>
      </w:rPr>
    </w:lvl>
    <w:lvl w:ilvl="1">
      <w:start w:val="1"/>
      <w:numFmt w:val="bullet"/>
      <w:lvlText w:val="◦"/>
      <w:lvlJc w:val="left"/>
      <w:pPr>
        <w:tabs>
          <w:tab w:val="num" w:pos="1144"/>
        </w:tabs>
        <w:ind w:left="1144" w:hanging="360"/>
      </w:pPr>
      <w:rPr>
        <w:rFonts w:ascii="OpenSymbol" w:hAnsi="OpenSymbol" w:cs="OpenSymbol" w:hint="default"/>
        <w:sz w:val="40"/>
        <w:b/>
        <w:szCs w:val="40"/>
        <w:bCs/>
        <w:rFonts w:cs="OpenSymbol;Arial Unicode MS"/>
        <w:color w:val="000000"/>
      </w:rPr>
    </w:lvl>
    <w:lvl w:ilvl="2">
      <w:start w:val="1"/>
      <w:numFmt w:val="bullet"/>
      <w:lvlText w:val="▪"/>
      <w:lvlJc w:val="left"/>
      <w:pPr>
        <w:tabs>
          <w:tab w:val="num" w:pos="1504"/>
        </w:tabs>
        <w:ind w:left="1504" w:hanging="360"/>
      </w:pPr>
      <w:rPr>
        <w:rFonts w:ascii="OpenSymbol" w:hAnsi="OpenSymbol" w:cs="OpenSymbol" w:hint="default"/>
        <w:sz w:val="40"/>
        <w:b/>
        <w:szCs w:val="40"/>
        <w:bCs/>
        <w:rFonts w:cs="OpenSymbol;Arial Unicode MS"/>
        <w:color w:val="000000"/>
      </w:rPr>
    </w:lvl>
    <w:lvl w:ilvl="3">
      <w:start w:val="1"/>
      <w:numFmt w:val="bullet"/>
      <w:lvlText w:val=""/>
      <w:lvlJc w:val="left"/>
      <w:pPr>
        <w:tabs>
          <w:tab w:val="num" w:pos="1864"/>
        </w:tabs>
        <w:ind w:left="1864" w:hanging="360"/>
      </w:pPr>
      <w:rPr>
        <w:rFonts w:ascii="Symbol" w:hAnsi="Symbol" w:cs="Symbol" w:hint="default"/>
        <w:sz w:val="40"/>
        <w:b/>
        <w:szCs w:val="40"/>
        <w:bCs/>
        <w:rFonts w:cs="OpenSymbol;Arial Unicode MS"/>
        <w:color w:val="000000"/>
      </w:rPr>
    </w:lvl>
    <w:lvl w:ilvl="4">
      <w:start w:val="1"/>
      <w:numFmt w:val="bullet"/>
      <w:lvlText w:val="◦"/>
      <w:lvlJc w:val="left"/>
      <w:pPr>
        <w:tabs>
          <w:tab w:val="num" w:pos="2224"/>
        </w:tabs>
        <w:ind w:left="2224" w:hanging="360"/>
      </w:pPr>
      <w:rPr>
        <w:rFonts w:ascii="OpenSymbol" w:hAnsi="OpenSymbol" w:cs="OpenSymbol" w:hint="default"/>
        <w:sz w:val="40"/>
        <w:b/>
        <w:szCs w:val="40"/>
        <w:bCs/>
        <w:rFonts w:cs="OpenSymbol;Arial Unicode MS"/>
        <w:color w:val="000000"/>
      </w:rPr>
    </w:lvl>
    <w:lvl w:ilvl="5">
      <w:start w:val="1"/>
      <w:numFmt w:val="bullet"/>
      <w:lvlText w:val="▪"/>
      <w:lvlJc w:val="left"/>
      <w:pPr>
        <w:tabs>
          <w:tab w:val="num" w:pos="2584"/>
        </w:tabs>
        <w:ind w:left="2584" w:hanging="360"/>
      </w:pPr>
      <w:rPr>
        <w:rFonts w:ascii="OpenSymbol" w:hAnsi="OpenSymbol" w:cs="OpenSymbol" w:hint="default"/>
        <w:sz w:val="40"/>
        <w:b/>
        <w:szCs w:val="40"/>
        <w:bCs/>
        <w:rFonts w:cs="OpenSymbol;Arial Unicode MS"/>
        <w:color w:val="000000"/>
      </w:rPr>
    </w:lvl>
    <w:lvl w:ilvl="6">
      <w:start w:val="1"/>
      <w:numFmt w:val="bullet"/>
      <w:lvlText w:val=""/>
      <w:lvlJc w:val="left"/>
      <w:pPr>
        <w:tabs>
          <w:tab w:val="num" w:pos="2944"/>
        </w:tabs>
        <w:ind w:left="2944" w:hanging="360"/>
      </w:pPr>
      <w:rPr>
        <w:rFonts w:ascii="Symbol" w:hAnsi="Symbol" w:cs="Symbol" w:hint="default"/>
        <w:sz w:val="40"/>
        <w:b/>
        <w:szCs w:val="40"/>
        <w:bCs/>
        <w:rFonts w:cs="OpenSymbol;Arial Unicode MS"/>
        <w:color w:val="000000"/>
      </w:rPr>
    </w:lvl>
    <w:lvl w:ilvl="7">
      <w:start w:val="1"/>
      <w:numFmt w:val="bullet"/>
      <w:lvlText w:val="◦"/>
      <w:lvlJc w:val="left"/>
      <w:pPr>
        <w:tabs>
          <w:tab w:val="num" w:pos="3304"/>
        </w:tabs>
        <w:ind w:left="3304" w:hanging="360"/>
      </w:pPr>
      <w:rPr>
        <w:rFonts w:ascii="OpenSymbol" w:hAnsi="OpenSymbol" w:cs="OpenSymbol" w:hint="default"/>
        <w:sz w:val="40"/>
        <w:b/>
        <w:szCs w:val="40"/>
        <w:bCs/>
        <w:rFonts w:cs="OpenSymbol;Arial Unicode MS"/>
        <w:color w:val="000000"/>
      </w:rPr>
    </w:lvl>
    <w:lvl w:ilvl="8">
      <w:start w:val="1"/>
      <w:numFmt w:val="bullet"/>
      <w:lvlText w:val="▪"/>
      <w:lvlJc w:val="left"/>
      <w:pPr>
        <w:tabs>
          <w:tab w:val="num" w:pos="3664"/>
        </w:tabs>
        <w:ind w:left="3664" w:hanging="360"/>
      </w:pPr>
      <w:rPr>
        <w:rFonts w:ascii="OpenSymbol" w:hAnsi="OpenSymbol" w:cs="OpenSymbol" w:hint="default"/>
        <w:sz w:val="40"/>
        <w:b/>
        <w:szCs w:val="40"/>
        <w:bCs/>
        <w:rFonts w:cs="OpenSymbol;Arial Unicode MS"/>
        <w:color w:val="000000"/>
      </w:rPr>
    </w:lvl>
  </w:abstractNum>
  <w:abstractNum w:abstractNumId="2">
    <w:lvl w:ilvl="0">
      <w:start w:val="1"/>
      <w:numFmt w:val="bullet"/>
      <w:lvlText w:val=""/>
      <w:lvlJc w:val="left"/>
      <w:pPr>
        <w:tabs>
          <w:tab w:val="num" w:pos="707"/>
        </w:tabs>
        <w:ind w:left="707" w:hanging="283"/>
      </w:pPr>
      <w:rPr>
        <w:rFonts w:ascii="Wingdings" w:hAnsi="Wingdings" w:cs="Wingdings" w:hint="default"/>
        <w:rFonts w:cs="OpenSymbol;Arial Unicode MS"/>
      </w:rPr>
    </w:lvl>
    <w:lvl w:ilvl="1">
      <w:start w:val="1"/>
      <w:numFmt w:val="bullet"/>
      <w:lvlText w:val=""/>
      <w:lvlJc w:val="left"/>
      <w:pPr>
        <w:tabs>
          <w:tab w:val="num" w:pos="1414"/>
        </w:tabs>
        <w:ind w:left="1414" w:hanging="283"/>
      </w:pPr>
      <w:rPr>
        <w:rFonts w:ascii="Symbol" w:hAnsi="Symbol" w:cs="Symbol" w:hint="default"/>
        <w:rFonts w:cs="OpenSymbol;Arial Unicode MS"/>
      </w:rPr>
    </w:lvl>
    <w:lvl w:ilvl="2">
      <w:start w:val="1"/>
      <w:numFmt w:val="bullet"/>
      <w:lvlText w:val=""/>
      <w:lvlJc w:val="left"/>
      <w:pPr>
        <w:tabs>
          <w:tab w:val="num" w:pos="2121"/>
        </w:tabs>
        <w:ind w:left="2121" w:hanging="283"/>
      </w:pPr>
      <w:rPr>
        <w:rFonts w:ascii="Symbol" w:hAnsi="Symbol" w:cs="Symbol" w:hint="default"/>
        <w:rFonts w:cs="OpenSymbol;Arial Unicode MS"/>
      </w:rPr>
    </w:lvl>
    <w:lvl w:ilvl="3">
      <w:start w:val="1"/>
      <w:numFmt w:val="bullet"/>
      <w:lvlText w:val=""/>
      <w:lvlJc w:val="left"/>
      <w:pPr>
        <w:tabs>
          <w:tab w:val="num" w:pos="2828"/>
        </w:tabs>
        <w:ind w:left="2828" w:hanging="283"/>
      </w:pPr>
      <w:rPr>
        <w:rFonts w:ascii="Symbol" w:hAnsi="Symbol" w:cs="Symbol" w:hint="default"/>
        <w:rFonts w:cs="OpenSymbol;Arial Unicode MS"/>
      </w:rPr>
    </w:lvl>
    <w:lvl w:ilvl="4">
      <w:start w:val="1"/>
      <w:numFmt w:val="bullet"/>
      <w:lvlText w:val=""/>
      <w:lvlJc w:val="left"/>
      <w:pPr>
        <w:tabs>
          <w:tab w:val="num" w:pos="3535"/>
        </w:tabs>
        <w:ind w:left="3535" w:hanging="283"/>
      </w:pPr>
      <w:rPr>
        <w:rFonts w:ascii="Symbol" w:hAnsi="Symbol" w:cs="Symbol" w:hint="default"/>
        <w:rFonts w:cs="OpenSymbol;Arial Unicode MS"/>
      </w:rPr>
    </w:lvl>
    <w:lvl w:ilvl="5">
      <w:start w:val="1"/>
      <w:numFmt w:val="bullet"/>
      <w:lvlText w:val=""/>
      <w:lvlJc w:val="left"/>
      <w:pPr>
        <w:tabs>
          <w:tab w:val="num" w:pos="4242"/>
        </w:tabs>
        <w:ind w:left="4242" w:hanging="283"/>
      </w:pPr>
      <w:rPr>
        <w:rFonts w:ascii="Symbol" w:hAnsi="Symbol" w:cs="Symbol" w:hint="default"/>
        <w:rFonts w:cs="OpenSymbol;Arial Unicode MS"/>
      </w:rPr>
    </w:lvl>
    <w:lvl w:ilvl="6">
      <w:start w:val="1"/>
      <w:numFmt w:val="bullet"/>
      <w:lvlText w:val=""/>
      <w:lvlJc w:val="left"/>
      <w:pPr>
        <w:tabs>
          <w:tab w:val="num" w:pos="4949"/>
        </w:tabs>
        <w:ind w:left="4949" w:hanging="283"/>
      </w:pPr>
      <w:rPr>
        <w:rFonts w:ascii="Symbol" w:hAnsi="Symbol" w:cs="Symbol" w:hint="default"/>
        <w:rFonts w:cs="OpenSymbol;Arial Unicode MS"/>
      </w:rPr>
    </w:lvl>
    <w:lvl w:ilvl="7">
      <w:start w:val="1"/>
      <w:numFmt w:val="bullet"/>
      <w:lvlText w:val=""/>
      <w:lvlJc w:val="left"/>
      <w:pPr>
        <w:tabs>
          <w:tab w:val="num" w:pos="5656"/>
        </w:tabs>
        <w:ind w:left="5656" w:hanging="283"/>
      </w:pPr>
      <w:rPr>
        <w:rFonts w:ascii="Symbol" w:hAnsi="Symbol" w:cs="Symbol" w:hint="default"/>
        <w:rFonts w:cs="OpenSymbol;Arial Unicode MS"/>
      </w:rPr>
    </w:lvl>
    <w:lvl w:ilvl="8">
      <w:start w:val="1"/>
      <w:numFmt w:val="bullet"/>
      <w:lvlText w:val=""/>
      <w:lvlJc w:val="left"/>
      <w:pPr>
        <w:tabs>
          <w:tab w:val="num" w:pos="6363"/>
        </w:tabs>
        <w:ind w:left="6363" w:hanging="283"/>
      </w:pPr>
      <w:rPr>
        <w:rFonts w:ascii="Symbol" w:hAnsi="Symbol" w:cs="Symbol" w:hint="default"/>
        <w:rFonts w:cs="OpenSymbol;Arial Unicode MS"/>
      </w:rPr>
    </w:lvl>
  </w:abstractNum>
  <w:abstractNum w:abstractNumId="3">
    <w:lvl w:ilvl="0">
      <w:start w:val="2"/>
      <w:numFmt w:val="bullet"/>
      <w:lvlText w:val="-"/>
      <w:lvlJc w:val="left"/>
      <w:pPr>
        <w:ind w:left="720" w:hanging="360"/>
      </w:pPr>
      <w:rPr>
        <w:rFonts w:ascii="Times New Roman" w:hAnsi="Times New Roman" w:cs="Times New Roman" w:hint="default"/>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bullet"/>
      <w:lvlText w:val=""/>
      <w:lvlJc w:val="left"/>
      <w:pPr>
        <w:tabs>
          <w:tab w:val="num" w:pos="784"/>
        </w:tabs>
        <w:ind w:left="784" w:hanging="360"/>
      </w:pPr>
      <w:rPr>
        <w:rFonts w:ascii="Symbol" w:hAnsi="Symbol" w:cs="Symbol" w:hint="default"/>
        <w:sz w:val="40"/>
        <w:b/>
        <w:szCs w:val="40"/>
        <w:bCs/>
        <w:rFonts w:cs="OpenSymbol;Arial Unicode MS"/>
        <w:color w:val="000000"/>
      </w:rPr>
    </w:lvl>
    <w:lvl w:ilvl="1">
      <w:start w:val="1"/>
      <w:numFmt w:val="bullet"/>
      <w:lvlText w:val="◦"/>
      <w:lvlJc w:val="left"/>
      <w:pPr>
        <w:tabs>
          <w:tab w:val="num" w:pos="1144"/>
        </w:tabs>
        <w:ind w:left="1144" w:hanging="360"/>
      </w:pPr>
      <w:rPr>
        <w:rFonts w:ascii="OpenSymbol" w:hAnsi="OpenSymbol" w:cs="OpenSymbol" w:hint="default"/>
        <w:sz w:val="40"/>
        <w:b/>
        <w:szCs w:val="40"/>
        <w:bCs/>
        <w:rFonts w:cs="OpenSymbol;Arial Unicode MS"/>
        <w:color w:val="000000"/>
      </w:rPr>
    </w:lvl>
    <w:lvl w:ilvl="2">
      <w:start w:val="1"/>
      <w:numFmt w:val="bullet"/>
      <w:lvlText w:val="▪"/>
      <w:lvlJc w:val="left"/>
      <w:pPr>
        <w:tabs>
          <w:tab w:val="num" w:pos="1504"/>
        </w:tabs>
        <w:ind w:left="1504" w:hanging="360"/>
      </w:pPr>
      <w:rPr>
        <w:rFonts w:ascii="OpenSymbol" w:hAnsi="OpenSymbol" w:cs="OpenSymbol" w:hint="default"/>
        <w:sz w:val="40"/>
        <w:b/>
        <w:szCs w:val="40"/>
        <w:bCs/>
        <w:rFonts w:cs="OpenSymbol;Arial Unicode MS"/>
        <w:color w:val="000000"/>
      </w:rPr>
    </w:lvl>
    <w:lvl w:ilvl="3">
      <w:start w:val="1"/>
      <w:numFmt w:val="bullet"/>
      <w:lvlText w:val=""/>
      <w:lvlJc w:val="left"/>
      <w:pPr>
        <w:tabs>
          <w:tab w:val="num" w:pos="1864"/>
        </w:tabs>
        <w:ind w:left="1864" w:hanging="360"/>
      </w:pPr>
      <w:rPr>
        <w:rFonts w:ascii="Symbol" w:hAnsi="Symbol" w:cs="Symbol" w:hint="default"/>
        <w:sz w:val="40"/>
        <w:b/>
        <w:szCs w:val="40"/>
        <w:bCs/>
        <w:rFonts w:cs="OpenSymbol;Arial Unicode MS"/>
        <w:color w:val="000000"/>
      </w:rPr>
    </w:lvl>
    <w:lvl w:ilvl="4">
      <w:start w:val="1"/>
      <w:numFmt w:val="bullet"/>
      <w:lvlText w:val="◦"/>
      <w:lvlJc w:val="left"/>
      <w:pPr>
        <w:tabs>
          <w:tab w:val="num" w:pos="2224"/>
        </w:tabs>
        <w:ind w:left="2224" w:hanging="360"/>
      </w:pPr>
      <w:rPr>
        <w:rFonts w:ascii="OpenSymbol" w:hAnsi="OpenSymbol" w:cs="OpenSymbol" w:hint="default"/>
        <w:sz w:val="40"/>
        <w:b/>
        <w:szCs w:val="40"/>
        <w:bCs/>
        <w:rFonts w:cs="OpenSymbol;Arial Unicode MS"/>
        <w:color w:val="000000"/>
      </w:rPr>
    </w:lvl>
    <w:lvl w:ilvl="5">
      <w:start w:val="1"/>
      <w:numFmt w:val="bullet"/>
      <w:lvlText w:val="▪"/>
      <w:lvlJc w:val="left"/>
      <w:pPr>
        <w:tabs>
          <w:tab w:val="num" w:pos="2584"/>
        </w:tabs>
        <w:ind w:left="2584" w:hanging="360"/>
      </w:pPr>
      <w:rPr>
        <w:rFonts w:ascii="OpenSymbol" w:hAnsi="OpenSymbol" w:cs="OpenSymbol" w:hint="default"/>
        <w:sz w:val="40"/>
        <w:b/>
        <w:szCs w:val="40"/>
        <w:bCs/>
        <w:rFonts w:cs="OpenSymbol;Arial Unicode MS"/>
        <w:color w:val="000000"/>
      </w:rPr>
    </w:lvl>
    <w:lvl w:ilvl="6">
      <w:start w:val="1"/>
      <w:numFmt w:val="bullet"/>
      <w:lvlText w:val=""/>
      <w:lvlJc w:val="left"/>
      <w:pPr>
        <w:tabs>
          <w:tab w:val="num" w:pos="2944"/>
        </w:tabs>
        <w:ind w:left="2944" w:hanging="360"/>
      </w:pPr>
      <w:rPr>
        <w:rFonts w:ascii="Symbol" w:hAnsi="Symbol" w:cs="Symbol" w:hint="default"/>
        <w:sz w:val="40"/>
        <w:b/>
        <w:szCs w:val="40"/>
        <w:bCs/>
        <w:rFonts w:cs="OpenSymbol;Arial Unicode MS"/>
        <w:color w:val="000000"/>
      </w:rPr>
    </w:lvl>
    <w:lvl w:ilvl="7">
      <w:start w:val="1"/>
      <w:numFmt w:val="bullet"/>
      <w:lvlText w:val="◦"/>
      <w:lvlJc w:val="left"/>
      <w:pPr>
        <w:tabs>
          <w:tab w:val="num" w:pos="3304"/>
        </w:tabs>
        <w:ind w:left="3304" w:hanging="360"/>
      </w:pPr>
      <w:rPr>
        <w:rFonts w:ascii="OpenSymbol" w:hAnsi="OpenSymbol" w:cs="OpenSymbol" w:hint="default"/>
        <w:sz w:val="40"/>
        <w:b/>
        <w:szCs w:val="40"/>
        <w:bCs/>
        <w:rFonts w:cs="OpenSymbol;Arial Unicode MS"/>
        <w:color w:val="000000"/>
      </w:rPr>
    </w:lvl>
    <w:lvl w:ilvl="8">
      <w:start w:val="1"/>
      <w:numFmt w:val="bullet"/>
      <w:lvlText w:val="▪"/>
      <w:lvlJc w:val="left"/>
      <w:pPr>
        <w:tabs>
          <w:tab w:val="num" w:pos="3664"/>
        </w:tabs>
        <w:ind w:left="3664" w:hanging="360"/>
      </w:pPr>
      <w:rPr>
        <w:rFonts w:ascii="OpenSymbol" w:hAnsi="OpenSymbol" w:cs="OpenSymbol" w:hint="default"/>
        <w:sz w:val="40"/>
        <w:b/>
        <w:szCs w:val="40"/>
        <w:bCs/>
        <w:rFonts w:cs="OpenSymbol;Arial Unicode MS"/>
        <w:color w:val="000000"/>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2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uiPriority w:val="1"/>
    <w:qFormat/>
    <w:rsid w:val="00752737"/>
    <w:pPr>
      <w:widowControl/>
      <w:bidi w:val="0"/>
      <w:jc w:val="left"/>
    </w:pPr>
    <w:rPr>
      <w:rFonts w:ascii="Times New Roman" w:hAnsi="Times New Roman" w:eastAsia="Times New Roman" w:cs="Times New Roman"/>
      <w:color w:val="auto"/>
      <w:kern w:val="0"/>
      <w:sz w:val="22"/>
      <w:szCs w:val="22"/>
      <w:lang w:val="ca-ES" w:eastAsia="ca-ES" w:bidi="ca-ES"/>
    </w:rPr>
  </w:style>
  <w:style w:type="character" w:styleId="DefaultParagraphFont" w:default="1">
    <w:name w:val="Default Paragraph Font"/>
    <w:uiPriority w:val="1"/>
    <w:semiHidden/>
    <w:unhideWhenUsed/>
    <w:qFormat/>
    <w:rPr/>
  </w:style>
  <w:style w:type="character" w:styleId="TextodegloboCar" w:customStyle="1">
    <w:name w:val="Texto de globo Car"/>
    <w:basedOn w:val="DefaultParagraphFont"/>
    <w:link w:val="Textodeglobo"/>
    <w:uiPriority w:val="99"/>
    <w:semiHidden/>
    <w:qFormat/>
    <w:rsid w:val="0071326f"/>
    <w:rPr>
      <w:rFonts w:ascii="Tahoma" w:hAnsi="Tahoma" w:eastAsia="Times New Roman" w:cs="Tahoma"/>
      <w:sz w:val="16"/>
      <w:szCs w:val="16"/>
      <w:lang w:val="ca-ES" w:eastAsia="ca-ES" w:bidi="ca-ES"/>
    </w:rPr>
  </w:style>
  <w:style w:type="character" w:styleId="EnlacedeInternet" w:customStyle="1">
    <w:name w:val="Enlace de Internet"/>
    <w:rsid w:val="003f44a3"/>
    <w:rPr>
      <w:color w:val="000080"/>
      <w:u w:val="single"/>
    </w:rPr>
  </w:style>
  <w:style w:type="character" w:styleId="EncabezadoCar" w:customStyle="1">
    <w:name w:val="Encabezado Car"/>
    <w:basedOn w:val="DefaultParagraphFont"/>
    <w:link w:val="Encabezado"/>
    <w:uiPriority w:val="99"/>
    <w:qFormat/>
    <w:rsid w:val="00bb33a3"/>
    <w:rPr>
      <w:rFonts w:ascii="Times New Roman" w:hAnsi="Times New Roman" w:eastAsia="Times New Roman" w:cs="Times New Roman"/>
      <w:lang w:val="ca-ES" w:eastAsia="ca-ES" w:bidi="ca-ES"/>
    </w:rPr>
  </w:style>
  <w:style w:type="character" w:styleId="PiedepginaCar" w:customStyle="1">
    <w:name w:val="Pie de página Car"/>
    <w:basedOn w:val="DefaultParagraphFont"/>
    <w:link w:val="Piedepgina"/>
    <w:uiPriority w:val="99"/>
    <w:qFormat/>
    <w:rsid w:val="00bb33a3"/>
    <w:rPr>
      <w:rFonts w:ascii="Times New Roman" w:hAnsi="Times New Roman" w:eastAsia="Times New Roman" w:cs="Times New Roman"/>
      <w:lang w:val="ca-ES" w:eastAsia="ca-ES" w:bidi="ca-ES"/>
    </w:rPr>
  </w:style>
  <w:style w:type="character" w:styleId="TextosinformatoCar" w:customStyle="1">
    <w:name w:val="Texto sin formato Car"/>
    <w:basedOn w:val="DefaultParagraphFont"/>
    <w:link w:val="Textosinformato"/>
    <w:uiPriority w:val="99"/>
    <w:qFormat/>
    <w:rsid w:val="00245475"/>
    <w:rPr>
      <w:rFonts w:ascii="Consolas" w:hAnsi="Consolas"/>
      <w:sz w:val="21"/>
      <w:szCs w:val="21"/>
      <w:lang w:val="es-ES"/>
    </w:rPr>
  </w:style>
  <w:style w:type="character" w:styleId="ListLabel1" w:customStyle="1">
    <w:name w:val="ListLabel 1"/>
    <w:qFormat/>
    <w:rPr>
      <w:rFonts w:eastAsia="Times New Roman" w:cs="Times New Roman"/>
      <w:spacing w:val="-1"/>
      <w:w w:val="94"/>
      <w:sz w:val="24"/>
      <w:szCs w:val="24"/>
      <w:lang w:val="ca-ES" w:eastAsia="ca-ES" w:bidi="ca-ES"/>
    </w:rPr>
  </w:style>
  <w:style w:type="character" w:styleId="ListLabel2" w:customStyle="1">
    <w:name w:val="ListLabel 2"/>
    <w:qFormat/>
    <w:rPr>
      <w:rFonts w:eastAsia="Arial Narrow" w:cs="Arial Narrow"/>
      <w:spacing w:val="-31"/>
      <w:w w:val="100"/>
      <w:sz w:val="24"/>
      <w:szCs w:val="24"/>
      <w:lang w:val="ca-ES" w:eastAsia="ca-ES" w:bidi="ca-ES"/>
    </w:rPr>
  </w:style>
  <w:style w:type="character" w:styleId="ListLabel3" w:customStyle="1">
    <w:name w:val="ListLabel 3"/>
    <w:qFormat/>
    <w:rPr>
      <w:lang w:val="ca-ES" w:eastAsia="ca-ES" w:bidi="ca-ES"/>
    </w:rPr>
  </w:style>
  <w:style w:type="character" w:styleId="ListLabel4" w:customStyle="1">
    <w:name w:val="ListLabel 4"/>
    <w:qFormat/>
    <w:rPr>
      <w:lang w:val="ca-ES" w:eastAsia="ca-ES" w:bidi="ca-ES"/>
    </w:rPr>
  </w:style>
  <w:style w:type="character" w:styleId="ListLabel5" w:customStyle="1">
    <w:name w:val="ListLabel 5"/>
    <w:qFormat/>
    <w:rPr>
      <w:lang w:val="ca-ES" w:eastAsia="ca-ES" w:bidi="ca-ES"/>
    </w:rPr>
  </w:style>
  <w:style w:type="character" w:styleId="ListLabel6" w:customStyle="1">
    <w:name w:val="ListLabel 6"/>
    <w:qFormat/>
    <w:rPr>
      <w:lang w:val="ca-ES" w:eastAsia="ca-ES" w:bidi="ca-ES"/>
    </w:rPr>
  </w:style>
  <w:style w:type="character" w:styleId="ListLabel7" w:customStyle="1">
    <w:name w:val="ListLabel 7"/>
    <w:qFormat/>
    <w:rPr>
      <w:lang w:val="ca-ES" w:eastAsia="ca-ES" w:bidi="ca-ES"/>
    </w:rPr>
  </w:style>
  <w:style w:type="character" w:styleId="ListLabel8" w:customStyle="1">
    <w:name w:val="ListLabel 8"/>
    <w:qFormat/>
    <w:rPr>
      <w:lang w:val="ca-ES" w:eastAsia="ca-ES" w:bidi="ca-ES"/>
    </w:rPr>
  </w:style>
  <w:style w:type="character" w:styleId="ListLabel9" w:customStyle="1">
    <w:name w:val="ListLabel 9"/>
    <w:qFormat/>
    <w:rPr>
      <w:lang w:val="ca-ES" w:eastAsia="ca-ES" w:bidi="ca-ES"/>
    </w:rPr>
  </w:style>
  <w:style w:type="character" w:styleId="ListLabel10" w:customStyle="1">
    <w:name w:val="ListLabel 10"/>
    <w:qFormat/>
    <w:rPr>
      <w:rFonts w:eastAsia="Times New Roman" w:cs="Times New Roman"/>
      <w:b/>
      <w:bCs/>
      <w:w w:val="95"/>
      <w:sz w:val="24"/>
      <w:szCs w:val="24"/>
      <w:lang w:val="ca-ES" w:eastAsia="ca-ES" w:bidi="ca-ES"/>
    </w:rPr>
  </w:style>
  <w:style w:type="character" w:styleId="ListLabel11" w:customStyle="1">
    <w:name w:val="ListLabel 11"/>
    <w:qFormat/>
    <w:rPr>
      <w:lang w:val="ca-ES" w:eastAsia="ca-ES" w:bidi="ca-ES"/>
    </w:rPr>
  </w:style>
  <w:style w:type="character" w:styleId="ListLabel12" w:customStyle="1">
    <w:name w:val="ListLabel 12"/>
    <w:qFormat/>
    <w:rPr>
      <w:lang w:val="ca-ES" w:eastAsia="ca-ES" w:bidi="ca-ES"/>
    </w:rPr>
  </w:style>
  <w:style w:type="character" w:styleId="ListLabel13" w:customStyle="1">
    <w:name w:val="ListLabel 13"/>
    <w:qFormat/>
    <w:rPr>
      <w:lang w:val="ca-ES" w:eastAsia="ca-ES" w:bidi="ca-ES"/>
    </w:rPr>
  </w:style>
  <w:style w:type="character" w:styleId="ListLabel14" w:customStyle="1">
    <w:name w:val="ListLabel 14"/>
    <w:qFormat/>
    <w:rPr>
      <w:lang w:val="ca-ES" w:eastAsia="ca-ES" w:bidi="ca-ES"/>
    </w:rPr>
  </w:style>
  <w:style w:type="character" w:styleId="ListLabel15" w:customStyle="1">
    <w:name w:val="ListLabel 15"/>
    <w:qFormat/>
    <w:rPr>
      <w:lang w:val="ca-ES" w:eastAsia="ca-ES" w:bidi="ca-ES"/>
    </w:rPr>
  </w:style>
  <w:style w:type="character" w:styleId="ListLabel16" w:customStyle="1">
    <w:name w:val="ListLabel 16"/>
    <w:qFormat/>
    <w:rPr>
      <w:lang w:val="ca-ES" w:eastAsia="ca-ES" w:bidi="ca-ES"/>
    </w:rPr>
  </w:style>
  <w:style w:type="character" w:styleId="ListLabel17" w:customStyle="1">
    <w:name w:val="ListLabel 17"/>
    <w:qFormat/>
    <w:rPr>
      <w:lang w:val="ca-ES" w:eastAsia="ca-ES" w:bidi="ca-ES"/>
    </w:rPr>
  </w:style>
  <w:style w:type="character" w:styleId="ListLabel18" w:customStyle="1">
    <w:name w:val="ListLabel 18"/>
    <w:qFormat/>
    <w:rPr>
      <w:lang w:val="ca-ES" w:eastAsia="ca-ES" w:bidi="ca-ES"/>
    </w:rPr>
  </w:style>
  <w:style w:type="character" w:styleId="ListLabel19" w:customStyle="1">
    <w:name w:val="ListLabel 19"/>
    <w:qFormat/>
    <w:rPr>
      <w:rFonts w:eastAsia="Times New Roman" w:cs="Times New Roman"/>
      <w:spacing w:val="13"/>
      <w:w w:val="94"/>
      <w:sz w:val="20"/>
      <w:szCs w:val="20"/>
      <w:lang w:val="ca-ES" w:eastAsia="ca-ES" w:bidi="ca-ES"/>
    </w:rPr>
  </w:style>
  <w:style w:type="character" w:styleId="ListLabel20" w:customStyle="1">
    <w:name w:val="ListLabel 20"/>
    <w:qFormat/>
    <w:rPr>
      <w:lang w:val="ca-ES" w:eastAsia="ca-ES" w:bidi="ca-ES"/>
    </w:rPr>
  </w:style>
  <w:style w:type="character" w:styleId="ListLabel21" w:customStyle="1">
    <w:name w:val="ListLabel 21"/>
    <w:qFormat/>
    <w:rPr>
      <w:lang w:val="ca-ES" w:eastAsia="ca-ES" w:bidi="ca-ES"/>
    </w:rPr>
  </w:style>
  <w:style w:type="character" w:styleId="ListLabel22" w:customStyle="1">
    <w:name w:val="ListLabel 22"/>
    <w:qFormat/>
    <w:rPr>
      <w:lang w:val="ca-ES" w:eastAsia="ca-ES" w:bidi="ca-ES"/>
    </w:rPr>
  </w:style>
  <w:style w:type="character" w:styleId="ListLabel23" w:customStyle="1">
    <w:name w:val="ListLabel 23"/>
    <w:qFormat/>
    <w:rPr>
      <w:lang w:val="ca-ES" w:eastAsia="ca-ES" w:bidi="ca-ES"/>
    </w:rPr>
  </w:style>
  <w:style w:type="character" w:styleId="ListLabel24" w:customStyle="1">
    <w:name w:val="ListLabel 24"/>
    <w:qFormat/>
    <w:rPr>
      <w:lang w:val="ca-ES" w:eastAsia="ca-ES" w:bidi="ca-ES"/>
    </w:rPr>
  </w:style>
  <w:style w:type="character" w:styleId="ListLabel25" w:customStyle="1">
    <w:name w:val="ListLabel 25"/>
    <w:qFormat/>
    <w:rPr>
      <w:lang w:val="ca-ES" w:eastAsia="ca-ES" w:bidi="ca-ES"/>
    </w:rPr>
  </w:style>
  <w:style w:type="character" w:styleId="ListLabel26" w:customStyle="1">
    <w:name w:val="ListLabel 26"/>
    <w:qFormat/>
    <w:rPr>
      <w:lang w:val="ca-ES" w:eastAsia="ca-ES" w:bidi="ca-ES"/>
    </w:rPr>
  </w:style>
  <w:style w:type="character" w:styleId="ListLabel27" w:customStyle="1">
    <w:name w:val="ListLabel 27"/>
    <w:qFormat/>
    <w:rPr>
      <w:lang w:val="ca-ES" w:eastAsia="ca-ES" w:bidi="ca-ES"/>
    </w:rPr>
  </w:style>
  <w:style w:type="character" w:styleId="ListLabel28" w:customStyle="1">
    <w:name w:val="ListLabel 28"/>
    <w:qFormat/>
    <w:rPr>
      <w:rFonts w:eastAsia="Times New Roman" w:cs="Times New Roman"/>
      <w:spacing w:val="0"/>
      <w:w w:val="95"/>
      <w:sz w:val="24"/>
      <w:szCs w:val="24"/>
      <w:lang w:val="ca-ES" w:eastAsia="ca-ES" w:bidi="ca-ES"/>
    </w:rPr>
  </w:style>
  <w:style w:type="character" w:styleId="ListLabel29" w:customStyle="1">
    <w:name w:val="ListLabel 29"/>
    <w:qFormat/>
    <w:rPr>
      <w:lang w:val="ca-ES" w:eastAsia="ca-ES" w:bidi="ca-ES"/>
    </w:rPr>
  </w:style>
  <w:style w:type="character" w:styleId="ListLabel30" w:customStyle="1">
    <w:name w:val="ListLabel 30"/>
    <w:qFormat/>
    <w:rPr>
      <w:lang w:val="ca-ES" w:eastAsia="ca-ES" w:bidi="ca-ES"/>
    </w:rPr>
  </w:style>
  <w:style w:type="character" w:styleId="ListLabel31" w:customStyle="1">
    <w:name w:val="ListLabel 31"/>
    <w:qFormat/>
    <w:rPr>
      <w:lang w:val="ca-ES" w:eastAsia="ca-ES" w:bidi="ca-ES"/>
    </w:rPr>
  </w:style>
  <w:style w:type="character" w:styleId="ListLabel32" w:customStyle="1">
    <w:name w:val="ListLabel 32"/>
    <w:qFormat/>
    <w:rPr>
      <w:lang w:val="ca-ES" w:eastAsia="ca-ES" w:bidi="ca-ES"/>
    </w:rPr>
  </w:style>
  <w:style w:type="character" w:styleId="ListLabel33" w:customStyle="1">
    <w:name w:val="ListLabel 33"/>
    <w:qFormat/>
    <w:rPr>
      <w:lang w:val="ca-ES" w:eastAsia="ca-ES" w:bidi="ca-ES"/>
    </w:rPr>
  </w:style>
  <w:style w:type="character" w:styleId="ListLabel34" w:customStyle="1">
    <w:name w:val="ListLabel 34"/>
    <w:qFormat/>
    <w:rPr>
      <w:lang w:val="ca-ES" w:eastAsia="ca-ES" w:bidi="ca-ES"/>
    </w:rPr>
  </w:style>
  <w:style w:type="character" w:styleId="ListLabel35" w:customStyle="1">
    <w:name w:val="ListLabel 35"/>
    <w:qFormat/>
    <w:rPr>
      <w:lang w:val="ca-ES" w:eastAsia="ca-ES" w:bidi="ca-ES"/>
    </w:rPr>
  </w:style>
  <w:style w:type="character" w:styleId="ListLabel36" w:customStyle="1">
    <w:name w:val="ListLabel 36"/>
    <w:qFormat/>
    <w:rPr>
      <w:lang w:val="ca-ES" w:eastAsia="ca-ES" w:bidi="ca-ES"/>
    </w:rPr>
  </w:style>
  <w:style w:type="character" w:styleId="ListLabel37" w:customStyle="1">
    <w:name w:val="ListLabel 37"/>
    <w:qFormat/>
    <w:rPr>
      <w:rFonts w:eastAsia="Times New Roman" w:cs="Times New Roman"/>
      <w:spacing w:val="0"/>
      <w:w w:val="95"/>
      <w:sz w:val="24"/>
      <w:szCs w:val="24"/>
      <w:lang w:val="ca-ES" w:eastAsia="ca-ES" w:bidi="ca-ES"/>
    </w:rPr>
  </w:style>
  <w:style w:type="character" w:styleId="ListLabel38" w:customStyle="1">
    <w:name w:val="ListLabel 38"/>
    <w:qFormat/>
    <w:rPr>
      <w:rFonts w:eastAsia="Times New Roman" w:cs="Times New Roman"/>
      <w:spacing w:val="0"/>
      <w:w w:val="95"/>
      <w:sz w:val="24"/>
      <w:szCs w:val="24"/>
      <w:lang w:val="ca-ES" w:eastAsia="ca-ES" w:bidi="ca-ES"/>
    </w:rPr>
  </w:style>
  <w:style w:type="character" w:styleId="ListLabel39" w:customStyle="1">
    <w:name w:val="ListLabel 39"/>
    <w:qFormat/>
    <w:rPr>
      <w:lang w:val="ca-ES" w:eastAsia="ca-ES" w:bidi="ca-ES"/>
    </w:rPr>
  </w:style>
  <w:style w:type="character" w:styleId="ListLabel40" w:customStyle="1">
    <w:name w:val="ListLabel 40"/>
    <w:qFormat/>
    <w:rPr>
      <w:lang w:val="ca-ES" w:eastAsia="ca-ES" w:bidi="ca-ES"/>
    </w:rPr>
  </w:style>
  <w:style w:type="character" w:styleId="ListLabel41" w:customStyle="1">
    <w:name w:val="ListLabel 41"/>
    <w:qFormat/>
    <w:rPr>
      <w:lang w:val="ca-ES" w:eastAsia="ca-ES" w:bidi="ca-ES"/>
    </w:rPr>
  </w:style>
  <w:style w:type="character" w:styleId="ListLabel42" w:customStyle="1">
    <w:name w:val="ListLabel 42"/>
    <w:qFormat/>
    <w:rPr>
      <w:lang w:val="ca-ES" w:eastAsia="ca-ES" w:bidi="ca-ES"/>
    </w:rPr>
  </w:style>
  <w:style w:type="character" w:styleId="ListLabel43" w:customStyle="1">
    <w:name w:val="ListLabel 43"/>
    <w:qFormat/>
    <w:rPr>
      <w:lang w:val="ca-ES" w:eastAsia="ca-ES" w:bidi="ca-ES"/>
    </w:rPr>
  </w:style>
  <w:style w:type="character" w:styleId="ListLabel44" w:customStyle="1">
    <w:name w:val="ListLabel 44"/>
    <w:qFormat/>
    <w:rPr>
      <w:lang w:val="ca-ES" w:eastAsia="ca-ES" w:bidi="ca-ES"/>
    </w:rPr>
  </w:style>
  <w:style w:type="character" w:styleId="ListLabel45" w:customStyle="1">
    <w:name w:val="ListLabel 45"/>
    <w:qFormat/>
    <w:rPr>
      <w:lang w:val="ca-ES" w:eastAsia="ca-ES" w:bidi="ca-ES"/>
    </w:rPr>
  </w:style>
  <w:style w:type="character" w:styleId="ListLabel46" w:customStyle="1">
    <w:name w:val="ListLabel 46"/>
    <w:qFormat/>
    <w:rPr>
      <w:w w:val="95"/>
      <w:u w:val="thick" w:color="000000"/>
      <w:lang w:val="ca-ES" w:eastAsia="ca-ES" w:bidi="ca-ES"/>
    </w:rPr>
  </w:style>
  <w:style w:type="character" w:styleId="ListLabel47" w:customStyle="1">
    <w:name w:val="ListLabel 47"/>
    <w:qFormat/>
    <w:rPr>
      <w:lang w:val="ca-ES" w:eastAsia="ca-ES" w:bidi="ca-ES"/>
    </w:rPr>
  </w:style>
  <w:style w:type="character" w:styleId="ListLabel48" w:customStyle="1">
    <w:name w:val="ListLabel 48"/>
    <w:qFormat/>
    <w:rPr>
      <w:lang w:val="ca-ES" w:eastAsia="ca-ES" w:bidi="ca-ES"/>
    </w:rPr>
  </w:style>
  <w:style w:type="character" w:styleId="ListLabel49" w:customStyle="1">
    <w:name w:val="ListLabel 49"/>
    <w:qFormat/>
    <w:rPr>
      <w:lang w:val="ca-ES" w:eastAsia="ca-ES" w:bidi="ca-ES"/>
    </w:rPr>
  </w:style>
  <w:style w:type="character" w:styleId="ListLabel50" w:customStyle="1">
    <w:name w:val="ListLabel 50"/>
    <w:qFormat/>
    <w:rPr>
      <w:lang w:val="ca-ES" w:eastAsia="ca-ES" w:bidi="ca-ES"/>
    </w:rPr>
  </w:style>
  <w:style w:type="character" w:styleId="ListLabel51" w:customStyle="1">
    <w:name w:val="ListLabel 51"/>
    <w:qFormat/>
    <w:rPr>
      <w:lang w:val="ca-ES" w:eastAsia="ca-ES" w:bidi="ca-ES"/>
    </w:rPr>
  </w:style>
  <w:style w:type="character" w:styleId="ListLabel52" w:customStyle="1">
    <w:name w:val="ListLabel 52"/>
    <w:qFormat/>
    <w:rPr>
      <w:lang w:val="ca-ES" w:eastAsia="ca-ES" w:bidi="ca-ES"/>
    </w:rPr>
  </w:style>
  <w:style w:type="character" w:styleId="ListLabel53" w:customStyle="1">
    <w:name w:val="ListLabel 53"/>
    <w:qFormat/>
    <w:rPr>
      <w:lang w:val="ca-ES" w:eastAsia="ca-ES" w:bidi="ca-ES"/>
    </w:rPr>
  </w:style>
  <w:style w:type="character" w:styleId="ListLabel54" w:customStyle="1">
    <w:name w:val="ListLabel 54"/>
    <w:qFormat/>
    <w:rPr>
      <w:lang w:val="ca-ES" w:eastAsia="ca-ES" w:bidi="ca-ES"/>
    </w:rPr>
  </w:style>
  <w:style w:type="character" w:styleId="ListLabel55" w:customStyle="1">
    <w:name w:val="ListLabel 55"/>
    <w:qFormat/>
    <w:rPr>
      <w:rFonts w:cs="Courier New"/>
    </w:rPr>
  </w:style>
  <w:style w:type="character" w:styleId="ListLabel56" w:customStyle="1">
    <w:name w:val="ListLabel 56"/>
    <w:qFormat/>
    <w:rPr>
      <w:rFonts w:cs="Courier New"/>
    </w:rPr>
  </w:style>
  <w:style w:type="character" w:styleId="ListLabel57" w:customStyle="1">
    <w:name w:val="ListLabel 57"/>
    <w:qFormat/>
    <w:rPr>
      <w:rFonts w:cs="Courier New"/>
    </w:rPr>
  </w:style>
  <w:style w:type="character" w:styleId="ListLabel58" w:customStyle="1">
    <w:name w:val="ListLabel 58"/>
    <w:qFormat/>
    <w:rPr>
      <w:rFonts w:cs="Courier New"/>
    </w:rPr>
  </w:style>
  <w:style w:type="character" w:styleId="ListLabel59" w:customStyle="1">
    <w:name w:val="ListLabel 59"/>
    <w:qFormat/>
    <w:rPr>
      <w:rFonts w:cs="Courier New"/>
    </w:rPr>
  </w:style>
  <w:style w:type="character" w:styleId="ListLabel60" w:customStyle="1">
    <w:name w:val="ListLabel 60"/>
    <w:qFormat/>
    <w:rPr>
      <w:rFonts w:cs="Courier New"/>
    </w:rPr>
  </w:style>
  <w:style w:type="character" w:styleId="ListLabel61" w:customStyle="1">
    <w:name w:val="ListLabel 61"/>
    <w:qFormat/>
    <w:rPr>
      <w:rFonts w:ascii="Caladea" w:hAnsi="Caladea" w:cs="Caladea"/>
      <w:sz w:val="22"/>
      <w:szCs w:val="22"/>
    </w:rPr>
  </w:style>
  <w:style w:type="character" w:styleId="ListLabel62" w:customStyle="1">
    <w:name w:val="ListLabel 62"/>
    <w:qFormat/>
    <w:rPr>
      <w:rFonts w:ascii="Caladea" w:hAnsi="Caladea" w:cs="Caladea"/>
      <w:sz w:val="22"/>
      <w:szCs w:val="22"/>
    </w:rPr>
  </w:style>
  <w:style w:type="character" w:styleId="WW8Num5z0">
    <w:name w:val="WW8Num5z0"/>
    <w:qFormat/>
    <w:rPr>
      <w:rFonts w:ascii="Symbol" w:hAnsi="Symbol" w:cs="OpenSymbol;Arial Unicode MS"/>
      <w:b/>
      <w:bCs/>
      <w:color w:val="000000"/>
      <w:sz w:val="40"/>
      <w:szCs w:val="40"/>
    </w:rPr>
  </w:style>
  <w:style w:type="character" w:styleId="WW8Num5z1">
    <w:name w:val="WW8Num5z1"/>
    <w:qFormat/>
    <w:rPr>
      <w:rFonts w:ascii="OpenSymbol;Arial Unicode MS" w:hAnsi="OpenSymbol;Arial Unicode MS" w:cs="OpenSymbol;Arial Unicode MS"/>
      <w:b/>
      <w:bCs/>
      <w:color w:val="000000"/>
      <w:sz w:val="40"/>
      <w:szCs w:val="40"/>
    </w:rPr>
  </w:style>
  <w:style w:type="character" w:styleId="WW8Num2z0">
    <w:name w:val="WW8Num2z0"/>
    <w:qFormat/>
    <w:rPr>
      <w:rFonts w:ascii="Wingdings" w:hAnsi="Wingdings" w:cs="OpenSymbol;Arial Unicode MS"/>
    </w:rPr>
  </w:style>
  <w:style w:type="character" w:styleId="WW8Num2z1">
    <w:name w:val="WW8Num2z1"/>
    <w:qFormat/>
    <w:rPr>
      <w:rFonts w:ascii="Symbol" w:hAnsi="Symbol" w:cs="OpenSymbol;Arial Unicode MS"/>
    </w:rPr>
  </w:style>
  <w:style w:type="character" w:styleId="WW8Num3z0">
    <w:name w:val="WW8Num3z0"/>
    <w:qFormat/>
    <w:rPr>
      <w:rFonts w:ascii="Times New Roman" w:hAnsi="Times New Roman" w:cs="Times New Roman"/>
    </w:rPr>
  </w:style>
  <w:style w:type="character" w:styleId="WW8Num4z0">
    <w:name w:val="WW8Num4z0"/>
    <w:qFormat/>
    <w:rPr>
      <w:rFonts w:ascii="Symbol" w:hAnsi="Symbol" w:cs="OpenSymbol;Arial Unicode MS"/>
      <w:b/>
      <w:bCs/>
      <w:color w:val="000000"/>
      <w:sz w:val="40"/>
      <w:szCs w:val="40"/>
    </w:rPr>
  </w:style>
  <w:style w:type="character" w:styleId="WW8Num4z1">
    <w:name w:val="WW8Num4z1"/>
    <w:qFormat/>
    <w:rPr>
      <w:rFonts w:ascii="OpenSymbol;Arial Unicode MS" w:hAnsi="OpenSymbol;Arial Unicode MS" w:cs="OpenSymbol;Arial Unicode MS"/>
      <w:b/>
      <w:bCs/>
      <w:color w:val="000000"/>
      <w:sz w:val="40"/>
      <w:szCs w:val="40"/>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uiPriority w:val="1"/>
    <w:qFormat/>
    <w:rsid w:val="00752737"/>
    <w:pPr/>
    <w:rPr>
      <w:sz w:val="24"/>
      <w:szCs w:val="24"/>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itular">
    <w:name w:val="Title"/>
    <w:basedOn w:val="Normal"/>
    <w:next w:val="Cuerpode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Ttulo11" w:customStyle="1">
    <w:name w:val="Título 11"/>
    <w:basedOn w:val="Normal"/>
    <w:uiPriority w:val="1"/>
    <w:qFormat/>
    <w:rsid w:val="00752737"/>
    <w:pPr>
      <w:ind w:left="119" w:hanging="0"/>
      <w:jc w:val="both"/>
      <w:outlineLvl w:val="1"/>
    </w:pPr>
    <w:rPr>
      <w:b/>
      <w:bCs/>
      <w:sz w:val="24"/>
      <w:szCs w:val="24"/>
      <w:u w:val="single" w:color="000000"/>
    </w:rPr>
  </w:style>
  <w:style w:type="paragraph" w:styleId="ListParagraph">
    <w:name w:val="List Paragraph"/>
    <w:basedOn w:val="Normal"/>
    <w:uiPriority w:val="1"/>
    <w:qFormat/>
    <w:rsid w:val="00752737"/>
    <w:pPr>
      <w:spacing w:before="118" w:after="0"/>
      <w:ind w:left="119" w:hanging="0"/>
      <w:jc w:val="both"/>
    </w:pPr>
    <w:rPr/>
  </w:style>
  <w:style w:type="paragraph" w:styleId="TableParagraph" w:customStyle="1">
    <w:name w:val="Table Paragraph"/>
    <w:basedOn w:val="Normal"/>
    <w:uiPriority w:val="1"/>
    <w:qFormat/>
    <w:rsid w:val="00752737"/>
    <w:pPr/>
    <w:rPr>
      <w:rFonts w:ascii="Calibri" w:hAnsi="Calibri" w:eastAsia="Calibri" w:cs="Calibri"/>
    </w:rPr>
  </w:style>
  <w:style w:type="paragraph" w:styleId="BalloonText">
    <w:name w:val="Balloon Text"/>
    <w:basedOn w:val="Normal"/>
    <w:link w:val="TextodegloboCar"/>
    <w:uiPriority w:val="99"/>
    <w:semiHidden/>
    <w:unhideWhenUsed/>
    <w:qFormat/>
    <w:rsid w:val="0071326f"/>
    <w:pPr/>
    <w:rPr>
      <w:rFonts w:ascii="Tahoma" w:hAnsi="Tahoma" w:cs="Tahoma"/>
      <w:sz w:val="16"/>
      <w:szCs w:val="16"/>
    </w:rPr>
  </w:style>
  <w:style w:type="paragraph" w:styleId="Cabecera">
    <w:name w:val="Header"/>
    <w:basedOn w:val="Normal"/>
    <w:link w:val="EncabezadoCar"/>
    <w:uiPriority w:val="99"/>
    <w:unhideWhenUsed/>
    <w:rsid w:val="00bb33a3"/>
    <w:pPr>
      <w:tabs>
        <w:tab w:val="clear" w:pos="720"/>
        <w:tab w:val="center" w:pos="4252" w:leader="none"/>
        <w:tab w:val="right" w:pos="8504" w:leader="none"/>
      </w:tabs>
    </w:pPr>
    <w:rPr/>
  </w:style>
  <w:style w:type="paragraph" w:styleId="Piedepgina">
    <w:name w:val="Footer"/>
    <w:basedOn w:val="Normal"/>
    <w:link w:val="PiedepginaCar"/>
    <w:uiPriority w:val="99"/>
    <w:unhideWhenUsed/>
    <w:rsid w:val="00bb33a3"/>
    <w:pPr>
      <w:tabs>
        <w:tab w:val="clear" w:pos="720"/>
        <w:tab w:val="center" w:pos="4252" w:leader="none"/>
        <w:tab w:val="right" w:pos="8504" w:leader="none"/>
      </w:tabs>
    </w:pPr>
    <w:rPr/>
  </w:style>
  <w:style w:type="paragraph" w:styleId="PlainText">
    <w:name w:val="Plain Text"/>
    <w:basedOn w:val="Normal"/>
    <w:link w:val="TextosinformatoCar"/>
    <w:uiPriority w:val="99"/>
    <w:unhideWhenUsed/>
    <w:qFormat/>
    <w:rsid w:val="00245475"/>
    <w:pPr/>
    <w:rPr>
      <w:rFonts w:ascii="Consolas" w:hAnsi="Consolas" w:eastAsia="Calibri" w:cs="" w:cstheme="minorBidi" w:eastAsiaTheme="minorHAnsi"/>
      <w:sz w:val="21"/>
      <w:szCs w:val="21"/>
      <w:lang w:val="es-ES" w:eastAsia="en-US" w:bidi="ar-SA"/>
    </w:rPr>
  </w:style>
  <w:style w:type="paragraph" w:styleId="Contenidodelmarco" w:customStyle="1">
    <w:name w:val="Contenido del marco"/>
    <w:basedOn w:val="Normal"/>
    <w:qFormat/>
    <w:pPr/>
    <w:rPr/>
  </w:style>
  <w:style w:type="paragraph" w:styleId="Contenidodelatabla" w:customStyle="1">
    <w:name w:val="Contenido de la tabla"/>
    <w:basedOn w:val="Normal"/>
    <w:qFormat/>
    <w:pPr>
      <w:suppressLineNumbers/>
    </w:pPr>
    <w:rPr/>
  </w:style>
  <w:style w:type="numbering" w:styleId="NoList" w:default="1">
    <w:name w:val="No List"/>
    <w:uiPriority w:val="99"/>
    <w:semiHidden/>
    <w:unhideWhenUsed/>
    <w:qFormat/>
  </w:style>
  <w:style w:type="numbering" w:styleId="WW8Num5">
    <w:name w:val="WW8Num5"/>
    <w:qFormat/>
  </w:style>
  <w:style w:type="numbering" w:styleId="WW8Num2">
    <w:name w:val="WW8Num2"/>
    <w:qFormat/>
  </w:style>
  <w:style w:type="numbering" w:styleId="WW8Num3">
    <w:name w:val="WW8Num3"/>
    <w:qFormat/>
  </w:style>
  <w:style w:type="numbering" w:styleId="WW8Num4">
    <w:name w:val="WW8Num4"/>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uiPriority w:val="2"/>
    <w:semiHidden/>
    <w:unhideWhenUsed/>
    <w:qFormat/>
    <w:rsid w:val="00752737"/>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4.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D51EA5-0063-444C-8000-BF886F49A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Application>LibreOffice/6.1.6.3$Windows_X86_64 LibreOffice_project/5896ab1714085361c45cf540f76f60673dd96a72</Application>
  <Pages>10</Pages>
  <Words>2723</Words>
  <Characters>14751</Characters>
  <CharactersWithSpaces>17358</CharactersWithSpaces>
  <Paragraphs>169</Paragraphs>
  <Company>Luffi</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2020-10-01T10:57:00Z</dcterms:created>
  <dc:creator>espai</dc:creator>
  <dc:description/>
  <dc:language>es-ES</dc:language>
  <cp:lastModifiedBy/>
  <cp:lastPrinted>2020-11-30T11:12:20Z</cp:lastPrinted>
  <dcterms:modified xsi:type="dcterms:W3CDTF">2020-11-30T12:47:43Z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Luffi</vt:lpwstr>
  </property>
  <property fmtid="{D5CDD505-2E9C-101B-9397-08002B2CF9AE}" pid="4" name="DocSecurity">
    <vt:i4>0</vt:i4>
  </property>
  <property fmtid="{D5CDD505-2E9C-101B-9397-08002B2CF9AE}" pid="5" name="HyperlinksChanged">
    <vt:bool>0</vt:bool>
  </property>
  <property fmtid="{D5CDD505-2E9C-101B-9397-08002B2CF9AE}" pid="6" name="LastSaved">
    <vt:filetime>2019-04-23T00:00:00Z</vt:filetime>
  </property>
  <property fmtid="{D5CDD505-2E9C-101B-9397-08002B2CF9AE}" pid="7" name="LinksUpToDate">
    <vt:bool>0</vt:bool>
  </property>
  <property fmtid="{D5CDD505-2E9C-101B-9397-08002B2CF9AE}" pid="8" name="ScaleCrop">
    <vt:bool>0</vt:bool>
  </property>
  <property fmtid="{D5CDD505-2E9C-101B-9397-08002B2CF9AE}" pid="9" name="ShareDoc">
    <vt:bool>0</vt:bool>
  </property>
</Properties>
</file>