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pPr>
        <w:pStyle w:val="Textoindependiente"/>
        <w:spacing w:before="340" w:after="170" w:line="200" w:lineRule="atLeast"/>
        <w:jc w:val="center"/>
        <w:rPr>
          <w:rFonts w:ascii="Times New Roman" w:eastAsia="Calibri" w:hAnsi="Times New Roman" w:cs="Times New Roman"/>
          <w:b/>
          <w:lang w:bidi="ar-SA"/>
        </w:rPr>
      </w:pPr>
      <w:bookmarkStart w:id="0" w:name="__DdeLink__103_992815138"/>
      <w:r>
        <w:rPr>
          <w:rFonts w:ascii="Times New Roman" w:eastAsia="Calibri" w:hAnsi="Times New Roman" w:cs="Times New Roman"/>
          <w:b/>
          <w:lang w:bidi="ar-SA"/>
        </w:rPr>
        <w:t>AYUNTAMIENTO DE HUELVA</w:t>
      </w:r>
    </w:p>
    <w:p>
      <w:pPr>
        <w:pStyle w:val="Textoindependiente"/>
        <w:spacing w:before="340" w:after="170" w:line="200" w:lineRule="atLeast"/>
        <w:jc w:val="both"/>
        <w:rPr>
          <w:rFonts w:ascii="Times New Roman" w:eastAsia="Times New Roman" w:hAnsi="Times New Roman" w:cs="Times New Roman"/>
          <w:b/>
          <w:bCs/>
          <w:i/>
          <w:kern w:val="0"/>
          <w:lang w:eastAsia="es-ES" w:bidi="ar-SA"/>
        </w:rPr>
      </w:pPr>
      <w:r>
        <w:rPr>
          <w:rFonts w:ascii="Times New Roman" w:eastAsia="Calibri" w:hAnsi="Times New Roman" w:cs="Times New Roman"/>
          <w:b/>
          <w:lang w:bidi="ar-SA"/>
        </w:rPr>
        <w:t>Extracto de la Resolución de Pleno de 28 de octubre d</w:t>
      </w:r>
      <w:proofErr w:type="spellStart"/>
      <w:r>
        <w:rPr>
          <w:rFonts w:ascii="Times New Roman" w:eastAsia="Calibri" w:hAnsi="Times New Roman" w:cs="Times New Roman"/>
          <w:b/>
          <w:lang w:bidi="ar-SA"/>
        </w:rPr>
        <w:t>e</w:t>
      </w:r>
      <w:proofErr w:type="spellEnd"/>
      <w:r>
        <w:rPr>
          <w:rFonts w:ascii="Times New Roman" w:eastAsia="Calibri" w:hAnsi="Times New Roman" w:cs="Times New Roman"/>
          <w:b/>
          <w:lang w:bidi="ar-SA"/>
        </w:rPr>
        <w:t xml:space="preserve"> 2020 por la que se aprueba la convocatoria pública para la concesión de subvenciones dirigidas al apoyo, mantenimiento y reactivación del sector del TAXI en el municipio de Huelva afectado por la crisis sanitaria del COVID-19</w:t>
      </w:r>
    </w:p>
    <w:p>
      <w:pPr>
        <w:pStyle w:val="Textoindependiente"/>
        <w:spacing w:line="240" w:lineRule="atLeast"/>
        <w:jc w:val="both"/>
        <w:rPr>
          <w:rFonts w:ascii="Times New Roman" w:hAnsi="Times New Roman" w:cs="Times New Roman"/>
        </w:rPr>
      </w:pPr>
      <w:r>
        <w:rPr>
          <w:rFonts w:ascii="Times New Roman" w:hAnsi="Times New Roman" w:cs="Times New Roman"/>
        </w:rPr>
        <w:t>De conformidad con lo previsto en los artículos 17.3.b y 20.8.a de la Ley 38/2003, de 17 de noviembre, General de Subvenciones, se publica el extracto de la convocatoria cuyo texto completo puede consultarse en la Base de Datos Nacional de Subvenciones https://www.pap.hacienda.gob.es/bdnstrans/GE/es/convocatoria/XXXXXX</w:t>
      </w:r>
    </w:p>
    <w:p>
      <w:pPr>
        <w:pStyle w:val="Textoindependiente"/>
        <w:spacing w:line="240" w:lineRule="atLeast"/>
        <w:jc w:val="both"/>
        <w:rPr>
          <w:rFonts w:ascii="Times New Roman" w:hAnsi="Times New Roman" w:cs="Times New Roman"/>
        </w:rPr>
      </w:pPr>
      <w:r>
        <w:rPr>
          <w:rFonts w:ascii="Times New Roman" w:hAnsi="Times New Roman" w:cs="Times New Roman"/>
        </w:rPr>
        <w:t xml:space="preserve">Puede consultarse información de la convocatoria y descargarse los anexos en la página: </w:t>
      </w:r>
    </w:p>
    <w:p>
      <w:pPr>
        <w:pStyle w:val="Textoindependiente"/>
        <w:spacing w:line="240" w:lineRule="atLeast"/>
        <w:jc w:val="both"/>
        <w:rPr>
          <w:rFonts w:ascii="Times New Roman" w:hAnsi="Times New Roman" w:cs="Times New Roman"/>
        </w:rPr>
      </w:pPr>
      <w:r>
        <w:rPr>
          <w:rFonts w:ascii="Times New Roman" w:hAnsi="Times New Roman" w:cs="Times New Roman"/>
        </w:rPr>
        <w:t>http://----------------------------------------------------------------------------------------------------</w:t>
      </w:r>
    </w:p>
    <w:p>
      <w:pPr>
        <w:pStyle w:val="Textoindependiente"/>
        <w:spacing w:line="240" w:lineRule="atLeast"/>
        <w:jc w:val="both"/>
        <w:rPr>
          <w:rFonts w:ascii="Times New Roman" w:hAnsi="Times New Roman" w:cs="Times New Roman"/>
          <w:b/>
        </w:rPr>
      </w:pPr>
    </w:p>
    <w:p>
      <w:pPr>
        <w:pStyle w:val="Textoindependiente"/>
        <w:spacing w:line="240" w:lineRule="atLeast"/>
        <w:jc w:val="both"/>
        <w:rPr>
          <w:rFonts w:ascii="Times New Roman" w:hAnsi="Times New Roman" w:cs="Times New Roman"/>
          <w:b/>
        </w:rPr>
      </w:pPr>
      <w:r>
        <w:rPr>
          <w:rFonts w:ascii="Times New Roman" w:hAnsi="Times New Roman" w:cs="Times New Roman"/>
          <w:b/>
        </w:rPr>
        <w:t>Primero: Objeto.</w:t>
      </w:r>
    </w:p>
    <w:p>
      <w:pPr>
        <w:widowControl/>
        <w:suppressAutoHyphens w:val="0"/>
        <w:ind w:firstLine="709"/>
        <w:jc w:val="both"/>
        <w:rPr>
          <w:rFonts w:ascii="Times New Roman" w:eastAsia="Times New Roman" w:hAnsi="Times New Roman" w:cs="Times New Roman"/>
          <w:iCs/>
          <w:kern w:val="0"/>
          <w:lang w:eastAsia="es-ES" w:bidi="ar-SA"/>
        </w:rPr>
      </w:pPr>
      <w:r>
        <w:rPr>
          <w:rFonts w:ascii="Times New Roman" w:eastAsia="Times New Roman" w:hAnsi="Times New Roman" w:cs="Times New Roman"/>
          <w:iCs/>
          <w:kern w:val="0"/>
          <w:lang w:eastAsia="es-ES" w:bidi="ar-SA"/>
        </w:rPr>
        <w:t xml:space="preserve">El objeto de la presente convocatoria y de las bases que en ella se incluyen, es regular el procedimiento de solicitud, tramitación, concesión, pago y justificación de las subvenciones a conceder por este Ayuntamiento destinadas a paliar el impacto derivado de la crisis sanitaria ocasionada por el Covid-19 sobre aquellos titulares de una licencia municipal para el ejercicio del taxi en el municipio de Huelva. Éstos han sufrido las consecuencias de la declaración del Estado de Alarma para la gestión sanitaria del COVID-19 y las medidas de confinamiento decretadas en el Real Decreto 463/2020, de 14 de marzo, por el que se declaró el estado de alarma y cuyo artículo 14.2,a) impuso por imperativo legal una inicial reducción del 50% de la oferta de servicios de transporte público de viajeros, incrementada y acentuada por las subsiguientes ordenes TMA/230/2020, de 15 de marzo y TMA/273/2020, de 23 de marzo. Las limitaciones impuestas al ocio nocturno, la supresión de celebraciones de festividades y eventos, entre otras muchas causas que se mantienen en la actualidad, han provocado que el sector haya visto disminuir fuertemente su actividad y sus ingresos, encontrándose en una situación de dificultad económica y social habida cuenta su condición de empresarios individuales. Se persigue con esta subvención apoyar el mantenimiento de la actividad del sector del taxi para prevenir o evitar situaciones de exclusión social, siempre que cumplan con los requisitos contenidos en estas bases. </w:t>
      </w:r>
    </w:p>
    <w:p>
      <w:pPr>
        <w:pStyle w:val="Textoindependiente"/>
        <w:spacing w:line="240" w:lineRule="atLeast"/>
        <w:jc w:val="both"/>
        <w:rPr>
          <w:rFonts w:ascii="Times New Roman" w:hAnsi="Times New Roman" w:cs="Times New Roman"/>
        </w:rPr>
      </w:pPr>
    </w:p>
    <w:p>
      <w:pPr>
        <w:pStyle w:val="Textoindependiente"/>
        <w:spacing w:line="240" w:lineRule="atLeast"/>
        <w:jc w:val="both"/>
        <w:rPr>
          <w:rFonts w:ascii="Times New Roman" w:hAnsi="Times New Roman" w:cs="Times New Roman"/>
          <w:b/>
        </w:rPr>
      </w:pPr>
      <w:r>
        <w:rPr>
          <w:rFonts w:ascii="Times New Roman" w:hAnsi="Times New Roman" w:cs="Times New Roman"/>
          <w:b/>
        </w:rPr>
        <w:t>Segundo. Beneficiarios.</w:t>
      </w:r>
    </w:p>
    <w:p>
      <w:pPr>
        <w:widowControl/>
        <w:suppressAutoHyphens w:val="0"/>
        <w:ind w:firstLine="709"/>
        <w:jc w:val="both"/>
        <w:rPr>
          <w:rFonts w:ascii="Times New Roman" w:eastAsia="Times New Roman" w:hAnsi="Times New Roman" w:cs="Times New Roman"/>
          <w:iCs/>
          <w:kern w:val="0"/>
          <w:lang w:eastAsia="es-ES" w:bidi="ar-SA"/>
        </w:rPr>
      </w:pPr>
      <w:bookmarkStart w:id="1" w:name="_Hlk40299988"/>
      <w:r>
        <w:rPr>
          <w:rFonts w:ascii="Times New Roman" w:eastAsia="Times New Roman" w:hAnsi="Times New Roman" w:cs="Times New Roman"/>
          <w:iCs/>
          <w:kern w:val="0"/>
          <w:lang w:eastAsia="es-ES" w:bidi="ar-SA"/>
        </w:rPr>
        <w:t xml:space="preserve">Podrán ser beneficiarias de las subvenciones las personas físicas titulares de las licencias municipales para el ejercicio de taxi en el municipio de Huelva a fecha 1 de marzo, que estén dadas de alta en el Régimen Especial de la Seguridad Social de Trabajadores por Cuenta Propia o Autónomos, que reúnan los siguientes requisitos: </w:t>
      </w:r>
    </w:p>
    <w:p>
      <w:pPr>
        <w:widowControl/>
        <w:suppressAutoHyphens w:val="0"/>
        <w:jc w:val="both"/>
        <w:rPr>
          <w:rFonts w:ascii="Times New Roman" w:eastAsia="Times New Roman" w:hAnsi="Times New Roman" w:cs="Times New Roman"/>
          <w:iCs/>
          <w:kern w:val="0"/>
          <w:lang w:eastAsia="es-ES" w:bidi="ar-SA"/>
        </w:rPr>
      </w:pPr>
    </w:p>
    <w:p>
      <w:pPr>
        <w:widowControl/>
        <w:numPr>
          <w:ilvl w:val="0"/>
          <w:numId w:val="2"/>
        </w:numPr>
        <w:suppressAutoHyphens w:val="0"/>
        <w:contextualSpacing/>
        <w:jc w:val="both"/>
        <w:rPr>
          <w:rFonts w:ascii="Times New Roman" w:eastAsia="Calibri" w:hAnsi="Times New Roman" w:cs="Times New Roman"/>
          <w:iCs/>
          <w:kern w:val="0"/>
          <w:lang w:eastAsia="en-US" w:bidi="ar-SA"/>
        </w:rPr>
      </w:pPr>
      <w:r>
        <w:rPr>
          <w:rFonts w:ascii="Times New Roman" w:eastAsia="Calibri" w:hAnsi="Times New Roman" w:cs="Times New Roman"/>
          <w:iCs/>
          <w:kern w:val="0"/>
          <w:lang w:eastAsia="en-US" w:bidi="ar-SA"/>
        </w:rPr>
        <w:t xml:space="preserve"> Ser titular de licencia municipal para el ejercicio de taxi en el municipio de Huelva, en vigor y en activo durante el periodo comprendido entre la fecha de comienzo de la vigencia del estado de alarma (14 de marzo de 2020) y la fecha de publicación de la convocatoria de subvenciones. </w:t>
      </w:r>
    </w:p>
    <w:p>
      <w:pPr>
        <w:widowControl/>
        <w:suppressAutoHyphens w:val="0"/>
        <w:jc w:val="both"/>
        <w:rPr>
          <w:rFonts w:ascii="Times New Roman" w:eastAsia="Times New Roman" w:hAnsi="Times New Roman" w:cs="Times New Roman"/>
          <w:iCs/>
          <w:kern w:val="0"/>
          <w:lang w:eastAsia="es-ES" w:bidi="ar-SA"/>
        </w:rPr>
      </w:pPr>
    </w:p>
    <w:p>
      <w:pPr>
        <w:widowControl/>
        <w:numPr>
          <w:ilvl w:val="0"/>
          <w:numId w:val="2"/>
        </w:numPr>
        <w:suppressAutoHyphens w:val="0"/>
        <w:contextualSpacing/>
        <w:jc w:val="both"/>
        <w:rPr>
          <w:rFonts w:ascii="Times New Roman" w:eastAsia="Calibri" w:hAnsi="Times New Roman" w:cs="Times New Roman"/>
          <w:iCs/>
          <w:kern w:val="0"/>
          <w:lang w:eastAsia="en-US" w:bidi="ar-SA"/>
        </w:rPr>
      </w:pPr>
      <w:r>
        <w:rPr>
          <w:rFonts w:ascii="Times New Roman" w:eastAsia="Calibri" w:hAnsi="Times New Roman" w:cs="Times New Roman"/>
          <w:iCs/>
          <w:kern w:val="0"/>
          <w:lang w:eastAsia="en-US" w:bidi="ar-SA"/>
        </w:rPr>
        <w:t xml:space="preserve"> Encontrase dadas de alta en el Régimen Especial de Trabajadores por Cuenta Propia o Autónomos. </w:t>
      </w:r>
    </w:p>
    <w:p>
      <w:pPr>
        <w:pStyle w:val="Prrafodelista"/>
        <w:rPr>
          <w:rFonts w:ascii="Times New Roman" w:eastAsia="Calibri" w:hAnsi="Times New Roman" w:cs="Times New Roman"/>
          <w:iCs/>
          <w:kern w:val="0"/>
          <w:lang w:eastAsia="en-US" w:bidi="ar-SA"/>
        </w:rPr>
      </w:pPr>
    </w:p>
    <w:p>
      <w:pPr>
        <w:widowControl/>
        <w:suppressAutoHyphens w:val="0"/>
        <w:ind w:left="1069"/>
        <w:contextualSpacing/>
        <w:jc w:val="both"/>
        <w:rPr>
          <w:rFonts w:ascii="Times New Roman" w:eastAsia="Calibri" w:hAnsi="Times New Roman" w:cs="Times New Roman"/>
          <w:iCs/>
          <w:kern w:val="0"/>
          <w:lang w:eastAsia="en-US" w:bidi="ar-SA"/>
        </w:rPr>
      </w:pPr>
    </w:p>
    <w:p>
      <w:pPr>
        <w:widowControl/>
        <w:numPr>
          <w:ilvl w:val="0"/>
          <w:numId w:val="2"/>
        </w:numPr>
        <w:suppressAutoHyphens w:val="0"/>
        <w:contextualSpacing/>
        <w:jc w:val="both"/>
        <w:rPr>
          <w:rFonts w:ascii="Times New Roman" w:eastAsia="Calibri" w:hAnsi="Times New Roman" w:cs="Times New Roman"/>
          <w:iCs/>
          <w:kern w:val="0"/>
          <w:lang w:eastAsia="en-US" w:bidi="ar-SA"/>
        </w:rPr>
      </w:pPr>
      <w:r>
        <w:rPr>
          <w:rFonts w:ascii="Times New Roman" w:eastAsia="Calibri" w:hAnsi="Times New Roman" w:cs="Times New Roman"/>
          <w:iCs/>
          <w:kern w:val="0"/>
          <w:lang w:eastAsia="en-US" w:bidi="ar-SA"/>
        </w:rPr>
        <w:t xml:space="preserve"> Haber prestado el servicio municipal de taxi durante el periodo de estado de alarma. </w:t>
      </w:r>
    </w:p>
    <w:p>
      <w:pPr>
        <w:widowControl/>
        <w:suppressAutoHyphens w:val="0"/>
        <w:jc w:val="both"/>
        <w:rPr>
          <w:rFonts w:ascii="Times New Roman" w:eastAsia="Times New Roman" w:hAnsi="Times New Roman" w:cs="Times New Roman"/>
          <w:iCs/>
          <w:kern w:val="0"/>
          <w:lang w:eastAsia="es-ES" w:bidi="ar-SA"/>
        </w:rPr>
      </w:pPr>
    </w:p>
    <w:p>
      <w:pPr>
        <w:widowControl/>
        <w:numPr>
          <w:ilvl w:val="0"/>
          <w:numId w:val="2"/>
        </w:numPr>
        <w:suppressAutoHyphens w:val="0"/>
        <w:contextualSpacing/>
        <w:jc w:val="both"/>
        <w:rPr>
          <w:rFonts w:ascii="Times New Roman" w:eastAsia="Calibri" w:hAnsi="Times New Roman" w:cs="Times New Roman"/>
          <w:iCs/>
          <w:kern w:val="0"/>
          <w:lang w:eastAsia="en-US" w:bidi="ar-SA"/>
        </w:rPr>
      </w:pPr>
      <w:r>
        <w:rPr>
          <w:rFonts w:ascii="Times New Roman" w:eastAsia="Calibri" w:hAnsi="Times New Roman" w:cs="Times New Roman"/>
          <w:iCs/>
          <w:kern w:val="0"/>
          <w:lang w:eastAsia="en-US" w:bidi="ar-SA"/>
        </w:rPr>
        <w:t xml:space="preserve"> No encontrarse incurso en ninguna de las circunstancias previstas en el artículo 13.2 y 13.3 de la Ley 38/2003, de 17 de noviembre, General de Subvenciones, y en particular, esté al corriente en el cumplimiento de sus obligaciones tributarias con la Hacienda estatal (AEAT), autonómica y con la Tesorería General de la Seguridad Social (TGSS) en el momento de la presentación de la solicitud. </w:t>
      </w:r>
    </w:p>
    <w:p>
      <w:pPr>
        <w:pStyle w:val="Prrafodelista"/>
        <w:rPr>
          <w:rFonts w:ascii="Times New Roman" w:eastAsia="Calibri" w:hAnsi="Times New Roman" w:cs="Times New Roman"/>
          <w:iCs/>
          <w:kern w:val="0"/>
          <w:szCs w:val="24"/>
          <w:lang w:eastAsia="en-US" w:bidi="ar-SA"/>
        </w:rPr>
      </w:pPr>
    </w:p>
    <w:p>
      <w:pPr>
        <w:widowControl/>
        <w:numPr>
          <w:ilvl w:val="0"/>
          <w:numId w:val="2"/>
        </w:numPr>
        <w:suppressAutoHyphens w:val="0"/>
        <w:contextualSpacing/>
        <w:jc w:val="both"/>
        <w:rPr>
          <w:rFonts w:ascii="Times New Roman" w:eastAsia="Calibri" w:hAnsi="Times New Roman" w:cs="Times New Roman"/>
          <w:iCs/>
          <w:kern w:val="0"/>
          <w:lang w:eastAsia="en-US" w:bidi="ar-SA"/>
        </w:rPr>
      </w:pPr>
      <w:r>
        <w:rPr>
          <w:rFonts w:ascii="Times New Roman" w:eastAsia="Calibri" w:hAnsi="Times New Roman" w:cs="Times New Roman"/>
          <w:iCs/>
          <w:kern w:val="0"/>
          <w:lang w:eastAsia="en-US" w:bidi="ar-SA"/>
        </w:rPr>
        <w:t xml:space="preserve">Que no tenga deuda alguna pendiente con la hacienda municipal de este Ayuntamiento. </w:t>
      </w:r>
    </w:p>
    <w:p>
      <w:pPr>
        <w:widowControl/>
        <w:suppressAutoHyphens w:val="0"/>
        <w:contextualSpacing/>
        <w:jc w:val="both"/>
        <w:rPr>
          <w:rFonts w:ascii="Times New Roman" w:eastAsia="Calibri" w:hAnsi="Times New Roman" w:cs="Times New Roman"/>
          <w:iCs/>
          <w:kern w:val="0"/>
          <w:lang w:eastAsia="en-US" w:bidi="ar-SA"/>
        </w:rPr>
      </w:pPr>
    </w:p>
    <w:p>
      <w:pPr>
        <w:widowControl/>
        <w:suppressAutoHyphens w:val="0"/>
        <w:jc w:val="both"/>
        <w:rPr>
          <w:rFonts w:ascii="Times New Roman" w:eastAsia="Times New Roman" w:hAnsi="Times New Roman" w:cs="Times New Roman"/>
          <w:iCs/>
          <w:kern w:val="0"/>
          <w:lang w:eastAsia="es-ES" w:bidi="ar-SA"/>
        </w:rPr>
      </w:pPr>
    </w:p>
    <w:p>
      <w:pPr>
        <w:pStyle w:val="Textoindependiente"/>
        <w:spacing w:line="240" w:lineRule="atLeast"/>
        <w:jc w:val="both"/>
        <w:rPr>
          <w:rFonts w:ascii="Times New Roman" w:hAnsi="Times New Roman" w:cs="Times New Roman"/>
          <w:b/>
        </w:rPr>
      </w:pPr>
      <w:bookmarkStart w:id="2" w:name="__DdeLink__8_3979448320"/>
      <w:bookmarkEnd w:id="1"/>
      <w:bookmarkEnd w:id="2"/>
      <w:r>
        <w:rPr>
          <w:rFonts w:ascii="Times New Roman" w:hAnsi="Times New Roman" w:cs="Times New Roman"/>
          <w:b/>
        </w:rPr>
        <w:t>Tercero. Bases reguladoras.</w:t>
      </w:r>
    </w:p>
    <w:p>
      <w:pPr>
        <w:pStyle w:val="Textoindependiente"/>
        <w:spacing w:line="240" w:lineRule="atLeast"/>
        <w:rPr>
          <w:rFonts w:ascii="Times New Roman" w:hAnsi="Times New Roman" w:cs="Times New Roman"/>
        </w:rPr>
      </w:pPr>
      <w:r>
        <w:rPr>
          <w:rFonts w:ascii="Times New Roman" w:hAnsi="Times New Roman" w:cs="Times New Roman"/>
        </w:rPr>
        <w:t>Bases de ejecución del Presupuesto General del ejercicio 2020 del Ayuntamiento de Huelva, publicadas en: http://www.huelva.es/portal/sites/default/files/consulta_publica/presupuesto_ayuntamiento/bases_de_ejecucion_presupuesto_2020.pdf</w:t>
      </w:r>
    </w:p>
    <w:p>
      <w:pPr>
        <w:pStyle w:val="Textoindependiente"/>
        <w:spacing w:line="240" w:lineRule="atLeast"/>
        <w:jc w:val="both"/>
        <w:rPr>
          <w:rFonts w:ascii="Times New Roman" w:hAnsi="Times New Roman" w:cs="Times New Roman"/>
        </w:rPr>
      </w:pPr>
    </w:p>
    <w:p>
      <w:pPr>
        <w:pStyle w:val="Textoindependiente"/>
        <w:spacing w:line="240" w:lineRule="atLeast"/>
        <w:jc w:val="both"/>
        <w:rPr>
          <w:rFonts w:ascii="Times New Roman" w:hAnsi="Times New Roman" w:cs="Times New Roman"/>
          <w:b/>
        </w:rPr>
      </w:pPr>
      <w:r>
        <w:rPr>
          <w:rFonts w:ascii="Times New Roman" w:hAnsi="Times New Roman" w:cs="Times New Roman"/>
          <w:b/>
        </w:rPr>
        <w:t>Cuarto. Cuantía.</w:t>
      </w:r>
    </w:p>
    <w:p>
      <w:pPr>
        <w:widowControl/>
        <w:suppressAutoHyphens w:val="0"/>
        <w:ind w:firstLine="709"/>
        <w:jc w:val="both"/>
        <w:rPr>
          <w:rFonts w:ascii="Times New Roman" w:eastAsia="Times New Roman" w:hAnsi="Times New Roman" w:cs="Times New Roman"/>
          <w:iCs/>
          <w:kern w:val="0"/>
          <w:lang w:eastAsia="es-ES" w:bidi="ar-SA"/>
        </w:rPr>
      </w:pPr>
      <w:r>
        <w:rPr>
          <w:rFonts w:ascii="Times New Roman" w:eastAsia="Times New Roman" w:hAnsi="Times New Roman" w:cs="Times New Roman"/>
          <w:iCs/>
          <w:kern w:val="0"/>
          <w:lang w:eastAsia="es-ES" w:bidi="ar-SA"/>
        </w:rPr>
        <w:t xml:space="preserve">1.- La cuantía destinada a atender estas subvenciones asciende a un importe total de 150.000 euros del vigente Presupuesto municipal de 2020, con cargo a la partida presupuestaria 350 2311 47 (“Ayudas autónomos y pymes Covid19”) </w:t>
      </w:r>
    </w:p>
    <w:p>
      <w:pPr>
        <w:widowControl/>
        <w:suppressAutoHyphens w:val="0"/>
        <w:jc w:val="both"/>
        <w:rPr>
          <w:rFonts w:ascii="Times New Roman" w:eastAsia="Times New Roman" w:hAnsi="Times New Roman" w:cs="Times New Roman"/>
          <w:iCs/>
          <w:kern w:val="0"/>
          <w:lang w:eastAsia="es-ES" w:bidi="ar-SA"/>
        </w:rPr>
      </w:pPr>
    </w:p>
    <w:p>
      <w:pPr>
        <w:widowControl/>
        <w:suppressAutoHyphens w:val="0"/>
        <w:ind w:firstLine="709"/>
        <w:jc w:val="both"/>
        <w:rPr>
          <w:rFonts w:ascii="Times New Roman" w:eastAsia="Times New Roman" w:hAnsi="Times New Roman" w:cs="Times New Roman"/>
          <w:iCs/>
          <w:kern w:val="0"/>
          <w:lang w:eastAsia="es-ES" w:bidi="ar-SA"/>
        </w:rPr>
      </w:pPr>
      <w:r>
        <w:rPr>
          <w:rFonts w:ascii="Times New Roman" w:eastAsia="Times New Roman" w:hAnsi="Times New Roman" w:cs="Times New Roman"/>
          <w:iCs/>
          <w:kern w:val="0"/>
          <w:lang w:eastAsia="es-ES" w:bidi="ar-SA"/>
        </w:rPr>
        <w:t xml:space="preserve">2.- La ayuda establecida será de un único pago por importe de 500 euros para todos aquellos solicitantes que cumplan con los requisitos establecidos en las presentes bases. </w:t>
      </w:r>
    </w:p>
    <w:p>
      <w:pPr>
        <w:widowControl/>
        <w:suppressAutoHyphens w:val="0"/>
        <w:jc w:val="both"/>
        <w:rPr>
          <w:rFonts w:ascii="Times New Roman" w:eastAsia="Times New Roman" w:hAnsi="Times New Roman" w:cs="Times New Roman"/>
          <w:iCs/>
          <w:kern w:val="0"/>
          <w:lang w:eastAsia="es-ES" w:bidi="ar-SA"/>
        </w:rPr>
      </w:pPr>
    </w:p>
    <w:p>
      <w:pPr>
        <w:widowControl/>
        <w:suppressAutoHyphens w:val="0"/>
        <w:ind w:firstLine="709"/>
        <w:jc w:val="both"/>
        <w:rPr>
          <w:rFonts w:ascii="Times New Roman" w:eastAsia="Times New Roman" w:hAnsi="Times New Roman" w:cs="Times New Roman"/>
          <w:iCs/>
          <w:kern w:val="0"/>
          <w:lang w:eastAsia="es-ES" w:bidi="ar-SA"/>
        </w:rPr>
      </w:pPr>
      <w:r>
        <w:rPr>
          <w:rFonts w:ascii="Times New Roman" w:eastAsia="Times New Roman" w:hAnsi="Times New Roman" w:cs="Times New Roman"/>
          <w:iCs/>
          <w:kern w:val="0"/>
          <w:lang w:eastAsia="es-ES" w:bidi="ar-SA"/>
        </w:rPr>
        <w:t xml:space="preserve">3.- De acuerdo con la Base 23 apartado 1 de las Bases de Ejecución del Presupuesto General del Ejercicio 2020 del Ayuntamiento de Huelva: " El importe total de las subvenciones que conceda este Ayuntamiento a cada beneficiario, incluyendo en su caso, la aportación de otras entidades, no podrá superar el 80% del coste de la actividad o servicio subvencionado." Ello implica que la cantidad a justificar debe ser superior al importe máximo a conceder por beneficiario, siendo un importe de al menos un 25% por encima del importe a solicitar. </w:t>
      </w:r>
    </w:p>
    <w:p>
      <w:pPr>
        <w:pStyle w:val="Textoindependiente"/>
        <w:spacing w:line="240" w:lineRule="atLeast"/>
        <w:jc w:val="both"/>
        <w:rPr>
          <w:rFonts w:ascii="Times New Roman" w:hAnsi="Times New Roman" w:cs="Times New Roman"/>
        </w:rPr>
      </w:pPr>
    </w:p>
    <w:p>
      <w:pPr>
        <w:pStyle w:val="Textoindependiente"/>
        <w:spacing w:line="240" w:lineRule="atLeast"/>
        <w:jc w:val="both"/>
        <w:rPr>
          <w:rFonts w:ascii="Times New Roman" w:hAnsi="Times New Roman" w:cs="Times New Roman"/>
          <w:b/>
        </w:rPr>
      </w:pPr>
      <w:r>
        <w:rPr>
          <w:rFonts w:ascii="Times New Roman" w:hAnsi="Times New Roman" w:cs="Times New Roman"/>
          <w:b/>
        </w:rPr>
        <w:t>Quinto. Plazo y lugar de presentación de solicitudes.</w:t>
      </w:r>
    </w:p>
    <w:p>
      <w:pPr>
        <w:widowControl/>
        <w:suppressAutoHyphens w:val="0"/>
        <w:jc w:val="both"/>
        <w:rPr>
          <w:rFonts w:ascii="Tahoma" w:eastAsia="Times New Roman" w:hAnsi="Tahoma" w:cs="Tahoma"/>
          <w:i/>
          <w:kern w:val="0"/>
          <w:sz w:val="26"/>
          <w:szCs w:val="26"/>
          <w:lang w:eastAsia="es-ES" w:bidi="ar-SA"/>
        </w:rPr>
      </w:pPr>
    </w:p>
    <w:p>
      <w:pPr>
        <w:widowControl/>
        <w:suppressAutoHyphens w:val="0"/>
        <w:ind w:firstLine="709"/>
        <w:jc w:val="both"/>
        <w:rPr>
          <w:rFonts w:ascii="Times New Roman" w:eastAsia="Times New Roman" w:hAnsi="Times New Roman" w:cs="Times New Roman"/>
          <w:iCs/>
          <w:kern w:val="0"/>
          <w:lang w:eastAsia="es-ES" w:bidi="ar-SA"/>
        </w:rPr>
      </w:pPr>
      <w:r>
        <w:rPr>
          <w:rFonts w:ascii="Times New Roman" w:eastAsia="Times New Roman" w:hAnsi="Times New Roman" w:cs="Times New Roman"/>
          <w:iCs/>
          <w:kern w:val="0"/>
          <w:lang w:eastAsia="es-ES" w:bidi="ar-SA"/>
        </w:rPr>
        <w:t xml:space="preserve">1.- Las solicitudes de las ayudas incluidas en la presente convocatoria se presentarán conforme al modelo incluido en el Anexo a estas Bases e irán dirigidas a la Alcaldía-Presidencia del Excmo. Ayuntamiento de Huelva </w:t>
      </w:r>
    </w:p>
    <w:p>
      <w:pPr>
        <w:widowControl/>
        <w:suppressAutoHyphens w:val="0"/>
        <w:jc w:val="both"/>
        <w:rPr>
          <w:rFonts w:ascii="Times New Roman" w:eastAsia="Times New Roman" w:hAnsi="Times New Roman" w:cs="Times New Roman"/>
          <w:iCs/>
          <w:kern w:val="0"/>
          <w:lang w:eastAsia="es-ES" w:bidi="ar-SA"/>
        </w:rPr>
      </w:pPr>
    </w:p>
    <w:p>
      <w:pPr>
        <w:widowControl/>
        <w:suppressAutoHyphens w:val="0"/>
        <w:ind w:firstLine="709"/>
        <w:jc w:val="both"/>
        <w:rPr>
          <w:rFonts w:ascii="Times New Roman" w:eastAsia="Times New Roman" w:hAnsi="Times New Roman" w:cs="Times New Roman"/>
          <w:iCs/>
          <w:kern w:val="0"/>
          <w:lang w:eastAsia="es-ES" w:bidi="ar-SA"/>
        </w:rPr>
      </w:pPr>
      <w:r>
        <w:rPr>
          <w:rFonts w:ascii="Times New Roman" w:eastAsia="Times New Roman" w:hAnsi="Times New Roman" w:cs="Times New Roman"/>
          <w:iCs/>
          <w:kern w:val="0"/>
          <w:lang w:eastAsia="es-ES" w:bidi="ar-SA"/>
        </w:rPr>
        <w:t>2.- Las solicitudes para participar en el presente procedimiento habrán de presentarse en el plazo de DIEZ (10), a contar desde el día hábil siguiente a la publicación en el Boletín Oficial de la Provincia de Huelva del extracto de la convocatoria remitido por la Base de Datos Nacional de Subvenciones. De dicha publicación se dará información en el Portal de Internet del Ayuntamiento de Huelva (</w:t>
      </w:r>
      <w:hyperlink r:id="rId6" w:history="1">
        <w:r>
          <w:rPr>
            <w:rFonts w:ascii="Times New Roman" w:eastAsia="Times New Roman" w:hAnsi="Times New Roman" w:cs="Times New Roman"/>
            <w:iCs/>
            <w:color w:val="0000FF"/>
            <w:kern w:val="0"/>
            <w:u w:val="single"/>
            <w:lang w:eastAsia="es-ES" w:bidi="ar-SA"/>
          </w:rPr>
          <w:t>www.huelva.es</w:t>
        </w:r>
      </w:hyperlink>
      <w:r>
        <w:rPr>
          <w:rFonts w:ascii="Times New Roman" w:eastAsia="Times New Roman" w:hAnsi="Times New Roman" w:cs="Times New Roman"/>
          <w:iCs/>
          <w:kern w:val="0"/>
          <w:lang w:eastAsia="es-ES" w:bidi="ar-SA"/>
        </w:rPr>
        <w:t>).</w:t>
      </w:r>
    </w:p>
    <w:p>
      <w:pPr>
        <w:widowControl/>
        <w:suppressAutoHyphens w:val="0"/>
        <w:jc w:val="both"/>
        <w:rPr>
          <w:rFonts w:ascii="Times New Roman" w:eastAsia="Times New Roman" w:hAnsi="Times New Roman" w:cs="Times New Roman"/>
          <w:iCs/>
          <w:kern w:val="0"/>
          <w:lang w:eastAsia="es-ES" w:bidi="ar-SA"/>
        </w:rPr>
      </w:pPr>
    </w:p>
    <w:p>
      <w:pPr>
        <w:pStyle w:val="Textoindependiente"/>
        <w:spacing w:line="240" w:lineRule="atLeast"/>
        <w:ind w:firstLine="709"/>
        <w:jc w:val="both"/>
        <w:rPr>
          <w:rFonts w:ascii="Times New Roman" w:hAnsi="Times New Roman" w:cs="Times New Roman"/>
          <w:b/>
          <w:iCs/>
        </w:rPr>
      </w:pPr>
      <w:r>
        <w:rPr>
          <w:rFonts w:ascii="Times New Roman" w:eastAsia="Times New Roman" w:hAnsi="Times New Roman" w:cs="Times New Roman"/>
          <w:iCs/>
          <w:kern w:val="0"/>
          <w:lang w:eastAsia="es-ES" w:bidi="ar-SA"/>
        </w:rPr>
        <w:t>3.- La presentación de la solicitud de subvención fuera del plazo establecido y la no utilización de los formularios normalizados de uso obligatorio, serán causas de inadmisión.</w:t>
      </w:r>
      <w:bookmarkEnd w:id="0"/>
    </w:p>
    <w:sectPr>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News Gothic MT">
    <w:charset w:val="00"/>
    <w:family w:val="swiss"/>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C2B603D"/>
    <w:multiLevelType w:val="hybridMultilevel"/>
    <w:tmpl w:val="DD664A76"/>
    <w:lvl w:ilvl="0" w:tplc="6B1EE098">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C1A33015-F2D3-463F-BE81-AC649A6C2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Cambria" w:eastAsia="Arial Unicode MS" w:hAnsi="Cambria" w:cs="Arial Unicode MS"/>
      <w:kern w:val="1"/>
      <w:sz w:val="24"/>
      <w:szCs w:val="24"/>
      <w:lang w:eastAsia="zh-CN" w:bidi="hi-IN"/>
    </w:rPr>
  </w:style>
  <w:style w:type="paragraph" w:styleId="Ttulo1">
    <w:name w:val="heading 1"/>
    <w:basedOn w:val="Encabezado1"/>
    <w:next w:val="Textoindependiente"/>
    <w:qFormat/>
    <w:pPr>
      <w:numPr>
        <w:numId w:val="1"/>
      </w:numPr>
      <w:outlineLvl w:val="0"/>
    </w:pPr>
    <w:rPr>
      <w:b/>
      <w:bCs/>
      <w:sz w:val="36"/>
      <w:szCs w:val="36"/>
    </w:rPr>
  </w:style>
  <w:style w:type="paragraph" w:styleId="Ttulo2">
    <w:name w:val="heading 2"/>
    <w:basedOn w:val="Encabezado1"/>
    <w:next w:val="Textoindependiente"/>
    <w:qFormat/>
    <w:pPr>
      <w:numPr>
        <w:ilvl w:val="1"/>
        <w:numId w:val="1"/>
      </w:numPr>
      <w:spacing w:before="200"/>
      <w:outlineLvl w:val="1"/>
    </w:pPr>
    <w:rPr>
      <w:b/>
      <w:bCs/>
      <w:sz w:val="32"/>
      <w:szCs w:val="32"/>
    </w:rPr>
  </w:style>
  <w:style w:type="paragraph" w:styleId="Ttulo3">
    <w:name w:val="heading 3"/>
    <w:basedOn w:val="Encabezado1"/>
    <w:next w:val="Textoindependiente"/>
    <w:qFormat/>
    <w:pPr>
      <w:numPr>
        <w:ilvl w:val="2"/>
        <w:numId w:val="1"/>
      </w:numPr>
      <w:spacing w:before="140"/>
      <w:outlineLvl w:val="2"/>
    </w:pPr>
    <w:rPr>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News Gothic MT"/>
    </w:rPr>
  </w:style>
  <w:style w:type="character" w:customStyle="1" w:styleId="WW8Num2z1">
    <w:name w:val="WW8Num2z1"/>
    <w:rPr>
      <w:rFonts w:ascii="OpenSymbol" w:hAnsi="OpenSymbol" w:cs="OpenSymbol"/>
    </w:rPr>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styleId="Hipervnculo">
    <w:name w:val="Hyperlink"/>
    <w:rPr>
      <w:color w:val="000080"/>
      <w:u w:val="single"/>
    </w:rPr>
  </w:style>
  <w:style w:type="character" w:customStyle="1" w:styleId="WW8Num10z0">
    <w:name w:val="WW8Num10z0"/>
    <w:rPr>
      <w:rFonts w:cs="News Gothic MT"/>
    </w:rPr>
  </w:style>
  <w:style w:type="character" w:customStyle="1" w:styleId="Caracteresdenotaalpie">
    <w:name w:val="Caracteres de nota al pie"/>
    <w:rPr>
      <w:vertAlign w:val="superscript"/>
    </w:rPr>
  </w:style>
  <w:style w:type="character" w:styleId="Hipervnculovisitado">
    <w:name w:val="FollowedHyperlink"/>
    <w:rPr>
      <w:color w:val="800080"/>
      <w:u w:val="single"/>
    </w:rPr>
  </w:style>
  <w:style w:type="paragraph" w:customStyle="1" w:styleId="Ttulo10">
    <w:name w:val="Título1"/>
    <w:basedOn w:val="Encabezado1"/>
    <w:next w:val="Textoindependiente"/>
    <w:pPr>
      <w:jc w:val="center"/>
    </w:pPr>
    <w:rPr>
      <w:b/>
      <w:bCs/>
      <w:sz w:val="56"/>
      <w:szCs w:val="56"/>
    </w:rPr>
  </w:style>
  <w:style w:type="paragraph" w:styleId="Textoindependiente">
    <w:name w:val="Body Text"/>
    <w:basedOn w:val="Normal"/>
    <w:pPr>
      <w:spacing w:after="120"/>
    </w:pPr>
  </w:style>
  <w:style w:type="paragraph" w:styleId="Lista">
    <w:name w:val="List"/>
    <w:basedOn w:val="Textoindependiente"/>
    <w:rPr>
      <w:rFonts w:ascii="Arial" w:hAnsi="Arial" w:cs="Arial"/>
    </w:rPr>
  </w:style>
  <w:style w:type="paragraph" w:styleId="Descripcin">
    <w:name w:val="caption"/>
    <w:basedOn w:val="Normal"/>
    <w:qFormat/>
    <w:pPr>
      <w:suppressLineNumbers/>
      <w:spacing w:before="120" w:after="120"/>
    </w:pPr>
    <w:rPr>
      <w:rFonts w:ascii="Helvetica" w:hAnsi="Helvetica" w:cs="Mangal"/>
      <w:i/>
      <w:iCs/>
      <w:sz w:val="22"/>
    </w:rPr>
  </w:style>
  <w:style w:type="paragraph" w:customStyle="1" w:styleId="ndice">
    <w:name w:val="Índice"/>
    <w:basedOn w:val="Normal"/>
    <w:pPr>
      <w:suppressLineNumbers/>
    </w:pPr>
    <w:rPr>
      <w:rFonts w:ascii="Arial" w:hAnsi="Arial" w:cs="Arial"/>
    </w:rPr>
  </w:style>
  <w:style w:type="paragraph" w:customStyle="1" w:styleId="Encabezado1">
    <w:name w:val="Encabezado1"/>
    <w:basedOn w:val="Normal"/>
    <w:next w:val="Textoindependiente"/>
    <w:pPr>
      <w:keepNext/>
      <w:spacing w:before="240" w:after="120"/>
    </w:pPr>
    <w:rPr>
      <w:rFonts w:ascii="Arial" w:hAnsi="Arial"/>
      <w:szCs w:val="28"/>
    </w:rPr>
  </w:style>
  <w:style w:type="paragraph" w:customStyle="1" w:styleId="Pie">
    <w:name w:val="Pie"/>
    <w:basedOn w:val="Normal"/>
    <w:pPr>
      <w:suppressLineNumbers/>
      <w:spacing w:before="120" w:after="120"/>
    </w:pPr>
    <w:rPr>
      <w:rFonts w:ascii="Arial" w:hAnsi="Arial" w:cs="Arial"/>
      <w:i/>
      <w:iCs/>
    </w:rPr>
  </w:style>
  <w:style w:type="paragraph" w:styleId="Cita">
    <w:name w:val="Quote"/>
    <w:basedOn w:val="Normal"/>
    <w:qFormat/>
    <w:pPr>
      <w:spacing w:after="283"/>
      <w:ind w:left="567" w:right="567"/>
    </w:pPr>
  </w:style>
  <w:style w:type="paragraph" w:styleId="Subttulo">
    <w:name w:val="Subtitle"/>
    <w:basedOn w:val="Encabezado1"/>
    <w:next w:val="Textoindependiente"/>
    <w:qFormat/>
    <w:pPr>
      <w:spacing w:before="60"/>
      <w:jc w:val="center"/>
    </w:pPr>
    <w:rPr>
      <w:sz w:val="36"/>
      <w:szCs w:val="36"/>
    </w:rPr>
  </w:style>
  <w:style w:type="paragraph" w:customStyle="1" w:styleId="Prrafodelista1">
    <w:name w:val="Párrafo de lista1"/>
    <w:basedOn w:val="Normal"/>
    <w:pPr>
      <w:spacing w:after="120"/>
      <w:ind w:left="720"/>
      <w:contextualSpacing/>
    </w:pPr>
  </w:style>
  <w:style w:type="character" w:styleId="Mencinsinresolver">
    <w:name w:val="Unresolved Mention"/>
    <w:basedOn w:val="Fuentedeprrafopredeter"/>
    <w:uiPriority w:val="99"/>
    <w:semiHidden/>
    <w:unhideWhenUsed/>
    <w:rPr>
      <w:color w:val="605E5C"/>
      <w:shd w:val="clear" w:color="auto" w:fill="E1DFDD"/>
    </w:rPr>
  </w:style>
  <w:style w:type="paragraph" w:styleId="Prrafodelista">
    <w:name w:val="List Paragraph"/>
    <w:basedOn w:val="Normal"/>
    <w:uiPriority w:val="34"/>
    <w:qFormat/>
    <w:pPr>
      <w:ind w:left="720"/>
      <w:contextualSpacing/>
    </w:pPr>
    <w:rPr>
      <w:rFonts w:cs="Mangal"/>
      <w:szCs w:val="21"/>
    </w:rPr>
  </w:style>
  <w:style w:type="paragraph" w:styleId="Sangra3detindependiente">
    <w:name w:val="Body Text Indent 3"/>
    <w:basedOn w:val="Normal"/>
    <w:link w:val="Sangra3detindependienteCar"/>
    <w:uiPriority w:val="99"/>
    <w:semiHidden/>
    <w:unhideWhenUsed/>
    <w:pPr>
      <w:spacing w:after="120"/>
      <w:ind w:left="283"/>
    </w:pPr>
    <w:rPr>
      <w:rFonts w:cs="Mangal"/>
      <w:sz w:val="16"/>
      <w:szCs w:val="14"/>
    </w:rPr>
  </w:style>
  <w:style w:type="character" w:customStyle="1" w:styleId="Sangra3detindependienteCar">
    <w:name w:val="Sangría 3 de t. independiente Car"/>
    <w:basedOn w:val="Fuentedeprrafopredeter"/>
    <w:link w:val="Sangra3detindependiente"/>
    <w:rPr>
      <w:rFonts w:ascii="Cambria" w:eastAsia="Arial Unicode MS" w:hAnsi="Cambria" w:cs="Mangal"/>
      <w:kern w:val="1"/>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huelva.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713A73-5937-46E2-95E9-DDF899FF2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891</Words>
  <Characters>4906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Estrada López</dc:creator>
  <cp:lastModifiedBy>Cristina Vergel Lage</cp:lastModifiedBy>
  <cp:revision>6</cp:revision>
  <cp:lastPrinted>2020-06-30T10:41:00Z</cp:lastPrinted>
  <dcterms:created xsi:type="dcterms:W3CDTF">2020-10-30T11:55:00Z</dcterms:created>
  <dcterms:modified xsi:type="dcterms:W3CDTF">2020-10-30T12:06:00Z</dcterms:modified>
</cp:coreProperties>
</file>