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5620" w:rsidRDefault="006E7415">
      <w:pPr>
        <w:pStyle w:val="Standard"/>
        <w:spacing w:line="360" w:lineRule="auto"/>
        <w:jc w:val="both"/>
        <w:rPr>
          <w:rFonts w:ascii="Arial" w:hAnsi="Arial"/>
          <w:b/>
          <w:bCs/>
          <w:sz w:val="22"/>
          <w:szCs w:val="22"/>
          <w:lang w:val="gl-ES"/>
        </w:rPr>
      </w:pPr>
      <w:r>
        <w:rPr>
          <w:rFonts w:ascii="Arial" w:hAnsi="Arial"/>
          <w:b/>
          <w:bCs/>
          <w:sz w:val="22"/>
          <w:szCs w:val="22"/>
          <w:lang w:val="gl-ES"/>
        </w:rPr>
        <w:t>BASES</w:t>
      </w:r>
      <w:r>
        <w:rPr>
          <w:rFonts w:ascii="Arial" w:hAnsi="Arial"/>
          <w:b/>
          <w:bCs/>
          <w:sz w:val="22"/>
          <w:szCs w:val="22"/>
          <w:lang w:val="gl-ES"/>
        </w:rPr>
        <w:t xml:space="preserve"> ESPECÍFICAS REGULADORAS DA AXUDA DO CONCELLO DE VALDOVIÑO, ADHERIDO AO</w:t>
      </w:r>
      <w:bookmarkStart w:id="0" w:name="_GoBack"/>
      <w:bookmarkEnd w:id="0"/>
      <w:r>
        <w:rPr>
          <w:rFonts w:ascii="Arial" w:hAnsi="Arial"/>
          <w:b/>
          <w:bCs/>
          <w:sz w:val="22"/>
          <w:szCs w:val="22"/>
          <w:lang w:val="gl-ES"/>
        </w:rPr>
        <w:t xml:space="preserve"> PEL-REACTIVA: FONDO DE FINANCIAMENTO PARA A REACTIVACIÓN ECONÓMICA E SOCIAL DA PROVINCIA DE A CORUÑA, do Plan de Emprego Local (PEL 2020)</w:t>
      </w:r>
    </w:p>
    <w:p w:rsidR="00BA5620" w:rsidRDefault="00BA5620">
      <w:pPr>
        <w:pStyle w:val="Standard"/>
        <w:spacing w:line="360" w:lineRule="auto"/>
        <w:jc w:val="center"/>
        <w:rPr>
          <w:rFonts w:ascii="Arial" w:hAnsi="Arial"/>
          <w:b/>
          <w:bCs/>
          <w:sz w:val="14"/>
          <w:szCs w:val="14"/>
          <w:lang w:val="gl-ES"/>
        </w:rPr>
      </w:pPr>
    </w:p>
    <w:p w:rsidR="00BA5620" w:rsidRDefault="006E7415">
      <w:pPr>
        <w:pStyle w:val="Standard"/>
        <w:spacing w:line="360" w:lineRule="auto"/>
        <w:jc w:val="both"/>
        <w:rPr>
          <w:rFonts w:ascii="Arial" w:hAnsi="Arial"/>
          <w:sz w:val="22"/>
          <w:szCs w:val="22"/>
          <w:lang w:val="gl-ES"/>
        </w:rPr>
      </w:pPr>
      <w:r>
        <w:rPr>
          <w:rFonts w:ascii="Arial" w:hAnsi="Arial"/>
          <w:sz w:val="22"/>
          <w:szCs w:val="22"/>
          <w:lang w:val="gl-ES"/>
        </w:rPr>
        <w:t xml:space="preserve">De conformidade ao previsto nos artigos 17.3 </w:t>
      </w:r>
      <w:r>
        <w:rPr>
          <w:rFonts w:ascii="Arial" w:hAnsi="Arial"/>
          <w:sz w:val="22"/>
          <w:szCs w:val="22"/>
          <w:lang w:val="gl-ES"/>
        </w:rPr>
        <w:t>b) e 20.8 da Lei 38/2003, do 17 de novembro, Xeral de Subvencións publícase o extracto da convocatoria cuxa documentación completa se pode consultar na Base de Datos Nacional de Subvencións</w:t>
      </w:r>
    </w:p>
    <w:p w:rsidR="00BA5620" w:rsidRDefault="00BA5620">
      <w:pPr>
        <w:pStyle w:val="Standard"/>
        <w:spacing w:line="360" w:lineRule="auto"/>
        <w:rPr>
          <w:rFonts w:ascii="Arial" w:hAnsi="Arial"/>
          <w:sz w:val="14"/>
          <w:szCs w:val="14"/>
          <w:lang w:val="gl-ES"/>
        </w:rPr>
      </w:pPr>
    </w:p>
    <w:p w:rsidR="00BA5620" w:rsidRDefault="006E7415">
      <w:pPr>
        <w:pStyle w:val="Standard"/>
        <w:spacing w:line="360" w:lineRule="auto"/>
        <w:jc w:val="both"/>
        <w:rPr>
          <w:rFonts w:ascii="Arial" w:hAnsi="Arial"/>
          <w:b/>
          <w:bCs/>
          <w:sz w:val="22"/>
          <w:szCs w:val="22"/>
          <w:lang w:val="gl-ES"/>
        </w:rPr>
      </w:pPr>
      <w:r>
        <w:rPr>
          <w:rFonts w:ascii="Arial" w:hAnsi="Arial"/>
          <w:b/>
          <w:bCs/>
          <w:sz w:val="22"/>
          <w:szCs w:val="22"/>
          <w:lang w:val="gl-ES"/>
        </w:rPr>
        <w:t>1.- Obxeto e finalidade.</w:t>
      </w:r>
    </w:p>
    <w:p w:rsidR="00BA5620" w:rsidRDefault="006E7415">
      <w:pPr>
        <w:pStyle w:val="Standard"/>
        <w:spacing w:after="113" w:line="360" w:lineRule="auto"/>
        <w:jc w:val="both"/>
        <w:rPr>
          <w:rFonts w:ascii="Arial" w:hAnsi="Arial"/>
          <w:sz w:val="22"/>
          <w:szCs w:val="22"/>
          <w:lang w:val="gl-ES"/>
        </w:rPr>
      </w:pPr>
      <w:r>
        <w:rPr>
          <w:rFonts w:ascii="Arial" w:hAnsi="Arial"/>
          <w:sz w:val="22"/>
          <w:szCs w:val="22"/>
          <w:lang w:val="gl-ES"/>
        </w:rPr>
        <w:t>Impulsar a actividade económica e o emp</w:t>
      </w:r>
      <w:r>
        <w:rPr>
          <w:rFonts w:ascii="Arial" w:hAnsi="Arial"/>
          <w:sz w:val="22"/>
          <w:szCs w:val="22"/>
          <w:lang w:val="gl-ES"/>
        </w:rPr>
        <w:t>rego no termo municipal e contribuír a paliar na medida do posible os danos derivados da pandemia da COVID-19, nas microempresas e autónomos/as.</w:t>
      </w:r>
    </w:p>
    <w:p w:rsidR="00BA5620" w:rsidRDefault="006E7415">
      <w:pPr>
        <w:pStyle w:val="Standard"/>
        <w:spacing w:line="360" w:lineRule="auto"/>
        <w:jc w:val="both"/>
        <w:rPr>
          <w:rFonts w:ascii="Arial" w:hAnsi="Arial"/>
          <w:sz w:val="22"/>
          <w:szCs w:val="22"/>
          <w:lang w:val="gl-ES"/>
        </w:rPr>
      </w:pPr>
      <w:r>
        <w:rPr>
          <w:rFonts w:ascii="Arial" w:hAnsi="Arial"/>
          <w:sz w:val="22"/>
          <w:szCs w:val="22"/>
          <w:lang w:val="gl-ES"/>
        </w:rPr>
        <w:t xml:space="preserve">Facilitar medios ás microempresas e persoas traballadoras por conta propia ou autónomas do municipio adherido </w:t>
      </w:r>
      <w:r>
        <w:rPr>
          <w:rFonts w:ascii="Arial" w:hAnsi="Arial"/>
          <w:sz w:val="22"/>
          <w:szCs w:val="22"/>
          <w:lang w:val="gl-ES"/>
        </w:rPr>
        <w:t>ao Fondo de Financiamento, para facer fronte ás consecuencias derivadas da crise motivada pola COVID-19, e contribuír á súa recuperación e viabilidade no novo contexto socioeconómico.</w:t>
      </w:r>
    </w:p>
    <w:p w:rsidR="00BA5620" w:rsidRDefault="00BA5620">
      <w:pPr>
        <w:pStyle w:val="Standard"/>
        <w:spacing w:line="360" w:lineRule="auto"/>
        <w:jc w:val="both"/>
        <w:rPr>
          <w:rFonts w:ascii="Arial" w:hAnsi="Arial"/>
          <w:sz w:val="14"/>
          <w:szCs w:val="14"/>
          <w:lang w:val="gl-ES"/>
        </w:rPr>
      </w:pPr>
    </w:p>
    <w:p w:rsidR="00BA5620" w:rsidRDefault="006E7415">
      <w:pPr>
        <w:pStyle w:val="Standard"/>
        <w:spacing w:line="360" w:lineRule="auto"/>
        <w:jc w:val="both"/>
        <w:rPr>
          <w:rFonts w:ascii="Arial" w:hAnsi="Arial"/>
          <w:sz w:val="22"/>
          <w:szCs w:val="22"/>
          <w:lang w:val="gl-ES"/>
        </w:rPr>
      </w:pPr>
      <w:r>
        <w:rPr>
          <w:rFonts w:ascii="Arial" w:hAnsi="Arial"/>
          <w:b/>
          <w:bCs/>
          <w:sz w:val="22"/>
          <w:szCs w:val="22"/>
          <w:lang w:val="gl-ES"/>
        </w:rPr>
        <w:t>2.- Persoas beneficiarias.</w:t>
      </w:r>
    </w:p>
    <w:p w:rsidR="00BA5620" w:rsidRDefault="006E7415">
      <w:pPr>
        <w:pStyle w:val="Standard"/>
        <w:spacing w:line="360" w:lineRule="auto"/>
        <w:jc w:val="both"/>
        <w:rPr>
          <w:rFonts w:ascii="Arial" w:hAnsi="Arial"/>
          <w:sz w:val="22"/>
          <w:szCs w:val="22"/>
          <w:lang w:val="gl-ES"/>
        </w:rPr>
      </w:pPr>
      <w:r>
        <w:rPr>
          <w:rFonts w:ascii="Arial" w:hAnsi="Arial"/>
          <w:sz w:val="22"/>
          <w:szCs w:val="22"/>
          <w:lang w:val="gl-ES"/>
        </w:rPr>
        <w:t>Estas axudas van dirixidas a persoas trabal</w:t>
      </w:r>
      <w:r>
        <w:rPr>
          <w:rFonts w:ascii="Arial" w:hAnsi="Arial"/>
          <w:sz w:val="22"/>
          <w:szCs w:val="22"/>
          <w:lang w:val="gl-ES"/>
        </w:rPr>
        <w:t>ladoras autónomas con ou sen traballadores/as ao seu cargo e microempresas, calquera que sexa a súa forma xurídica, que se atopen nalgún dos supostos indicados a continuación:</w:t>
      </w:r>
    </w:p>
    <w:p w:rsidR="00BA5620" w:rsidRDefault="006E7415">
      <w:pPr>
        <w:pStyle w:val="Standard"/>
        <w:numPr>
          <w:ilvl w:val="0"/>
          <w:numId w:val="5"/>
        </w:numPr>
        <w:spacing w:line="360" w:lineRule="auto"/>
        <w:jc w:val="both"/>
        <w:rPr>
          <w:rFonts w:hint="eastAsia"/>
        </w:rPr>
      </w:pPr>
      <w:r>
        <w:rPr>
          <w:rFonts w:ascii="Arial" w:hAnsi="Arial"/>
          <w:b/>
          <w:bCs/>
          <w:sz w:val="22"/>
          <w:szCs w:val="22"/>
          <w:lang w:val="gl-ES"/>
        </w:rPr>
        <w:t>Grupo I:</w:t>
      </w:r>
      <w:r>
        <w:rPr>
          <w:rFonts w:ascii="Arial" w:hAnsi="Arial"/>
          <w:sz w:val="22"/>
          <w:szCs w:val="22"/>
          <w:lang w:val="gl-ES"/>
        </w:rPr>
        <w:t xml:space="preserve"> Que se visen afectados polo peche en virtude do disposto no </w:t>
      </w:r>
      <w:r>
        <w:rPr>
          <w:rFonts w:ascii="Arial" w:hAnsi="Arial"/>
          <w:i/>
          <w:iCs/>
          <w:sz w:val="22"/>
          <w:szCs w:val="22"/>
          <w:lang w:val="gl-ES"/>
        </w:rPr>
        <w:t>Real Decre</w:t>
      </w:r>
      <w:r>
        <w:rPr>
          <w:rFonts w:ascii="Arial" w:hAnsi="Arial"/>
          <w:i/>
          <w:iCs/>
          <w:sz w:val="22"/>
          <w:szCs w:val="22"/>
          <w:lang w:val="gl-ES"/>
        </w:rPr>
        <w:t>to 463/2020, do 14 de marzo, polo que se declara o estado de alarma para a xestión da situación de crise sanitaria ocasionada pola COVID-19</w:t>
      </w:r>
      <w:r>
        <w:rPr>
          <w:rFonts w:ascii="Arial" w:hAnsi="Arial"/>
          <w:sz w:val="22"/>
          <w:szCs w:val="22"/>
          <w:lang w:val="gl-ES"/>
        </w:rPr>
        <w:t xml:space="preserve">, e a súa modificación aprobada no </w:t>
      </w:r>
      <w:r>
        <w:rPr>
          <w:rFonts w:ascii="Arial" w:hAnsi="Arial"/>
          <w:i/>
          <w:iCs/>
          <w:sz w:val="22"/>
          <w:szCs w:val="22"/>
          <w:lang w:val="gl-ES"/>
        </w:rPr>
        <w:t>Real Decreto 465/2020, do 17 de marzo.</w:t>
      </w:r>
    </w:p>
    <w:p w:rsidR="00BA5620" w:rsidRDefault="006E7415">
      <w:pPr>
        <w:pStyle w:val="Standard"/>
        <w:numPr>
          <w:ilvl w:val="0"/>
          <w:numId w:val="5"/>
        </w:numPr>
        <w:spacing w:line="360" w:lineRule="auto"/>
        <w:jc w:val="both"/>
        <w:rPr>
          <w:rFonts w:hint="eastAsia"/>
        </w:rPr>
      </w:pPr>
      <w:r>
        <w:rPr>
          <w:rFonts w:ascii="Arial" w:hAnsi="Arial"/>
          <w:b/>
          <w:bCs/>
          <w:sz w:val="22"/>
          <w:szCs w:val="22"/>
          <w:lang w:val="gl-ES"/>
        </w:rPr>
        <w:t>Grupo II:</w:t>
      </w:r>
      <w:r>
        <w:rPr>
          <w:rFonts w:ascii="Arial" w:hAnsi="Arial"/>
          <w:sz w:val="22"/>
          <w:szCs w:val="22"/>
          <w:lang w:val="gl-ES"/>
        </w:rPr>
        <w:t xml:space="preserve"> Que non se visen afectados polo p</w:t>
      </w:r>
      <w:r>
        <w:rPr>
          <w:rFonts w:ascii="Arial" w:hAnsi="Arial"/>
          <w:sz w:val="22"/>
          <w:szCs w:val="22"/>
          <w:lang w:val="gl-ES"/>
        </w:rPr>
        <w:t>eche, pero cuxa facturación no segundo trimestre fiscal de 2020 se vira reducida, polo menos, nun 75% en relación coa media efectuada no semestre natural anterior á declaración do estado de alarma.</w:t>
      </w:r>
    </w:p>
    <w:p w:rsidR="00BA5620" w:rsidRDefault="006E7415">
      <w:pPr>
        <w:pStyle w:val="Standard"/>
        <w:numPr>
          <w:ilvl w:val="0"/>
          <w:numId w:val="5"/>
        </w:numPr>
        <w:spacing w:line="360" w:lineRule="auto"/>
        <w:jc w:val="both"/>
        <w:rPr>
          <w:rFonts w:hint="eastAsia"/>
        </w:rPr>
      </w:pPr>
      <w:r>
        <w:rPr>
          <w:rFonts w:ascii="Arial" w:hAnsi="Arial"/>
          <w:b/>
          <w:bCs/>
          <w:sz w:val="22"/>
          <w:szCs w:val="22"/>
          <w:lang w:val="gl-ES"/>
        </w:rPr>
        <w:t xml:space="preserve">Grupo III: </w:t>
      </w:r>
      <w:r>
        <w:rPr>
          <w:rFonts w:ascii="Arial" w:hAnsi="Arial"/>
          <w:sz w:val="22"/>
          <w:szCs w:val="22"/>
          <w:lang w:val="gl-ES"/>
        </w:rPr>
        <w:t xml:space="preserve">Que se viran na obriga de acollerse a un ERTE </w:t>
      </w:r>
      <w:r>
        <w:rPr>
          <w:rFonts w:ascii="Arial" w:hAnsi="Arial"/>
          <w:sz w:val="22"/>
          <w:szCs w:val="22"/>
          <w:lang w:val="gl-ES"/>
        </w:rPr>
        <w:t xml:space="preserve">(Expediente de Regulación Temporal de Emprego), nos termos establecidos no </w:t>
      </w:r>
      <w:r>
        <w:rPr>
          <w:rFonts w:ascii="Arial" w:hAnsi="Arial"/>
          <w:i/>
          <w:iCs/>
          <w:sz w:val="22"/>
          <w:szCs w:val="22"/>
          <w:lang w:val="gl-ES"/>
        </w:rPr>
        <w:t xml:space="preserve">Real Decreto 465/2020, do 17 de marzo, </w:t>
      </w:r>
      <w:r>
        <w:rPr>
          <w:rFonts w:ascii="Arial" w:hAnsi="Arial"/>
          <w:i/>
          <w:iCs/>
          <w:color w:val="000000"/>
          <w:sz w:val="22"/>
          <w:szCs w:val="22"/>
          <w:lang w:val="gl-ES"/>
        </w:rPr>
        <w:t>polo que se modifica o Real Decreto 463/2020, do 14 de marzo, polo que se declara o estado de alarma para a xestión da situación de crise sani</w:t>
      </w:r>
      <w:r>
        <w:rPr>
          <w:rFonts w:ascii="Arial" w:hAnsi="Arial"/>
          <w:i/>
          <w:iCs/>
          <w:color w:val="000000"/>
          <w:sz w:val="22"/>
          <w:szCs w:val="22"/>
          <w:lang w:val="gl-ES"/>
        </w:rPr>
        <w:t>taria ocasionada polo COVID-19.</w:t>
      </w:r>
    </w:p>
    <w:p w:rsidR="00BA5620" w:rsidRDefault="006E7415">
      <w:pPr>
        <w:pStyle w:val="Standard"/>
        <w:spacing w:line="360" w:lineRule="auto"/>
        <w:jc w:val="both"/>
        <w:rPr>
          <w:rFonts w:ascii="Arial" w:hAnsi="Arial"/>
          <w:b/>
          <w:bCs/>
          <w:sz w:val="22"/>
          <w:szCs w:val="22"/>
          <w:lang w:val="gl-ES"/>
        </w:rPr>
      </w:pPr>
      <w:r>
        <w:rPr>
          <w:rFonts w:ascii="Arial" w:hAnsi="Arial"/>
          <w:b/>
          <w:bCs/>
          <w:sz w:val="22"/>
          <w:szCs w:val="22"/>
          <w:lang w:val="gl-ES"/>
        </w:rPr>
        <w:t>3.- Procedemento de concesión.</w:t>
      </w:r>
    </w:p>
    <w:p w:rsidR="00BA5620" w:rsidRDefault="006E7415">
      <w:pPr>
        <w:pStyle w:val="Standard"/>
        <w:spacing w:line="360" w:lineRule="auto"/>
        <w:jc w:val="both"/>
        <w:rPr>
          <w:rFonts w:ascii="Arial" w:hAnsi="Arial"/>
          <w:sz w:val="22"/>
          <w:szCs w:val="22"/>
          <w:lang w:val="gl-ES"/>
        </w:rPr>
      </w:pPr>
      <w:r>
        <w:rPr>
          <w:rFonts w:ascii="Arial" w:hAnsi="Arial"/>
          <w:sz w:val="22"/>
          <w:szCs w:val="22"/>
          <w:lang w:val="gl-ES"/>
        </w:rPr>
        <w:lastRenderedPageBreak/>
        <w:t xml:space="preserve">O procedemento de concesión das axudas reguladas nestas bases, será o de concorrencia competitiva, de acordo co establecido no artigo 22.1 da </w:t>
      </w:r>
      <w:r>
        <w:rPr>
          <w:rFonts w:ascii="Arial" w:hAnsi="Arial"/>
          <w:i/>
          <w:iCs/>
          <w:sz w:val="22"/>
          <w:szCs w:val="22"/>
          <w:lang w:val="gl-ES"/>
        </w:rPr>
        <w:t>Lei 38/2003, do 17 de novembro, Xeral de S</w:t>
      </w:r>
      <w:r>
        <w:rPr>
          <w:rFonts w:ascii="Arial" w:hAnsi="Arial"/>
          <w:i/>
          <w:iCs/>
          <w:sz w:val="22"/>
          <w:szCs w:val="22"/>
          <w:lang w:val="gl-ES"/>
        </w:rPr>
        <w:t>ubvencións.</w:t>
      </w:r>
    </w:p>
    <w:p w:rsidR="00BA5620" w:rsidRDefault="00BA5620">
      <w:pPr>
        <w:pStyle w:val="Standard"/>
        <w:spacing w:line="360" w:lineRule="auto"/>
        <w:jc w:val="both"/>
        <w:rPr>
          <w:rFonts w:ascii="Arial" w:hAnsi="Arial"/>
          <w:i/>
          <w:iCs/>
          <w:sz w:val="14"/>
          <w:szCs w:val="14"/>
          <w:lang w:val="gl-ES"/>
        </w:rPr>
      </w:pPr>
    </w:p>
    <w:p w:rsidR="00BA5620" w:rsidRDefault="006E7415">
      <w:pPr>
        <w:pStyle w:val="Standard"/>
        <w:spacing w:line="360" w:lineRule="auto"/>
        <w:jc w:val="both"/>
        <w:rPr>
          <w:rFonts w:ascii="Arial" w:hAnsi="Arial"/>
          <w:b/>
          <w:bCs/>
          <w:sz w:val="22"/>
          <w:szCs w:val="22"/>
          <w:lang w:val="gl-ES"/>
        </w:rPr>
      </w:pPr>
      <w:r>
        <w:rPr>
          <w:rFonts w:ascii="Arial" w:hAnsi="Arial"/>
          <w:b/>
          <w:bCs/>
          <w:sz w:val="22"/>
          <w:szCs w:val="22"/>
          <w:lang w:val="gl-ES"/>
        </w:rPr>
        <w:t>4.- Contía e período subvencionable.</w:t>
      </w:r>
    </w:p>
    <w:p w:rsidR="00BA5620" w:rsidRDefault="006E7415">
      <w:pPr>
        <w:pStyle w:val="Standard"/>
        <w:spacing w:line="360" w:lineRule="auto"/>
        <w:jc w:val="both"/>
        <w:rPr>
          <w:rFonts w:ascii="Arial" w:hAnsi="Arial"/>
          <w:sz w:val="22"/>
          <w:szCs w:val="22"/>
          <w:lang w:val="gl-ES"/>
        </w:rPr>
      </w:pPr>
      <w:r>
        <w:rPr>
          <w:rFonts w:ascii="Arial" w:hAnsi="Arial"/>
          <w:sz w:val="22"/>
          <w:szCs w:val="22"/>
          <w:lang w:val="gl-ES"/>
        </w:rPr>
        <w:t>O importe da subvención será fixo, e determinarase conforme aos seguintes criterios:</w:t>
      </w:r>
    </w:p>
    <w:p w:rsidR="00BA5620" w:rsidRDefault="006E7415">
      <w:pPr>
        <w:pStyle w:val="Standard"/>
        <w:spacing w:line="360" w:lineRule="auto"/>
        <w:jc w:val="both"/>
        <w:rPr>
          <w:rFonts w:ascii="Arial" w:hAnsi="Arial"/>
          <w:sz w:val="22"/>
          <w:szCs w:val="22"/>
          <w:lang w:val="gl-ES"/>
        </w:rPr>
      </w:pPr>
      <w:r>
        <w:rPr>
          <w:rFonts w:ascii="Arial" w:hAnsi="Arial"/>
          <w:b/>
          <w:bCs/>
          <w:sz w:val="22"/>
          <w:szCs w:val="22"/>
          <w:lang w:val="gl-ES"/>
        </w:rPr>
        <w:t>4.1.-</w:t>
      </w:r>
      <w:r>
        <w:rPr>
          <w:rFonts w:ascii="Arial" w:hAnsi="Arial"/>
          <w:sz w:val="22"/>
          <w:szCs w:val="22"/>
          <w:lang w:val="gl-ES"/>
        </w:rPr>
        <w:t xml:space="preserve"> Traballadores/as por conta propia ou autónomos, sen traballadores ao seu cargo, afectados polo peche como consecuencia da declaración do estado de alarma ou aqueles que non se visen afectados polo peche pero cuxa facturación no segundo trimestre fiscal de</w:t>
      </w:r>
      <w:r>
        <w:rPr>
          <w:rFonts w:ascii="Arial" w:hAnsi="Arial"/>
          <w:sz w:val="22"/>
          <w:szCs w:val="22"/>
          <w:lang w:val="gl-ES"/>
        </w:rPr>
        <w:t xml:space="preserve"> 2020, se vise reducida, polo menos nun 75% en relación coa media de facturación do semestre natural anterior á declaración do estado de alarma: 1.500 €</w:t>
      </w:r>
    </w:p>
    <w:p w:rsidR="00BA5620" w:rsidRDefault="006E7415">
      <w:pPr>
        <w:pStyle w:val="Standard"/>
        <w:spacing w:line="360" w:lineRule="auto"/>
        <w:jc w:val="both"/>
        <w:rPr>
          <w:rFonts w:ascii="Arial" w:hAnsi="Arial"/>
          <w:sz w:val="22"/>
          <w:szCs w:val="22"/>
          <w:lang w:val="gl-ES"/>
        </w:rPr>
      </w:pPr>
      <w:r>
        <w:rPr>
          <w:rFonts w:ascii="Arial" w:hAnsi="Arial"/>
          <w:b/>
          <w:bCs/>
          <w:sz w:val="22"/>
          <w:szCs w:val="22"/>
          <w:lang w:val="gl-ES"/>
        </w:rPr>
        <w:t xml:space="preserve">4.2.- </w:t>
      </w:r>
      <w:r>
        <w:rPr>
          <w:rFonts w:ascii="Arial" w:hAnsi="Arial"/>
          <w:sz w:val="22"/>
          <w:szCs w:val="22"/>
          <w:lang w:val="gl-ES"/>
        </w:rPr>
        <w:t>Traballadores/as por conta propia ou autónomos con traballadores/as ao seu cargo e microempresas</w:t>
      </w:r>
      <w:r>
        <w:rPr>
          <w:rFonts w:ascii="Arial" w:hAnsi="Arial"/>
          <w:sz w:val="22"/>
          <w:szCs w:val="22"/>
          <w:lang w:val="gl-ES"/>
        </w:rPr>
        <w:t xml:space="preserve"> afectados polo peche como consecuencia da declaración do estado de alarma ou aqueles que non se visen afectados polo peche pero cuxa facturación segundo trimestre fiscal de 2020, se vise reducida, polo menos nun 75% en relación coa media de facturación do</w:t>
      </w:r>
      <w:r>
        <w:rPr>
          <w:rFonts w:ascii="Arial" w:hAnsi="Arial"/>
          <w:sz w:val="22"/>
          <w:szCs w:val="22"/>
          <w:lang w:val="gl-ES"/>
        </w:rPr>
        <w:t xml:space="preserve"> semestre natural anterior á declaración do estado de alarma, ou que se visen na obriga de acollerse a un ERTE, atendendo ao seguinte:</w:t>
      </w:r>
    </w:p>
    <w:p w:rsidR="00BA5620" w:rsidRDefault="006E7415">
      <w:pPr>
        <w:pStyle w:val="Standard"/>
        <w:numPr>
          <w:ilvl w:val="0"/>
          <w:numId w:val="6"/>
        </w:numPr>
        <w:spacing w:line="360" w:lineRule="auto"/>
        <w:ind w:left="680" w:hanging="397"/>
        <w:jc w:val="both"/>
        <w:rPr>
          <w:rFonts w:ascii="Arial" w:hAnsi="Arial"/>
          <w:sz w:val="22"/>
          <w:szCs w:val="22"/>
          <w:lang w:val="gl-ES"/>
        </w:rPr>
      </w:pPr>
      <w:r>
        <w:rPr>
          <w:rFonts w:ascii="Arial" w:hAnsi="Arial"/>
          <w:sz w:val="22"/>
          <w:szCs w:val="22"/>
          <w:lang w:val="gl-ES"/>
        </w:rPr>
        <w:t>Un só traballador/a: 2.000,00 €.</w:t>
      </w:r>
    </w:p>
    <w:p w:rsidR="00BA5620" w:rsidRDefault="006E7415">
      <w:pPr>
        <w:pStyle w:val="Standard"/>
        <w:numPr>
          <w:ilvl w:val="0"/>
          <w:numId w:val="6"/>
        </w:numPr>
        <w:spacing w:line="360" w:lineRule="auto"/>
        <w:ind w:left="680" w:hanging="397"/>
        <w:jc w:val="both"/>
        <w:rPr>
          <w:rFonts w:ascii="Arial" w:hAnsi="Arial"/>
          <w:sz w:val="22"/>
          <w:szCs w:val="22"/>
          <w:lang w:val="gl-ES"/>
        </w:rPr>
      </w:pPr>
      <w:r>
        <w:rPr>
          <w:rFonts w:ascii="Arial" w:hAnsi="Arial"/>
          <w:sz w:val="22"/>
          <w:szCs w:val="22"/>
          <w:lang w:val="gl-ES"/>
        </w:rPr>
        <w:t>Entre 2 e 5 traballadores/as: 2.500,00 €.</w:t>
      </w:r>
    </w:p>
    <w:p w:rsidR="00BA5620" w:rsidRDefault="006E7415">
      <w:pPr>
        <w:pStyle w:val="Standard"/>
        <w:numPr>
          <w:ilvl w:val="0"/>
          <w:numId w:val="6"/>
        </w:numPr>
        <w:spacing w:line="360" w:lineRule="auto"/>
        <w:ind w:left="680" w:hanging="397"/>
        <w:jc w:val="both"/>
        <w:rPr>
          <w:rFonts w:ascii="Arial" w:hAnsi="Arial"/>
          <w:sz w:val="22"/>
          <w:szCs w:val="22"/>
          <w:lang w:val="gl-ES"/>
        </w:rPr>
      </w:pPr>
      <w:r>
        <w:rPr>
          <w:rFonts w:ascii="Arial" w:hAnsi="Arial"/>
          <w:sz w:val="22"/>
          <w:szCs w:val="22"/>
          <w:lang w:val="gl-ES"/>
        </w:rPr>
        <w:t>Entre 6 e 9 traballadores/as: 3.000,00 €.</w:t>
      </w:r>
    </w:p>
    <w:p w:rsidR="00BA5620" w:rsidRDefault="00BA5620">
      <w:pPr>
        <w:pStyle w:val="Standard"/>
        <w:spacing w:line="360" w:lineRule="auto"/>
        <w:jc w:val="both"/>
        <w:rPr>
          <w:rFonts w:ascii="Arial" w:hAnsi="Arial"/>
          <w:sz w:val="14"/>
          <w:szCs w:val="14"/>
          <w:lang w:val="gl-ES"/>
        </w:rPr>
      </w:pPr>
    </w:p>
    <w:p w:rsidR="00BA5620" w:rsidRDefault="006E7415">
      <w:pPr>
        <w:pStyle w:val="Standard"/>
        <w:spacing w:line="360" w:lineRule="auto"/>
        <w:jc w:val="both"/>
        <w:rPr>
          <w:rFonts w:ascii="Arial" w:hAnsi="Arial"/>
          <w:b/>
          <w:bCs/>
          <w:sz w:val="22"/>
          <w:szCs w:val="22"/>
          <w:lang w:val="gl-ES"/>
        </w:rPr>
      </w:pPr>
      <w:r>
        <w:rPr>
          <w:rFonts w:ascii="Arial" w:hAnsi="Arial"/>
          <w:b/>
          <w:bCs/>
          <w:sz w:val="22"/>
          <w:szCs w:val="22"/>
          <w:lang w:val="gl-ES"/>
        </w:rPr>
        <w:t>5.</w:t>
      </w:r>
      <w:r>
        <w:rPr>
          <w:rFonts w:ascii="Arial" w:hAnsi="Arial"/>
          <w:b/>
          <w:bCs/>
          <w:sz w:val="22"/>
          <w:szCs w:val="22"/>
          <w:lang w:val="gl-ES"/>
        </w:rPr>
        <w:t>- Forma e prazo de presentación de solicitudes.</w:t>
      </w:r>
    </w:p>
    <w:p w:rsidR="00BA5620" w:rsidRDefault="006E7415">
      <w:pPr>
        <w:pStyle w:val="Standard"/>
        <w:spacing w:line="360" w:lineRule="auto"/>
        <w:jc w:val="both"/>
        <w:rPr>
          <w:rFonts w:ascii="Arial" w:hAnsi="Arial"/>
          <w:sz w:val="22"/>
          <w:szCs w:val="22"/>
          <w:lang w:val="gl-ES"/>
        </w:rPr>
      </w:pPr>
      <w:r>
        <w:rPr>
          <w:rFonts w:ascii="Arial" w:hAnsi="Arial"/>
          <w:sz w:val="22"/>
          <w:szCs w:val="22"/>
          <w:lang w:val="gl-ES"/>
        </w:rPr>
        <w:t>O prazo de presentación de solicitudes é o determinado na Resolución número 2020/32931 de concesión definitiva de subvencións correspondentes ao Fondo de financiamento para a reactivación económica e social d</w:t>
      </w:r>
      <w:r>
        <w:rPr>
          <w:rFonts w:ascii="Arial" w:hAnsi="Arial"/>
          <w:sz w:val="22"/>
          <w:szCs w:val="22"/>
          <w:lang w:val="gl-ES"/>
        </w:rPr>
        <w:t>a provincia da Coruña (PEL-REACTIVA), publicada no Boletín Oficial da Provincia núm. 181, en data 28 de outubro do 2020.</w:t>
      </w:r>
    </w:p>
    <w:p w:rsidR="00BA5620" w:rsidRDefault="006E7415">
      <w:pPr>
        <w:pStyle w:val="Standard"/>
        <w:spacing w:line="360" w:lineRule="auto"/>
        <w:jc w:val="both"/>
        <w:rPr>
          <w:rFonts w:ascii="Arial" w:hAnsi="Arial"/>
          <w:sz w:val="22"/>
          <w:szCs w:val="22"/>
          <w:lang w:val="gl-ES"/>
        </w:rPr>
      </w:pPr>
      <w:r>
        <w:rPr>
          <w:rFonts w:ascii="Arial" w:hAnsi="Arial"/>
          <w:sz w:val="22"/>
          <w:szCs w:val="22"/>
          <w:lang w:val="gl-ES"/>
        </w:rPr>
        <w:t xml:space="preserve">Así, o prazo de solicitude no Concello de Valdoviño por parte das microempresas e persoas traballadoras autónomas do termo municipal, </w:t>
      </w:r>
      <w:r>
        <w:rPr>
          <w:rFonts w:ascii="Arial" w:hAnsi="Arial"/>
          <w:sz w:val="22"/>
          <w:szCs w:val="22"/>
          <w:lang w:val="gl-ES"/>
        </w:rPr>
        <w:t>iniciarase a partir do día seguinte ao da publicación no Boletín Oficial da Provincia, da convocatoria específica de axudas do Concello e finalizará ás 14.00 horas do día 25 de novembro de 2020.</w:t>
      </w:r>
    </w:p>
    <w:p w:rsidR="00BA5620" w:rsidRDefault="00BA5620">
      <w:pPr>
        <w:pStyle w:val="Standard"/>
        <w:spacing w:line="360" w:lineRule="auto"/>
        <w:jc w:val="both"/>
        <w:rPr>
          <w:rFonts w:ascii="Arial" w:hAnsi="Arial"/>
          <w:sz w:val="22"/>
          <w:szCs w:val="22"/>
          <w:lang w:val="gl-ES"/>
        </w:rPr>
      </w:pPr>
    </w:p>
    <w:p w:rsidR="00BA5620" w:rsidRDefault="00BA5620">
      <w:pPr>
        <w:pStyle w:val="Standard"/>
        <w:spacing w:line="360" w:lineRule="auto"/>
        <w:jc w:val="both"/>
        <w:rPr>
          <w:rFonts w:ascii="Arial" w:hAnsi="Arial"/>
          <w:b/>
          <w:bCs/>
          <w:sz w:val="22"/>
          <w:szCs w:val="22"/>
        </w:rPr>
      </w:pPr>
    </w:p>
    <w:sectPr w:rsidR="00BA5620">
      <w:headerReference w:type="default" r:id="rId7"/>
      <w:footerReference w:type="default" r:id="rId8"/>
      <w:pgSz w:w="11906" w:h="16838"/>
      <w:pgMar w:top="1134" w:right="1134" w:bottom="1417" w:left="1134" w:header="720" w:footer="11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7415" w:rsidRDefault="006E7415">
      <w:pPr>
        <w:rPr>
          <w:rFonts w:hint="eastAsia"/>
        </w:rPr>
      </w:pPr>
      <w:r>
        <w:separator/>
      </w:r>
    </w:p>
  </w:endnote>
  <w:endnote w:type="continuationSeparator" w:id="0">
    <w:p w:rsidR="006E7415" w:rsidRDefault="006E7415">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auto"/>
    <w:pitch w:val="variable"/>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3B64" w:rsidRDefault="006E7415">
    <w:pPr>
      <w:pStyle w:val="Piedepgina"/>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7415" w:rsidRDefault="006E7415">
      <w:pPr>
        <w:rPr>
          <w:rFonts w:hint="eastAsia"/>
        </w:rPr>
      </w:pPr>
      <w:r>
        <w:rPr>
          <w:color w:val="000000"/>
        </w:rPr>
        <w:separator/>
      </w:r>
    </w:p>
  </w:footnote>
  <w:footnote w:type="continuationSeparator" w:id="0">
    <w:p w:rsidR="006E7415" w:rsidRDefault="006E7415">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3B64" w:rsidRDefault="006E7415">
    <w:pPr>
      <w:pStyle w:val="Encabezado"/>
      <w:jc w:val="right"/>
      <w:rPr>
        <w:rFonts w:hint="eastAsia"/>
      </w:rPr>
    </w:pPr>
    <w:r>
      <w:rPr>
        <w:noProof/>
        <w:lang w:eastAsia="es-ES" w:bidi="ar-SA"/>
      </w:rPr>
      <mc:AlternateContent>
        <mc:Choice Requires="wps">
          <w:drawing>
            <wp:anchor distT="0" distB="0" distL="114300" distR="114300" simplePos="0" relativeHeight="251659264" behindDoc="0" locked="0" layoutInCell="1" allowOverlap="1">
              <wp:simplePos x="0" y="0"/>
              <wp:positionH relativeFrom="column">
                <wp:posOffset>730799</wp:posOffset>
              </wp:positionH>
              <wp:positionV relativeFrom="paragraph">
                <wp:posOffset>-113760</wp:posOffset>
              </wp:positionV>
              <wp:extent cx="2165760" cy="1213919"/>
              <wp:effectExtent l="0" t="0" r="5940" b="5281"/>
              <wp:wrapThrough wrapText="left">
                <wp:wrapPolygon edited="0">
                  <wp:start x="0" y="0"/>
                  <wp:lineTo x="0" y="21355"/>
                  <wp:lineTo x="21469" y="21355"/>
                  <wp:lineTo x="21469" y="0"/>
                  <wp:lineTo x="0" y="0"/>
                </wp:wrapPolygon>
              </wp:wrapThrough>
              <wp:docPr id="1" name="Forma1"/>
              <wp:cNvGraphicFramePr/>
              <a:graphic xmlns:a="http://schemas.openxmlformats.org/drawingml/2006/main">
                <a:graphicData uri="http://schemas.microsoft.com/office/word/2010/wordprocessingShape">
                  <wps:wsp>
                    <wps:cNvSpPr txBox="1"/>
                    <wps:spPr>
                      <a:xfrm>
                        <a:off x="0" y="0"/>
                        <a:ext cx="2165760" cy="1213919"/>
                      </a:xfrm>
                      <a:prstGeom prst="rect">
                        <a:avLst/>
                      </a:prstGeom>
                      <a:noFill/>
                      <a:ln>
                        <a:noFill/>
                      </a:ln>
                    </wps:spPr>
                    <wps:txbx>
                      <w:txbxContent>
                        <w:p w:rsidR="00923B64" w:rsidRDefault="006E7415">
                          <w:pPr>
                            <w:overflowPunct w:val="0"/>
                            <w:spacing w:after="57" w:line="276" w:lineRule="auto"/>
                            <w:jc w:val="both"/>
                            <w:rPr>
                              <w:rFonts w:hint="eastAsia"/>
                            </w:rPr>
                          </w:pPr>
                          <w:r>
                            <w:rPr>
                              <w:rFonts w:ascii="Arial" w:hAnsi="Arial" w:cs="Arial"/>
                              <w:b/>
                              <w:bCs/>
                              <w:sz w:val="20"/>
                              <w:szCs w:val="20"/>
                            </w:rPr>
                            <w:t>CONCELLO DE VALDOVIÑO</w:t>
                          </w:r>
                        </w:p>
                        <w:p w:rsidR="00923B64" w:rsidRDefault="006E7415">
                          <w:pPr>
                            <w:overflowPunct w:val="0"/>
                            <w:spacing w:line="276" w:lineRule="auto"/>
                            <w:jc w:val="both"/>
                            <w:rPr>
                              <w:rFonts w:hint="eastAsia"/>
                            </w:rPr>
                          </w:pPr>
                          <w:r>
                            <w:rPr>
                              <w:rFonts w:ascii="Arial" w:hAnsi="Arial" w:cs="Arial"/>
                              <w:sz w:val="16"/>
                              <w:szCs w:val="16"/>
                            </w:rPr>
                            <w:t>Avda. Porta do Sol s/n</w:t>
                          </w:r>
                        </w:p>
                        <w:p w:rsidR="00923B64" w:rsidRDefault="006E7415">
                          <w:pPr>
                            <w:overflowPunct w:val="0"/>
                            <w:spacing w:line="276" w:lineRule="auto"/>
                            <w:jc w:val="both"/>
                            <w:rPr>
                              <w:rFonts w:hint="eastAsia"/>
                            </w:rPr>
                          </w:pPr>
                          <w:r>
                            <w:rPr>
                              <w:rFonts w:ascii="Arial" w:hAnsi="Arial" w:cs="Arial"/>
                              <w:sz w:val="16"/>
                              <w:szCs w:val="16"/>
                            </w:rPr>
                            <w:t>15552 Valdoviño (A Coruña)</w:t>
                          </w:r>
                        </w:p>
                        <w:p w:rsidR="00923B64" w:rsidRDefault="006E7415">
                          <w:pPr>
                            <w:overflowPunct w:val="0"/>
                            <w:spacing w:line="276" w:lineRule="auto"/>
                            <w:jc w:val="both"/>
                            <w:rPr>
                              <w:rFonts w:hint="eastAsia"/>
                            </w:rPr>
                          </w:pPr>
                          <w:r>
                            <w:rPr>
                              <w:rFonts w:ascii="Arial" w:hAnsi="Arial" w:cs="Arial"/>
                              <w:sz w:val="16"/>
                              <w:szCs w:val="16"/>
                            </w:rPr>
                            <w:t>Tfno.: 981 487 041 Fax.: 981 487 294</w:t>
                          </w:r>
                        </w:p>
                        <w:p w:rsidR="00923B64" w:rsidRDefault="006E7415">
                          <w:pPr>
                            <w:overflowPunct w:val="0"/>
                            <w:spacing w:line="276" w:lineRule="auto"/>
                            <w:jc w:val="both"/>
                            <w:rPr>
                              <w:rFonts w:hint="eastAsia"/>
                            </w:rPr>
                          </w:pPr>
                          <w:r>
                            <w:rPr>
                              <w:rFonts w:ascii="Arial" w:hAnsi="Arial" w:cs="Arial"/>
                              <w:sz w:val="16"/>
                              <w:szCs w:val="16"/>
                            </w:rPr>
                            <w:t>www.concellodevaldovino.com</w:t>
                          </w:r>
                        </w:p>
                      </w:txbxContent>
                    </wps:txbx>
                    <wps:bodyPr wrap="none" lIns="0" tIns="0" rIns="0" bIns="0" anchor="ctr" compatLnSpc="0">
                      <a:noAutofit/>
                    </wps:bodyPr>
                  </wps:wsp>
                </a:graphicData>
              </a:graphic>
            </wp:anchor>
          </w:drawing>
        </mc:Choice>
        <mc:Fallback>
          <w:pict>
            <v:shapetype id="_x0000_t202" coordsize="21600,21600" o:spt="202" path="m,l,21600r21600,l21600,xe">
              <v:stroke joinstyle="miter"/>
              <v:path gradientshapeok="t" o:connecttype="rect"/>
            </v:shapetype>
            <v:shape id="Forma1" o:spid="_x0000_s1026" type="#_x0000_t202" style="position:absolute;left:0;text-align:left;margin-left:57.55pt;margin-top:-8.95pt;width:170.55pt;height:95.6pt;z-index:251659264;visibility:visible;mso-wrap-style:non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" filled="f" stroked="f">
              <v:textbox inset="0,0,0,0">
                <w:txbxContent>
                  <w:p w:rsidR="00923B64" w:rsidRDefault="006E7415">
                    <w:pPr>
                      <w:overflowPunct w:val="0"/>
                      <w:spacing w:after="57" w:line="276" w:lineRule="auto"/>
                      <w:jc w:val="both"/>
                      <w:rPr>
                        <w:rFonts w:hint="eastAsia"/>
                      </w:rPr>
                    </w:pPr>
                    <w:r>
                      <w:rPr>
                        <w:rFonts w:ascii="Arial" w:hAnsi="Arial" w:cs="Arial"/>
                        <w:b/>
                        <w:bCs/>
                        <w:sz w:val="20"/>
                        <w:szCs w:val="20"/>
                      </w:rPr>
                      <w:t>CONCELLO DE VALDOVIÑO</w:t>
                    </w:r>
                  </w:p>
                  <w:p w:rsidR="00923B64" w:rsidRDefault="006E7415">
                    <w:pPr>
                      <w:overflowPunct w:val="0"/>
                      <w:spacing w:line="276" w:lineRule="auto"/>
                      <w:jc w:val="both"/>
                      <w:rPr>
                        <w:rFonts w:hint="eastAsia"/>
                      </w:rPr>
                    </w:pPr>
                    <w:r>
                      <w:rPr>
                        <w:rFonts w:ascii="Arial" w:hAnsi="Arial" w:cs="Arial"/>
                        <w:sz w:val="16"/>
                        <w:szCs w:val="16"/>
                      </w:rPr>
                      <w:t>Avda. Porta do Sol s/n</w:t>
                    </w:r>
                  </w:p>
                  <w:p w:rsidR="00923B64" w:rsidRDefault="006E7415">
                    <w:pPr>
                      <w:overflowPunct w:val="0"/>
                      <w:spacing w:line="276" w:lineRule="auto"/>
                      <w:jc w:val="both"/>
                      <w:rPr>
                        <w:rFonts w:hint="eastAsia"/>
                      </w:rPr>
                    </w:pPr>
                    <w:r>
                      <w:rPr>
                        <w:rFonts w:ascii="Arial" w:hAnsi="Arial" w:cs="Arial"/>
                        <w:sz w:val="16"/>
                        <w:szCs w:val="16"/>
                      </w:rPr>
                      <w:t>15552 Valdoviño (A Coruña)</w:t>
                    </w:r>
                  </w:p>
                  <w:p w:rsidR="00923B64" w:rsidRDefault="006E7415">
                    <w:pPr>
                      <w:overflowPunct w:val="0"/>
                      <w:spacing w:line="276" w:lineRule="auto"/>
                      <w:jc w:val="both"/>
                      <w:rPr>
                        <w:rFonts w:hint="eastAsia"/>
                      </w:rPr>
                    </w:pPr>
                    <w:r>
                      <w:rPr>
                        <w:rFonts w:ascii="Arial" w:hAnsi="Arial" w:cs="Arial"/>
                        <w:sz w:val="16"/>
                        <w:szCs w:val="16"/>
                      </w:rPr>
                      <w:t>Tfno.: 981 487 041 Fax.: 981 487 294</w:t>
                    </w:r>
                  </w:p>
                  <w:p w:rsidR="00923B64" w:rsidRDefault="006E7415">
                    <w:pPr>
                      <w:overflowPunct w:val="0"/>
                      <w:spacing w:line="276" w:lineRule="auto"/>
                      <w:jc w:val="both"/>
                      <w:rPr>
                        <w:rFonts w:hint="eastAsia"/>
                      </w:rPr>
                    </w:pPr>
                    <w:r>
                      <w:rPr>
                        <w:rFonts w:ascii="Arial" w:hAnsi="Arial" w:cs="Arial"/>
                        <w:sz w:val="16"/>
                        <w:szCs w:val="16"/>
                      </w:rPr>
                      <w:t>www.concellodevaldovino.com</w:t>
                    </w:r>
                  </w:p>
                </w:txbxContent>
              </v:textbox>
              <w10:wrap type="through" side="left"/>
            </v:shape>
          </w:pict>
        </mc:Fallback>
      </mc:AlternateContent>
    </w:r>
    <w:r>
      <w:rPr>
        <w:noProof/>
        <w:lang w:eastAsia="es-ES" w:bidi="ar-SA"/>
      </w:rPr>
      <w:drawing>
        <wp:anchor distT="0" distB="0" distL="114300" distR="114300" simplePos="0" relativeHeight="251660288" behindDoc="0" locked="0" layoutInCell="1" allowOverlap="1">
          <wp:simplePos x="0" y="0"/>
          <wp:positionH relativeFrom="column">
            <wp:posOffset>27360</wp:posOffset>
          </wp:positionH>
          <wp:positionV relativeFrom="paragraph">
            <wp:posOffset>10800</wp:posOffset>
          </wp:positionV>
          <wp:extent cx="567000" cy="939959"/>
          <wp:effectExtent l="0" t="0" r="4500" b="0"/>
          <wp:wrapSquare wrapText="bothSides"/>
          <wp:docPr id="2" name="Imagen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567000" cy="939959"/>
                  </a:xfrm>
                  <a:prstGeom prst="rect">
                    <a:avLst/>
                  </a:prstGeom>
                  <a:noFill/>
                  <a:ln>
                    <a:noFill/>
                    <a:prstDash/>
                  </a:ln>
                </pic:spPr>
              </pic:pic>
            </a:graphicData>
          </a:graphic>
        </wp:anchor>
      </w:drawing>
    </w:r>
    <w:r>
      <w:rPr>
        <w:noProof/>
        <w:lang w:eastAsia="es-ES" w:bidi="ar-SA"/>
      </w:rPr>
      <w:drawing>
        <wp:inline distT="0" distB="0" distL="0" distR="0">
          <wp:extent cx="1402559" cy="937440"/>
          <wp:effectExtent l="0" t="0" r="7141" b="0"/>
          <wp:docPr id="3" name="Imagen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lum/>
                    <a:alphaModFix/>
                  </a:blip>
                  <a:srcRect/>
                  <a:stretch>
                    <a:fillRect/>
                  </a:stretch>
                </pic:blipFill>
                <pic:spPr>
                  <a:xfrm>
                    <a:off x="0" y="0"/>
                    <a:ext cx="1402559" cy="93744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EF1A96"/>
    <w:multiLevelType w:val="multilevel"/>
    <w:tmpl w:val="21980A46"/>
    <w:styleLink w:val="WWNum4"/>
    <w:lvl w:ilvl="0">
      <w:start w:val="1"/>
      <w:numFmt w:val="upperLetter"/>
      <w:lvlText w:val="%1."/>
      <w:lvlJc w:val="left"/>
      <w:pPr>
        <w:ind w:left="720" w:hanging="360"/>
      </w:pPr>
      <w:rPr>
        <w:rFonts w:ascii="Arial" w:hAnsi="Arial" w:cs="Times New Roman"/>
        <w:sz w:val="22"/>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 w15:restartNumberingAfterBreak="0">
    <w:nsid w:val="32C32C1E"/>
    <w:multiLevelType w:val="multilevel"/>
    <w:tmpl w:val="7FFED61C"/>
    <w:lvl w:ilvl="0">
      <w:start w:val="1"/>
      <w:numFmt w:val="lowerLetter"/>
      <w:lvlText w:val="%1)"/>
      <w:lvlJc w:val="left"/>
      <w:pPr>
        <w:ind w:left="720" w:hanging="360"/>
      </w:pPr>
      <w:rPr>
        <w:rFonts w:ascii="Arial" w:hAnsi="Arial"/>
        <w:sz w:val="22"/>
        <w:szCs w:val="22"/>
      </w:rPr>
    </w:lvl>
    <w:lvl w:ilvl="1">
      <w:start w:val="1"/>
      <w:numFmt w:val="lowerLetter"/>
      <w:lvlText w:val="%2)"/>
      <w:lvlJc w:val="left"/>
      <w:pPr>
        <w:ind w:left="1080" w:hanging="360"/>
      </w:pPr>
      <w:rPr>
        <w:rFonts w:ascii="Arial" w:hAnsi="Arial"/>
        <w:sz w:val="22"/>
        <w:szCs w:val="22"/>
      </w:rPr>
    </w:lvl>
    <w:lvl w:ilvl="2">
      <w:start w:val="1"/>
      <w:numFmt w:val="lowerLetter"/>
      <w:lvlText w:val="%3)"/>
      <w:lvlJc w:val="left"/>
      <w:pPr>
        <w:ind w:left="1440" w:hanging="360"/>
      </w:pPr>
      <w:rPr>
        <w:rFonts w:ascii="Arial" w:hAnsi="Arial"/>
        <w:sz w:val="22"/>
        <w:szCs w:val="22"/>
      </w:rPr>
    </w:lvl>
    <w:lvl w:ilvl="3">
      <w:start w:val="1"/>
      <w:numFmt w:val="lowerLetter"/>
      <w:lvlText w:val="%4)"/>
      <w:lvlJc w:val="left"/>
      <w:pPr>
        <w:ind w:left="1800" w:hanging="360"/>
      </w:pPr>
      <w:rPr>
        <w:rFonts w:ascii="Arial" w:hAnsi="Arial"/>
        <w:sz w:val="22"/>
        <w:szCs w:val="22"/>
      </w:rPr>
    </w:lvl>
    <w:lvl w:ilvl="4">
      <w:start w:val="1"/>
      <w:numFmt w:val="lowerLetter"/>
      <w:lvlText w:val="%5)"/>
      <w:lvlJc w:val="left"/>
      <w:pPr>
        <w:ind w:left="2160" w:hanging="360"/>
      </w:pPr>
      <w:rPr>
        <w:rFonts w:ascii="Arial" w:hAnsi="Arial"/>
        <w:sz w:val="22"/>
        <w:szCs w:val="22"/>
      </w:rPr>
    </w:lvl>
    <w:lvl w:ilvl="5">
      <w:start w:val="1"/>
      <w:numFmt w:val="lowerLetter"/>
      <w:lvlText w:val="%6)"/>
      <w:lvlJc w:val="left"/>
      <w:pPr>
        <w:ind w:left="2520" w:hanging="360"/>
      </w:pPr>
      <w:rPr>
        <w:rFonts w:ascii="Arial" w:hAnsi="Arial"/>
        <w:sz w:val="22"/>
        <w:szCs w:val="22"/>
      </w:rPr>
    </w:lvl>
    <w:lvl w:ilvl="6">
      <w:start w:val="1"/>
      <w:numFmt w:val="lowerLetter"/>
      <w:lvlText w:val="%7)"/>
      <w:lvlJc w:val="left"/>
      <w:pPr>
        <w:ind w:left="2880" w:hanging="360"/>
      </w:pPr>
      <w:rPr>
        <w:rFonts w:ascii="Arial" w:hAnsi="Arial"/>
        <w:sz w:val="22"/>
        <w:szCs w:val="22"/>
      </w:rPr>
    </w:lvl>
    <w:lvl w:ilvl="7">
      <w:start w:val="1"/>
      <w:numFmt w:val="lowerLetter"/>
      <w:lvlText w:val="%8)"/>
      <w:lvlJc w:val="left"/>
      <w:pPr>
        <w:ind w:left="3240" w:hanging="360"/>
      </w:pPr>
      <w:rPr>
        <w:rFonts w:ascii="Arial" w:hAnsi="Arial"/>
        <w:sz w:val="22"/>
        <w:szCs w:val="22"/>
      </w:rPr>
    </w:lvl>
    <w:lvl w:ilvl="8">
      <w:start w:val="1"/>
      <w:numFmt w:val="lowerLetter"/>
      <w:lvlText w:val="%9)"/>
      <w:lvlJc w:val="left"/>
      <w:pPr>
        <w:ind w:left="3600" w:hanging="360"/>
      </w:pPr>
      <w:rPr>
        <w:rFonts w:ascii="Arial" w:hAnsi="Arial"/>
        <w:sz w:val="22"/>
        <w:szCs w:val="22"/>
      </w:rPr>
    </w:lvl>
  </w:abstractNum>
  <w:abstractNum w:abstractNumId="2" w15:restartNumberingAfterBreak="0">
    <w:nsid w:val="3614588C"/>
    <w:multiLevelType w:val="multilevel"/>
    <w:tmpl w:val="87D0B914"/>
    <w:styleLink w:val="WWNum1"/>
    <w:lvl w:ilvl="0">
      <w:start w:val="1"/>
      <w:numFmt w:val="none"/>
      <w:suff w:val="nothing"/>
      <w:lvlText w:val="%1"/>
      <w:lvlJc w:val="left"/>
      <w:pPr>
        <w:ind w:left="432" w:hanging="432"/>
      </w:pPr>
      <w:rPr>
        <w:rFonts w:cs="Times New Roman"/>
      </w:rPr>
    </w:lvl>
    <w:lvl w:ilvl="1">
      <w:start w:val="1"/>
      <w:numFmt w:val="none"/>
      <w:suff w:val="nothing"/>
      <w:lvlText w:val="%2"/>
      <w:lvlJc w:val="left"/>
      <w:pPr>
        <w:ind w:left="576" w:hanging="576"/>
      </w:pPr>
      <w:rPr>
        <w:rFonts w:cs="Times New Roman"/>
      </w:rPr>
    </w:lvl>
    <w:lvl w:ilvl="2">
      <w:start w:val="1"/>
      <w:numFmt w:val="none"/>
      <w:suff w:val="nothing"/>
      <w:lvlText w:val="%3"/>
      <w:lvlJc w:val="left"/>
      <w:pPr>
        <w:ind w:left="720" w:hanging="720"/>
      </w:pPr>
      <w:rPr>
        <w:rFonts w:cs="Times New Roman"/>
        <w:b w:val="0"/>
        <w:sz w:val="22"/>
      </w:rPr>
    </w:lvl>
    <w:lvl w:ilvl="3">
      <w:start w:val="1"/>
      <w:numFmt w:val="none"/>
      <w:suff w:val="nothing"/>
      <w:lvlText w:val="%4"/>
      <w:lvlJc w:val="left"/>
      <w:pPr>
        <w:ind w:left="864" w:hanging="864"/>
      </w:pPr>
      <w:rPr>
        <w:rFonts w:cs="Times New Roman"/>
      </w:rPr>
    </w:lvl>
    <w:lvl w:ilvl="4">
      <w:start w:val="1"/>
      <w:numFmt w:val="none"/>
      <w:suff w:val="nothing"/>
      <w:lvlText w:val="%5"/>
      <w:lvlJc w:val="left"/>
      <w:pPr>
        <w:ind w:left="1008" w:hanging="1008"/>
      </w:pPr>
      <w:rPr>
        <w:rFonts w:cs="Times New Roman"/>
      </w:rPr>
    </w:lvl>
    <w:lvl w:ilvl="5">
      <w:start w:val="1"/>
      <w:numFmt w:val="none"/>
      <w:suff w:val="nothing"/>
      <w:lvlText w:val="%6"/>
      <w:lvlJc w:val="left"/>
      <w:pPr>
        <w:ind w:left="1152" w:hanging="1152"/>
      </w:pPr>
      <w:rPr>
        <w:rFonts w:cs="Times New Roman"/>
      </w:rPr>
    </w:lvl>
    <w:lvl w:ilvl="6">
      <w:start w:val="1"/>
      <w:numFmt w:val="none"/>
      <w:suff w:val="nothing"/>
      <w:lvlText w:val="%7"/>
      <w:lvlJc w:val="left"/>
      <w:pPr>
        <w:ind w:left="1296" w:hanging="1296"/>
      </w:pPr>
      <w:rPr>
        <w:rFonts w:cs="Times New Roman"/>
      </w:rPr>
    </w:lvl>
    <w:lvl w:ilvl="7">
      <w:start w:val="1"/>
      <w:numFmt w:val="none"/>
      <w:suff w:val="nothing"/>
      <w:lvlText w:val="%8"/>
      <w:lvlJc w:val="left"/>
      <w:pPr>
        <w:ind w:left="1440" w:hanging="1440"/>
      </w:pPr>
      <w:rPr>
        <w:rFonts w:cs="Times New Roman"/>
      </w:rPr>
    </w:lvl>
    <w:lvl w:ilvl="8">
      <w:start w:val="1"/>
      <w:numFmt w:val="none"/>
      <w:suff w:val="nothing"/>
      <w:lvlText w:val="%9"/>
      <w:lvlJc w:val="left"/>
      <w:pPr>
        <w:ind w:left="1584" w:hanging="1584"/>
      </w:pPr>
      <w:rPr>
        <w:rFonts w:cs="Times New Roman"/>
      </w:rPr>
    </w:lvl>
  </w:abstractNum>
  <w:abstractNum w:abstractNumId="3" w15:restartNumberingAfterBreak="0">
    <w:nsid w:val="56787DC0"/>
    <w:multiLevelType w:val="multilevel"/>
    <w:tmpl w:val="FFBA1B00"/>
    <w:styleLink w:val="WWNum3"/>
    <w:lvl w:ilvl="0">
      <w:start w:val="1"/>
      <w:numFmt w:val="decimal"/>
      <w:lvlText w:val="(%1)"/>
      <w:lvlJc w:val="left"/>
      <w:pPr>
        <w:ind w:left="720" w:hanging="360"/>
      </w:pPr>
      <w:rPr>
        <w:rFonts w:ascii="Arial" w:hAnsi="Arial" w:cs="Times New Roman"/>
        <w:b w:val="0"/>
        <w:sz w:val="22"/>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 w15:restartNumberingAfterBreak="0">
    <w:nsid w:val="5ED27400"/>
    <w:multiLevelType w:val="multilevel"/>
    <w:tmpl w:val="C818D114"/>
    <w:styleLink w:val="WWNum2"/>
    <w:lvl w:ilvl="0">
      <w:numFmt w:val="bullet"/>
      <w:lvlText w:val="-"/>
      <w:lvlJc w:val="left"/>
      <w:pPr>
        <w:ind w:left="720" w:hanging="360"/>
      </w:pPr>
    </w:lvl>
    <w:lvl w:ilvl="1">
      <w:numFmt w:val="bullet"/>
      <w:lvlText w:val="o"/>
      <w:lvlJc w:val="left"/>
      <w:pPr>
        <w:ind w:left="1440" w:hanging="360"/>
      </w:p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lvl>
    <w:lvl w:ilvl="8">
      <w:numFmt w:val="bullet"/>
      <w:lvlText w:val=""/>
      <w:lvlJc w:val="left"/>
      <w:pPr>
        <w:ind w:left="6480" w:hanging="360"/>
      </w:pPr>
    </w:lvl>
  </w:abstractNum>
  <w:abstractNum w:abstractNumId="5" w15:restartNumberingAfterBreak="0">
    <w:nsid w:val="78A34A49"/>
    <w:multiLevelType w:val="multilevel"/>
    <w:tmpl w:val="0C4ACD7C"/>
    <w:lvl w:ilvl="0">
      <w:start w:val="1"/>
      <w:numFmt w:val="lowerLetter"/>
      <w:lvlText w:val="%1)"/>
      <w:lvlJc w:val="left"/>
      <w:pPr>
        <w:ind w:left="720" w:hanging="360"/>
      </w:pPr>
      <w:rPr>
        <w:rFonts w:ascii="Arial" w:hAnsi="Arial"/>
        <w:sz w:val="22"/>
        <w:szCs w:val="22"/>
      </w:rPr>
    </w:lvl>
    <w:lvl w:ilvl="1">
      <w:start w:val="1"/>
      <w:numFmt w:val="lowerLetter"/>
      <w:lvlText w:val="%2)"/>
      <w:lvlJc w:val="left"/>
      <w:pPr>
        <w:ind w:left="1080" w:hanging="360"/>
      </w:pPr>
      <w:rPr>
        <w:rFonts w:ascii="Arial" w:hAnsi="Arial"/>
        <w:sz w:val="22"/>
        <w:szCs w:val="22"/>
      </w:rPr>
    </w:lvl>
    <w:lvl w:ilvl="2">
      <w:start w:val="1"/>
      <w:numFmt w:val="lowerLetter"/>
      <w:lvlText w:val="%3)"/>
      <w:lvlJc w:val="left"/>
      <w:pPr>
        <w:ind w:left="1440" w:hanging="360"/>
      </w:pPr>
      <w:rPr>
        <w:rFonts w:ascii="Arial" w:hAnsi="Arial"/>
        <w:sz w:val="22"/>
        <w:szCs w:val="22"/>
      </w:rPr>
    </w:lvl>
    <w:lvl w:ilvl="3">
      <w:start w:val="1"/>
      <w:numFmt w:val="lowerLetter"/>
      <w:lvlText w:val="%4)"/>
      <w:lvlJc w:val="left"/>
      <w:pPr>
        <w:ind w:left="1800" w:hanging="360"/>
      </w:pPr>
      <w:rPr>
        <w:rFonts w:ascii="Arial" w:hAnsi="Arial"/>
        <w:sz w:val="22"/>
        <w:szCs w:val="22"/>
      </w:rPr>
    </w:lvl>
    <w:lvl w:ilvl="4">
      <w:start w:val="1"/>
      <w:numFmt w:val="lowerLetter"/>
      <w:lvlText w:val="%5)"/>
      <w:lvlJc w:val="left"/>
      <w:pPr>
        <w:ind w:left="2160" w:hanging="360"/>
      </w:pPr>
      <w:rPr>
        <w:rFonts w:ascii="Arial" w:hAnsi="Arial"/>
        <w:sz w:val="22"/>
        <w:szCs w:val="22"/>
      </w:rPr>
    </w:lvl>
    <w:lvl w:ilvl="5">
      <w:start w:val="1"/>
      <w:numFmt w:val="lowerLetter"/>
      <w:lvlText w:val="%6)"/>
      <w:lvlJc w:val="left"/>
      <w:pPr>
        <w:ind w:left="2520" w:hanging="360"/>
      </w:pPr>
      <w:rPr>
        <w:rFonts w:ascii="Arial" w:hAnsi="Arial"/>
        <w:sz w:val="22"/>
        <w:szCs w:val="22"/>
      </w:rPr>
    </w:lvl>
    <w:lvl w:ilvl="6">
      <w:start w:val="1"/>
      <w:numFmt w:val="lowerLetter"/>
      <w:lvlText w:val="%7)"/>
      <w:lvlJc w:val="left"/>
      <w:pPr>
        <w:ind w:left="2880" w:hanging="360"/>
      </w:pPr>
      <w:rPr>
        <w:rFonts w:ascii="Arial" w:hAnsi="Arial"/>
        <w:sz w:val="22"/>
        <w:szCs w:val="22"/>
      </w:rPr>
    </w:lvl>
    <w:lvl w:ilvl="7">
      <w:start w:val="1"/>
      <w:numFmt w:val="lowerLetter"/>
      <w:lvlText w:val="%8)"/>
      <w:lvlJc w:val="left"/>
      <w:pPr>
        <w:ind w:left="3240" w:hanging="360"/>
      </w:pPr>
      <w:rPr>
        <w:rFonts w:ascii="Arial" w:hAnsi="Arial"/>
        <w:sz w:val="22"/>
        <w:szCs w:val="22"/>
      </w:rPr>
    </w:lvl>
    <w:lvl w:ilvl="8">
      <w:start w:val="1"/>
      <w:numFmt w:val="lowerLetter"/>
      <w:lvlText w:val="%9)"/>
      <w:lvlJc w:val="left"/>
      <w:pPr>
        <w:ind w:left="3600" w:hanging="360"/>
      </w:pPr>
      <w:rPr>
        <w:rFonts w:ascii="Arial" w:hAnsi="Arial"/>
        <w:sz w:val="22"/>
        <w:szCs w:val="22"/>
      </w:rPr>
    </w:lvl>
  </w:abstractNum>
  <w:num w:numId="1">
    <w:abstractNumId w:val="2"/>
  </w:num>
  <w:num w:numId="2">
    <w:abstractNumId w:val="4"/>
  </w:num>
  <w:num w:numId="3">
    <w:abstractNumId w:val="3"/>
  </w:num>
  <w:num w:numId="4">
    <w:abstractNumId w:val="0"/>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
  <w:rsids>
    <w:rsidRoot w:val="00BA5620"/>
    <w:rsid w:val="006E7415"/>
    <w:rsid w:val="00886966"/>
    <w:rsid w:val="00BA562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E869AB3-2D94-457E-8D8C-8C939094D9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NSimSun" w:hAnsi="Liberation Serif" w:cs="Lucida Sans"/>
        <w:kern w:val="3"/>
        <w:sz w:val="24"/>
        <w:szCs w:val="24"/>
        <w:lang w:val="es-ES" w:eastAsia="zh-CN" w:bidi="hi-IN"/>
      </w:rPr>
    </w:rPrDefault>
    <w:pPrDefault>
      <w:pPr>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3">
    <w:name w:val="heading 3"/>
    <w:basedOn w:val="Heading"/>
    <w:next w:val="Textbody"/>
    <w:pPr>
      <w:spacing w:before="140"/>
      <w:outlineLvl w:val="2"/>
    </w:pPr>
    <w:rPr>
      <w:rFonts w:ascii="Liberation Serif" w:eastAsia="NSimSun" w:hAnsi="Liberation Serif"/>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76" w:lineRule="auto"/>
    </w:pPr>
  </w:style>
  <w:style w:type="paragraph" w:styleId="Lista">
    <w:name w:val="List"/>
    <w:basedOn w:val="Textbody"/>
  </w:style>
  <w:style w:type="paragraph" w:styleId="Descripcin">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HeaderandFooter">
    <w:name w:val="Header and Footer"/>
    <w:basedOn w:val="Standard"/>
    <w:pPr>
      <w:suppressLineNumbers/>
      <w:tabs>
        <w:tab w:val="center" w:pos="4819"/>
        <w:tab w:val="right" w:pos="9638"/>
      </w:tabs>
    </w:pPr>
  </w:style>
  <w:style w:type="paragraph" w:styleId="Encabezado">
    <w:name w:val="header"/>
    <w:basedOn w:val="HeaderandFooter"/>
  </w:style>
  <w:style w:type="paragraph" w:customStyle="1" w:styleId="DocumentMap">
    <w:name w:val="DocumentMap"/>
    <w:pPr>
      <w:textAlignment w:val="auto"/>
    </w:pPr>
    <w:rPr>
      <w:rFonts w:ascii="Times New Roman" w:eastAsia="Cambria Math" w:hAnsi="Times New Roman" w:cs="Times New Roman"/>
      <w:sz w:val="20"/>
      <w:szCs w:val="20"/>
      <w:lang w:eastAsia="es-ES" w:bidi="ar-SA"/>
    </w:rPr>
  </w:style>
  <w:style w:type="paragraph" w:customStyle="1" w:styleId="Standarduser">
    <w:name w:val="Standard (user)"/>
    <w:rPr>
      <w:rFonts w:eastAsia="SimSun" w:cs="Liberation Serif"/>
    </w:rPr>
  </w:style>
  <w:style w:type="paragraph" w:customStyle="1" w:styleId="Textbodyuser">
    <w:name w:val="Text body (user)"/>
    <w:basedOn w:val="Standarduser"/>
    <w:pPr>
      <w:spacing w:after="140" w:line="288" w:lineRule="exact"/>
    </w:pPr>
  </w:style>
  <w:style w:type="paragraph" w:styleId="Prrafodelista">
    <w:name w:val="List Paragraph"/>
    <w:basedOn w:val="Standard"/>
    <w:pPr>
      <w:spacing w:before="240" w:after="120" w:line="360" w:lineRule="exact"/>
    </w:pPr>
    <w:rPr>
      <w:b/>
      <w:sz w:val="20"/>
      <w:szCs w:val="20"/>
    </w:rPr>
  </w:style>
  <w:style w:type="paragraph" w:styleId="NormalWeb">
    <w:name w:val="Normal (Web)"/>
    <w:basedOn w:val="Standard"/>
    <w:pPr>
      <w:spacing w:before="280" w:after="280"/>
    </w:pPr>
    <w:rPr>
      <w:rFonts w:cs="Times New Roman"/>
    </w:rPr>
  </w:style>
  <w:style w:type="paragraph" w:styleId="Piedepgina">
    <w:name w:val="footer"/>
    <w:basedOn w:val="HeaderandFooter"/>
  </w:style>
  <w:style w:type="character" w:customStyle="1" w:styleId="Internetlink">
    <w:name w:val="Internet link"/>
    <w:rPr>
      <w:color w:val="000080"/>
      <w:u w:val="single"/>
    </w:rPr>
  </w:style>
  <w:style w:type="character" w:customStyle="1" w:styleId="NumberingSymbols">
    <w:name w:val="Numbering Symbols"/>
    <w:rPr>
      <w:rFonts w:ascii="Arial" w:eastAsia="Arial" w:hAnsi="Arial" w:cs="Arial"/>
      <w:sz w:val="22"/>
      <w:szCs w:val="22"/>
    </w:rPr>
  </w:style>
  <w:style w:type="character" w:customStyle="1" w:styleId="Ttulo3Car">
    <w:name w:val="Título 3 Car"/>
    <w:basedOn w:val="Fuentedeprrafopredeter"/>
    <w:rPr>
      <w:rFonts w:cs="Arial"/>
      <w:b/>
      <w:bCs/>
      <w:sz w:val="26"/>
      <w:szCs w:val="26"/>
    </w:rPr>
  </w:style>
  <w:style w:type="character" w:customStyle="1" w:styleId="EncabezadoCar">
    <w:name w:val="Encabezado Car"/>
    <w:basedOn w:val="Fuentedeprrafopredeter"/>
  </w:style>
  <w:style w:type="character" w:customStyle="1" w:styleId="PiedepginaCar">
    <w:name w:val="Pie de página Car"/>
    <w:basedOn w:val="Fuentedeprrafopredeter"/>
  </w:style>
  <w:style w:type="character" w:customStyle="1" w:styleId="ListLabel1">
    <w:name w:val="ListLabel 1"/>
    <w:rPr>
      <w:rFonts w:cs="Times New Roman"/>
    </w:rPr>
  </w:style>
  <w:style w:type="character" w:customStyle="1" w:styleId="ListLabel2">
    <w:name w:val="ListLabel 2"/>
    <w:rPr>
      <w:rFonts w:cs="Times New Roman"/>
    </w:rPr>
  </w:style>
  <w:style w:type="character" w:customStyle="1" w:styleId="ListLabel3">
    <w:name w:val="ListLabel 3"/>
    <w:rPr>
      <w:rFonts w:cs="Times New Roman"/>
      <w:b w:val="0"/>
      <w:sz w:val="22"/>
    </w:rPr>
  </w:style>
  <w:style w:type="character" w:customStyle="1" w:styleId="ListLabel4">
    <w:name w:val="ListLabel 4"/>
    <w:rPr>
      <w:rFonts w:cs="Times New Roman"/>
    </w:rPr>
  </w:style>
  <w:style w:type="character" w:customStyle="1" w:styleId="ListLabel5">
    <w:name w:val="ListLabel 5"/>
    <w:rPr>
      <w:rFonts w:cs="Times New Roman"/>
    </w:rPr>
  </w:style>
  <w:style w:type="character" w:customStyle="1" w:styleId="ListLabel6">
    <w:name w:val="ListLabel 6"/>
    <w:rPr>
      <w:rFonts w:cs="Times New Roman"/>
    </w:rPr>
  </w:style>
  <w:style w:type="character" w:customStyle="1" w:styleId="ListLabel7">
    <w:name w:val="ListLabel 7"/>
    <w:rPr>
      <w:rFonts w:cs="Times New Roman"/>
    </w:rPr>
  </w:style>
  <w:style w:type="character" w:customStyle="1" w:styleId="ListLabel8">
    <w:name w:val="ListLabel 8"/>
    <w:rPr>
      <w:rFonts w:cs="Times New Roman"/>
    </w:rPr>
  </w:style>
  <w:style w:type="character" w:customStyle="1" w:styleId="ListLabel9">
    <w:name w:val="ListLabel 9"/>
    <w:rPr>
      <w:rFonts w:cs="Times New Roman"/>
    </w:rPr>
  </w:style>
  <w:style w:type="character" w:customStyle="1" w:styleId="ListLabel10">
    <w:name w:val="ListLabel 10"/>
    <w:rPr>
      <w:rFonts w:ascii="Arial" w:eastAsia="Arial" w:hAnsi="Arial" w:cs="Times New Roman"/>
      <w:b w:val="0"/>
      <w:sz w:val="22"/>
    </w:rPr>
  </w:style>
  <w:style w:type="character" w:customStyle="1" w:styleId="ListLabel11">
    <w:name w:val="ListLabel 11"/>
    <w:rPr>
      <w:rFonts w:cs="Times New Roman"/>
    </w:rPr>
  </w:style>
  <w:style w:type="character" w:customStyle="1" w:styleId="ListLabel12">
    <w:name w:val="ListLabel 12"/>
    <w:rPr>
      <w:rFonts w:cs="Times New Roman"/>
    </w:rPr>
  </w:style>
  <w:style w:type="character" w:customStyle="1" w:styleId="ListLabel13">
    <w:name w:val="ListLabel 13"/>
    <w:rPr>
      <w:rFonts w:cs="Times New Roman"/>
    </w:rPr>
  </w:style>
  <w:style w:type="character" w:customStyle="1" w:styleId="ListLabel14">
    <w:name w:val="ListLabel 14"/>
    <w:rPr>
      <w:rFonts w:cs="Times New Roman"/>
    </w:rPr>
  </w:style>
  <w:style w:type="character" w:customStyle="1" w:styleId="ListLabel15">
    <w:name w:val="ListLabel 15"/>
    <w:rPr>
      <w:rFonts w:cs="Times New Roman"/>
    </w:rPr>
  </w:style>
  <w:style w:type="character" w:customStyle="1" w:styleId="ListLabel16">
    <w:name w:val="ListLabel 16"/>
    <w:rPr>
      <w:rFonts w:cs="Times New Roman"/>
    </w:rPr>
  </w:style>
  <w:style w:type="character" w:customStyle="1" w:styleId="ListLabel17">
    <w:name w:val="ListLabel 17"/>
    <w:rPr>
      <w:rFonts w:cs="Times New Roman"/>
    </w:rPr>
  </w:style>
  <w:style w:type="character" w:customStyle="1" w:styleId="ListLabel18">
    <w:name w:val="ListLabel 18"/>
    <w:rPr>
      <w:rFonts w:cs="Times New Roman"/>
    </w:rPr>
  </w:style>
  <w:style w:type="character" w:customStyle="1" w:styleId="ListLabel19">
    <w:name w:val="ListLabel 19"/>
    <w:rPr>
      <w:rFonts w:ascii="Arial" w:eastAsia="Arial" w:hAnsi="Arial" w:cs="Times New Roman"/>
      <w:sz w:val="22"/>
    </w:rPr>
  </w:style>
  <w:style w:type="character" w:customStyle="1" w:styleId="ListLabel20">
    <w:name w:val="ListLabel 20"/>
    <w:rPr>
      <w:rFonts w:cs="Times New Roman"/>
    </w:rPr>
  </w:style>
  <w:style w:type="character" w:customStyle="1" w:styleId="ListLabel21">
    <w:name w:val="ListLabel 21"/>
    <w:rPr>
      <w:rFonts w:cs="Times New Roman"/>
    </w:rPr>
  </w:style>
  <w:style w:type="character" w:customStyle="1" w:styleId="ListLabel22">
    <w:name w:val="ListLabel 22"/>
    <w:rPr>
      <w:rFonts w:cs="Times New Roman"/>
    </w:rPr>
  </w:style>
  <w:style w:type="character" w:customStyle="1" w:styleId="ListLabel23">
    <w:name w:val="ListLabel 23"/>
    <w:rPr>
      <w:rFonts w:cs="Times New Roman"/>
    </w:rPr>
  </w:style>
  <w:style w:type="character" w:customStyle="1" w:styleId="ListLabel24">
    <w:name w:val="ListLabel 24"/>
    <w:rPr>
      <w:rFonts w:cs="Times New Roman"/>
    </w:rPr>
  </w:style>
  <w:style w:type="character" w:customStyle="1" w:styleId="ListLabel25">
    <w:name w:val="ListLabel 25"/>
    <w:rPr>
      <w:rFonts w:cs="Times New Roman"/>
    </w:rPr>
  </w:style>
  <w:style w:type="character" w:customStyle="1" w:styleId="ListLabel26">
    <w:name w:val="ListLabel 26"/>
    <w:rPr>
      <w:rFonts w:cs="Times New Roman"/>
    </w:rPr>
  </w:style>
  <w:style w:type="character" w:customStyle="1" w:styleId="ListLabel27">
    <w:name w:val="ListLabel 27"/>
    <w:rPr>
      <w:rFonts w:cs="Times New Roman"/>
    </w:rPr>
  </w:style>
  <w:style w:type="numbering" w:customStyle="1" w:styleId="WWNum1">
    <w:name w:val="WWNum1"/>
    <w:basedOn w:val="Sinlista"/>
    <w:pPr>
      <w:numPr>
        <w:numId w:val="1"/>
      </w:numPr>
    </w:pPr>
  </w:style>
  <w:style w:type="numbering" w:customStyle="1" w:styleId="WWNum2">
    <w:name w:val="WWNum2"/>
    <w:basedOn w:val="Sinlista"/>
    <w:pPr>
      <w:numPr>
        <w:numId w:val="2"/>
      </w:numPr>
    </w:pPr>
  </w:style>
  <w:style w:type="numbering" w:customStyle="1" w:styleId="WWNum3">
    <w:name w:val="WWNum3"/>
    <w:basedOn w:val="Sinlista"/>
    <w:pPr>
      <w:numPr>
        <w:numId w:val="3"/>
      </w:numPr>
    </w:pPr>
  </w:style>
  <w:style w:type="numbering" w:customStyle="1" w:styleId="WWNum4">
    <w:name w:val="WWNum4"/>
    <w:basedOn w:val="Sinlista"/>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640</Words>
  <Characters>3525</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4157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2</cp:revision>
  <cp:lastPrinted>2020-10-19T19:49:00Z</cp:lastPrinted>
  <dcterms:created xsi:type="dcterms:W3CDTF">2020-10-30T07:44:00Z</dcterms:created>
  <dcterms:modified xsi:type="dcterms:W3CDTF">2020-10-30T07:44:00Z</dcterms:modified>
</cp:coreProperties>
</file>