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0"/>
        <w:jc w:val="both"/>
        <w:rPr>
          <w:rFonts w:ascii="Times New Roman" w:hAnsi="Times New Roman" w:eastAsia="Arial" w:cs="Times New Roman"/>
          <w:b/>
          <w:b/>
          <w:sz w:val="28"/>
          <w:szCs w:val="28"/>
          <w:lang w:val="ca-ES-valencia"/>
        </w:rPr>
      </w:pPr>
      <w:r>
        <w:rPr>
          <w:rFonts w:eastAsia="Arial" w:cs="Times New Roman" w:ascii="Times New Roman" w:hAnsi="Times New Roman"/>
          <w:b/>
          <w:sz w:val="28"/>
          <w:szCs w:val="28"/>
          <w:lang w:val="ca-ES-valencia"/>
        </w:rPr>
      </w:r>
    </w:p>
    <w:p>
      <w:pPr>
        <w:pStyle w:val="Normal"/>
        <w:spacing w:before="0" w:after="280"/>
        <w:jc w:val="both"/>
        <w:rPr>
          <w:b/>
          <w:b/>
          <w:bCs/>
        </w:rPr>
      </w:pPr>
      <w:r>
        <w:rPr>
          <w:rFonts w:eastAsia="Arial" w:cs="Arial" w:ascii="Times New Roman" w:hAnsi="Times New Roman"/>
          <w:b/>
          <w:bCs/>
          <w:color w:val="auto"/>
          <w:sz w:val="18"/>
          <w:szCs w:val="18"/>
          <w:u w:val="none"/>
          <w:lang w:val="ca-ES-valencia"/>
        </w:rPr>
        <w:t>BASES REGULADORAS SUBVENCIONES PYMES 2020</w:t>
      </w:r>
    </w:p>
    <w:p>
      <w:pPr>
        <w:pStyle w:val="Normal"/>
        <w:spacing w:before="0" w:after="280"/>
        <w:jc w:val="both"/>
        <w:rPr/>
      </w:pPr>
      <w:r>
        <w:rPr>
          <w:rFonts w:eastAsia="Arial" w:cs="Arial" w:ascii="Times New Roman" w:hAnsi="Times New Roman"/>
          <w:b/>
          <w:bCs/>
          <w:color w:val="auto"/>
          <w:sz w:val="18"/>
          <w:szCs w:val="18"/>
          <w:u w:val="none"/>
          <w:lang w:val="ca-ES-valencia"/>
        </w:rPr>
        <w:t xml:space="preserve">Primera. </w:t>
      </w:r>
      <w:r>
        <w:rPr>
          <w:rFonts w:eastAsia="Arial" w:cs="Arial" w:ascii="Times New Roman" w:hAnsi="Times New Roman"/>
          <w:b w:val="false"/>
          <w:bCs w:val="false"/>
          <w:color w:val="auto"/>
          <w:sz w:val="18"/>
          <w:szCs w:val="18"/>
          <w:u w:val="none"/>
          <w:lang w:val="ca-ES-valencia"/>
        </w:rPr>
        <w:t>Finalidad, objeto y cantidad subvencionada.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La situación de emergencia de salud pública ocasionada por la COVID-19 en todo el mundo, està afectando nuestro municipio gravemente, y està generando una situación extrema, por lo cual se requiere impulsar la actividad económica en nuestro municipio compensando la caída de la demanda y favoreciendo en la medida de las posibilidades las inversiones en modernización y adaptación de las instalaciones que los autónomos y las pymes tengan que realizar de cara a la nueva normalidad.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 finalidad de estas ayudas es proteger el interés general, actuando directamente sobre las personas físicas y jurídicas que forman parte del tejido económico de Carcaixent, con el objetivo de incentivar la adaptación y modernización que la nueva situación requiere.</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Las presentes bases tienen por objeto regular la concesión de subvenciones en régimen de concurrencia competitiva, según lo establecido en el artículo 22 de la Ley 38/2003, de 17 de noviembre, General de Subvenciones.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Estas subvenciones prevén dos modalidades de ayuda: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bCs/>
          <w:color w:val="auto"/>
          <w:sz w:val="18"/>
          <w:szCs w:val="18"/>
          <w:u w:val="none"/>
          <w:lang w:val="ca-ES-valencia"/>
        </w:rPr>
        <w:t xml:space="preserve"> • </w:t>
      </w:r>
      <w:r>
        <w:rPr>
          <w:rFonts w:eastAsia="Arial" w:cs="Arial" w:ascii="Times New Roman" w:hAnsi="Times New Roman"/>
          <w:b/>
          <w:bCs/>
          <w:color w:val="auto"/>
          <w:sz w:val="18"/>
          <w:szCs w:val="18"/>
          <w:u w:val="none"/>
          <w:lang w:val="ca-ES-valencia"/>
        </w:rPr>
        <w:t>MODALIDAD 1:</w:t>
      </w:r>
      <w:r>
        <w:rPr>
          <w:rFonts w:eastAsia="Arial" w:cs="Arial" w:ascii="Times New Roman" w:hAnsi="Times New Roman"/>
          <w:b w:val="false"/>
          <w:bCs w:val="false"/>
          <w:color w:val="auto"/>
          <w:sz w:val="18"/>
          <w:szCs w:val="18"/>
          <w:u w:val="none"/>
          <w:lang w:val="ca-ES-valencia"/>
        </w:rPr>
        <w:t xml:space="preserve"> Orientada a las empresas y autónomos que forman parte del tejido económico local para hacer frente a los gastos corrientes de su actividad y por las inversiones en material higiénico-sanitario para adaptarse a la nueva normalidad. Esta modalidad estará dividida en: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b/>
      </w:r>
      <w:r>
        <w:rPr>
          <w:rFonts w:eastAsia="Arial" w:cs="Arial" w:ascii="Times New Roman" w:hAnsi="Times New Roman"/>
          <w:b w:val="false"/>
          <w:bCs w:val="false"/>
          <w:color w:val="auto"/>
          <w:sz w:val="18"/>
          <w:szCs w:val="18"/>
          <w:u w:val="single"/>
          <w:lang w:val="ca-ES-valencia"/>
        </w:rPr>
        <w:t xml:space="preserve">SUBMODALIDAT 1: </w:t>
      </w:r>
      <w:r>
        <w:rPr>
          <w:rFonts w:eastAsia="Arial" w:cs="Arial" w:ascii="Times New Roman" w:hAnsi="Times New Roman"/>
          <w:b w:val="false"/>
          <w:bCs w:val="false"/>
          <w:color w:val="auto"/>
          <w:sz w:val="18"/>
          <w:szCs w:val="18"/>
          <w:u w:val="none"/>
          <w:lang w:val="ca-ES-valencia"/>
        </w:rPr>
        <w:t>Podrán optar las empresas y autónomos que tuvieron que cerrar durante el Estado de Alarma de acuerdo con el Real Decreto 463/2020 de 14 de marzo y posterior Real Decreto 465/2020 de 18 de marzo. Se subvencionarán hasta 775 € distribuidos de la siguiente forma: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 </w:t>
      </w:r>
      <w:r>
        <w:rPr>
          <w:rFonts w:eastAsia="Arial" w:cs="Arial" w:ascii="Times New Roman" w:hAnsi="Times New Roman"/>
          <w:b w:val="false"/>
          <w:bCs w:val="false"/>
          <w:color w:val="auto"/>
          <w:sz w:val="18"/>
          <w:szCs w:val="18"/>
          <w:u w:val="none"/>
          <w:lang w:val="ca-ES-valencia"/>
        </w:rPr>
        <w:t>Por gastos corrientes (alquileres, suministras, servicios externos...) hasta 600 €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 </w:t>
      </w:r>
      <w:r>
        <w:rPr>
          <w:rFonts w:eastAsia="Arial" w:cs="Arial" w:ascii="Times New Roman" w:hAnsi="Times New Roman"/>
          <w:b w:val="false"/>
          <w:bCs w:val="false"/>
          <w:color w:val="auto"/>
          <w:sz w:val="18"/>
          <w:szCs w:val="18"/>
          <w:u w:val="none"/>
          <w:lang w:val="ca-ES-valencia"/>
        </w:rPr>
        <w:t>Por gastos en material higiénico-sanitario (*mascaretes, guantes y material de protección) hasta 175 €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b/>
      </w:r>
      <w:r>
        <w:rPr>
          <w:rFonts w:eastAsia="Arial" w:cs="Arial" w:ascii="Times New Roman" w:hAnsi="Times New Roman"/>
          <w:b w:val="false"/>
          <w:bCs w:val="false"/>
          <w:color w:val="auto"/>
          <w:sz w:val="18"/>
          <w:szCs w:val="18"/>
          <w:u w:val="single"/>
          <w:lang w:val="ca-ES-valencia"/>
        </w:rPr>
        <w:t>SUBMODALIDAT 2:</w:t>
      </w:r>
      <w:r>
        <w:rPr>
          <w:rFonts w:eastAsia="Arial" w:cs="Arial" w:ascii="Times New Roman" w:hAnsi="Times New Roman"/>
          <w:b w:val="false"/>
          <w:bCs w:val="false"/>
          <w:color w:val="auto"/>
          <w:sz w:val="18"/>
          <w:szCs w:val="18"/>
          <w:u w:val="none"/>
          <w:lang w:val="ca-ES-valencia"/>
        </w:rPr>
        <w:t xml:space="preserve"> Empresas y autónomos que pudieron mantener su actividad comercial durante el Estado de Alarma. Se subvencionarán hasta 375 € distribuidos de la siguiente forma: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 </w:t>
      </w:r>
      <w:r>
        <w:rPr>
          <w:rFonts w:eastAsia="Arial" w:cs="Arial" w:ascii="Times New Roman" w:hAnsi="Times New Roman"/>
          <w:b w:val="false"/>
          <w:bCs w:val="false"/>
          <w:color w:val="auto"/>
          <w:sz w:val="18"/>
          <w:szCs w:val="18"/>
          <w:u w:val="none"/>
          <w:lang w:val="ca-ES-valencia"/>
        </w:rPr>
        <w:t>Por gastos corrientes (alquileres, suministras, servicios externos...) hasta 200 €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 </w:t>
      </w:r>
      <w:r>
        <w:rPr>
          <w:rFonts w:eastAsia="Arial" w:cs="Arial" w:ascii="Times New Roman" w:hAnsi="Times New Roman"/>
          <w:b w:val="false"/>
          <w:bCs w:val="false"/>
          <w:color w:val="auto"/>
          <w:sz w:val="18"/>
          <w:szCs w:val="18"/>
          <w:u w:val="none"/>
          <w:lang w:val="ca-ES-valencia"/>
        </w:rPr>
        <w:t>Por gastos en material higiénico-sanitario (*mascaretes, guantes y material de protección) hasta 175 €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bCs/>
          <w:color w:val="auto"/>
          <w:sz w:val="18"/>
          <w:szCs w:val="18"/>
          <w:u w:val="none"/>
          <w:lang w:val="ca-ES-valencia"/>
        </w:rPr>
        <w:t xml:space="preserve"> </w:t>
      </w:r>
      <w:r>
        <w:rPr>
          <w:rFonts w:eastAsia="Arial" w:cs="Arial" w:ascii="Times New Roman" w:hAnsi="Times New Roman"/>
          <w:b/>
          <w:bCs/>
          <w:color w:val="auto"/>
          <w:sz w:val="18"/>
          <w:szCs w:val="18"/>
          <w:u w:val="none"/>
          <w:lang w:val="ca-ES-valencia"/>
        </w:rPr>
        <w:t>MODALIDAD 2</w:t>
      </w:r>
      <w:r>
        <w:rPr>
          <w:rFonts w:eastAsia="Arial" w:cs="Arial" w:ascii="Times New Roman" w:hAnsi="Times New Roman"/>
          <w:b w:val="false"/>
          <w:bCs w:val="false"/>
          <w:color w:val="auto"/>
          <w:sz w:val="18"/>
          <w:szCs w:val="18"/>
          <w:u w:val="none"/>
          <w:lang w:val="ca-ES-valencia"/>
        </w:rPr>
        <w:t>: Orientada a las empresas y autónomos que forman parte del Mercado de venta no sedentaria de nuestro municipio para hacer frente a los gastos corrientes de su actividad  y por las inversiones en material higiénico-sanitario (*mascaretes, guantes y material de protección) para adaptarse a la nueva normalidad. Se subvencionará 10 € por metro lineal contratado.</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Caso de que los gastos justificados no llegan al importe máximo subvencionable, el importe a conceder será inferior. El importe de la subvención se ajustará al importe del gasto justificado.</w:t>
      </w:r>
    </w:p>
    <w:p>
      <w:pPr>
        <w:pStyle w:val="Normal"/>
        <w:spacing w:before="0" w:after="280"/>
        <w:jc w:val="both"/>
        <w:rPr/>
      </w:pPr>
      <w:r>
        <w:rPr>
          <w:rFonts w:eastAsia="Arial" w:cs="Arial" w:ascii="Times New Roman" w:hAnsi="Times New Roman"/>
          <w:b/>
          <w:bCs/>
          <w:color w:val="auto"/>
          <w:sz w:val="18"/>
          <w:szCs w:val="18"/>
          <w:u w:val="none"/>
          <w:lang w:val="ca-ES-valencia"/>
        </w:rPr>
        <w:t>Segunda.</w:t>
      </w:r>
      <w:r>
        <w:rPr>
          <w:rFonts w:eastAsia="Arial" w:cs="Arial" w:ascii="Times New Roman" w:hAnsi="Times New Roman"/>
          <w:b w:val="false"/>
          <w:bCs w:val="false"/>
          <w:color w:val="auto"/>
          <w:sz w:val="18"/>
          <w:szCs w:val="18"/>
          <w:u w:val="none"/>
          <w:lang w:val="ca-ES-valencia"/>
        </w:rPr>
        <w:t xml:space="preserve"> Régimen jurídico aplicable.</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Las siguientes ayudas estarán sujetas a la Ordenanza General de Subvenciones del Ayuntamiento de Carcaixent y se regirá, además, por el que dispongo en la presente convocatoria, por las Bases de Ejecución del Presupuesto Municipal del Ayuntamiento de Carcaixent, la Ley 38/2003, de 17 de noviembre, General de Subvenciones, el Reglamento General de Subvenciones, aprobado por el Real Decreto 887/2006, de 21 de julio, y supletoriamente por la Ley 39/20015, de 1 de octubre, del Procedimiento Administrativo Común de las Administraciones Públicas y cualquier otra disposición normativa que por su naturaleza pueda resultar de aplicación.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Así mismo, están sometidas al régimen de mínimos, regulado por el Reglamento (UE) 1407/2013, de 18 de diciembre, de la Comisión, relativo a la aplicación de los artículos 107 y 108 del Tratado de funcionamiento de la Unión Europea a las ayudas de mínimos (*DOUE L352 de 24 de diciembre de 2013).</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La gestión de estas subvenciones estará sujeta a los principios de publicidad, concurrencia, transparencia, objetividad, igualdad y no discriminación, así como a la eficacia en el cumplimiento de objetivos y eficiencia en la asignación y utilización de los recursos públicos.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Su tramitación se realizará por medios electrónicos en aplicación del que dispone el artículo 14.3 de la Ley 39/2015, de Procedimiento Administrativo Común de las Administraciones Públicas. </w:t>
      </w:r>
    </w:p>
    <w:p>
      <w:pPr>
        <w:pStyle w:val="Normal"/>
        <w:spacing w:before="0" w:after="280"/>
        <w:jc w:val="both"/>
        <w:rPr/>
      </w:pPr>
      <w:r>
        <w:rPr>
          <w:rFonts w:eastAsia="Arial" w:cs="Arial" w:ascii="Times New Roman" w:hAnsi="Times New Roman"/>
          <w:b/>
          <w:bCs/>
          <w:color w:val="auto"/>
          <w:sz w:val="18"/>
          <w:szCs w:val="18"/>
          <w:u w:val="none"/>
          <w:lang w:val="ca-ES-valencia"/>
        </w:rPr>
        <w:t>Tercera.</w:t>
      </w:r>
      <w:r>
        <w:rPr>
          <w:rFonts w:eastAsia="Arial" w:cs="Arial" w:ascii="Times New Roman" w:hAnsi="Times New Roman"/>
          <w:b w:val="false"/>
          <w:bCs w:val="false"/>
          <w:color w:val="auto"/>
          <w:sz w:val="18"/>
          <w:szCs w:val="18"/>
          <w:u w:val="none"/>
          <w:lang w:val="ca-ES-valencia"/>
        </w:rPr>
        <w:t xml:space="preserve"> Entidades beneficiarias y requisitos.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 </w:t>
      </w:r>
      <w:r>
        <w:rPr>
          <w:rFonts w:eastAsia="Arial" w:cs="Arial" w:ascii="Times New Roman" w:hAnsi="Times New Roman"/>
          <w:b w:val="false"/>
          <w:bCs w:val="false"/>
          <w:color w:val="auto"/>
          <w:sz w:val="18"/>
          <w:szCs w:val="18"/>
          <w:u w:val="single"/>
          <w:lang w:val="ca-ES-valencia"/>
        </w:rPr>
        <w:t>MODALIDAD 1</w:t>
      </w:r>
      <w:r>
        <w:rPr>
          <w:rFonts w:eastAsia="Arial" w:cs="Arial" w:ascii="Times New Roman" w:hAnsi="Times New Roman"/>
          <w:b w:val="false"/>
          <w:bCs w:val="false"/>
          <w:color w:val="auto"/>
          <w:sz w:val="18"/>
          <w:szCs w:val="18"/>
          <w:u w:val="none"/>
          <w:lang w:val="ca-ES-valencia"/>
        </w:rPr>
        <w:t xml:space="preserve"> (ambas *submodalitats): podrán ser beneficiarios las personas físicas o jurídicas legalmente constituidas, que, siendo persona autónoma, microempresa o pequeña empresa de las definidas conformo el Anexo Y del Reglamento (UE) Desnudóm. 651/2014 de la Comisión, de 17 de junio de 2014, cumplan los requisitos siguientes: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En el caso de personas físicas figuran ininterrumpidamente de alta en el Régimen Especial de Trabajadores Autónomos o Mutualidad correspondiente durando, al menos, el periodo comprendido entre el 31 de diciembre de 2019 y el 14 de marzo de 2020.</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En el caso de personas jurídicas figuran de alta al epígrafe correspondiente a su actividad principal durando, al menos, el periodo comprendido entre el 31 de diciembre de 2019 y el 14 de marzo de 2020.</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 xml:space="preserve">c) Que se encuentre al corriente en el cumplimiento de sus obligaciones tributarias y con la Tesorería General de la Seguridad Social (*TGSS), así como que no tenga deuda pendiente con el Ayuntamiento de Carcaixent. Este requisito tiene que cumplirse desde la fecha de presentación de la solicitud hasta la fecha del pago de la subvención, en su caso.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d) Que la dirección social y, en su caso, el local de desarrollo de la actividad se encuentre al término municipal de Carcaixent</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 xml:space="preserve">e) Que no se encuentre incursa en ninguno de las circunstancias recogidas en el artículo 13.2 y 13.3 de la Ley 38/2003, de 17 de noviembre, General de Subvenciones.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 </w:t>
      </w:r>
      <w:r>
        <w:rPr>
          <w:rFonts w:eastAsia="Arial" w:cs="Arial" w:ascii="Times New Roman" w:hAnsi="Times New Roman"/>
          <w:b w:val="false"/>
          <w:bCs w:val="false"/>
          <w:color w:val="auto"/>
          <w:sz w:val="18"/>
          <w:szCs w:val="18"/>
          <w:u w:val="single"/>
          <w:lang w:val="ca-ES-valencia"/>
        </w:rPr>
        <w:t>MODALIDAD 2:</w:t>
      </w:r>
      <w:r>
        <w:rPr>
          <w:rFonts w:eastAsia="Arial" w:cs="Arial" w:ascii="Times New Roman" w:hAnsi="Times New Roman"/>
          <w:b w:val="false"/>
          <w:bCs w:val="false"/>
          <w:color w:val="auto"/>
          <w:sz w:val="18"/>
          <w:szCs w:val="18"/>
          <w:u w:val="none"/>
          <w:lang w:val="ca-ES-valencia"/>
        </w:rPr>
        <w:t xml:space="preserve"> Podrán optar aquellas personas físicas o jurídicas que cumplan los requisitos de los apartados anteriores, y sean titulares de una parada en el Mercadillo de los martes.  Se exceptúa de esta Modalidad cualquier requisito de contar con sede social o domicilio fiscal en el municipio de Carcaixent.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Son motivo de exclusión para las distintas modalidades, los siguientes: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En el caso de personas físicas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Ser perceptor,  antes del 14 de marzo de 2020, de la prestación por desocupación o de la correspondiente a la protección por cese de actividad, regulada en los artes. 327 y *ss del texto refundido de la Ley General de la Seguridad Social, aprobado por el Real decreto legislativo 8/2015.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Ser trabajador por cuenta de otro el 14 de marzo de 2020 o fecha posterior.</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Haber tenido durante el 1.º trimestre del 2020 rendimientos netos superiores a 7.500 €.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En el caso de personas jurídicas: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Haber cesado en la actividad antes del 14 de marzo de 2020.</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Haber tenido durante el 1.º trimestre de 2020 una facturación superior a 200.000 €.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Quedan excluidas de estas ayudas las administraciones publicas, sus organismos autónomos, las empresas públicas y otros entes públicos, así́ como las asociaciones, fundaciones y, en general, entidades sin ánimo lucrativo y el personal autónomo colaborador así como el personal autónomo societario. </w:t>
      </w:r>
    </w:p>
    <w:p>
      <w:pPr>
        <w:pStyle w:val="Normal"/>
        <w:spacing w:before="0" w:after="280"/>
        <w:jc w:val="both"/>
        <w:rPr/>
      </w:pPr>
      <w:r>
        <w:rPr>
          <w:rFonts w:eastAsia="Arial" w:cs="Arial" w:ascii="Times New Roman" w:hAnsi="Times New Roman"/>
          <w:b/>
          <w:bCs/>
          <w:color w:val="auto"/>
          <w:sz w:val="18"/>
          <w:szCs w:val="18"/>
          <w:u w:val="none"/>
          <w:lang w:val="ca-ES-valencia"/>
        </w:rPr>
        <w:t>Cuarta.</w:t>
      </w:r>
      <w:r>
        <w:rPr>
          <w:rFonts w:eastAsia="Arial" w:cs="Arial" w:ascii="Times New Roman" w:hAnsi="Times New Roman"/>
          <w:b w:val="false"/>
          <w:bCs w:val="false"/>
          <w:color w:val="auto"/>
          <w:sz w:val="18"/>
          <w:szCs w:val="18"/>
          <w:u w:val="none"/>
          <w:lang w:val="ca-ES-valencia"/>
        </w:rPr>
        <w:t xml:space="preserve"> Solicitudes.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Las solicitudes se presentarán mediante instancia normalizada a través de la Sede Electrónica del Ayuntamiento de Carcaixent. La instancia estará disponible en la Sede electrónica y en la web municipal.</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Los solicitantes tendrán que elegir exclusivamente entre una de las dos modalidades y, en caso de solicitar la ayuda para la Modalidad 1, tendrán que acogerse únicamente a una de las dos *submodalitats de acuerdo con su situación.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Así mismo, se publicará el anuncio y las bases de la convocatoria en el tablón de edictos, en la página web municipal y en la Base de datos Nacional de Subvenciones.</w:t>
      </w:r>
    </w:p>
    <w:p>
      <w:pPr>
        <w:pStyle w:val="Normal"/>
        <w:spacing w:before="0" w:after="280"/>
        <w:jc w:val="both"/>
        <w:rPr/>
      </w:pPr>
      <w:r>
        <w:rPr>
          <w:rFonts w:eastAsia="Arial" w:cs="Arial" w:ascii="Times New Roman" w:hAnsi="Times New Roman"/>
          <w:b/>
          <w:bCs/>
          <w:color w:val="auto"/>
          <w:sz w:val="18"/>
          <w:szCs w:val="18"/>
          <w:u w:val="none"/>
          <w:lang w:val="ca-ES-valencia"/>
        </w:rPr>
        <w:t>Quinta.</w:t>
      </w:r>
      <w:r>
        <w:rPr>
          <w:rFonts w:eastAsia="Arial" w:cs="Arial" w:ascii="Times New Roman" w:hAnsi="Times New Roman"/>
          <w:b w:val="false"/>
          <w:bCs w:val="false"/>
          <w:color w:val="auto"/>
          <w:sz w:val="18"/>
          <w:szCs w:val="18"/>
          <w:u w:val="none"/>
          <w:lang w:val="ca-ES-valencia"/>
        </w:rPr>
        <w:t xml:space="preserve"> Documentación a aportar</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 solicitud normalizada tendrá que estar firmada por la persona interesada o su representante legal y estará acompañada, obligatoriamente de la siguiente documentación: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En caso de ser persona física: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 xml:space="preserve">a. Identificación del solicitante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Informe de Vida Laboral</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c. Declaración de IRPF del primer trimestre de 2020 donde aparezcan los rendimientos netos de la actividad.</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En caso de ser persona jurídica, comunidad de corderos, sociedad civil u otras entidades económicas sin personalidad jurídica: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b/>
        <w:t xml:space="preserve"> a. NIF de la persona jurídica, comunidad de corderos, sociedad civil u otras entidades económicas sin personalidad jurídica.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b/>
        <w:t>b. Certificado actualizado de Situación Censal de la persona jurídica, comunidad de corderos, sociedad civil u otras entidades económicas sin personalidad jurídica que indico la actividad económica, con su fecha de alta y si es el caso, el domicilio del local de desarrollo de la actividad</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ab/>
        <w:t xml:space="preserve">  c. Declaración trimestral de IVA del primer trimestre del 2020</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En la solicitud normalizada se anexará una Declaración Responsable firmada por la persona interesada o representante legal de la persona o entidad solicitante que contendrá el pronunciamiento exprés sobre las siguientes cuestiones: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Que la actividad desarrollada se ha visto afectada por el cierre de establecimientos dispuesto al RD 465/2020 de 17 de marzo que modifica el artículo 10 del RD 463/2020 de 14 de marzo o, no siendo este el caso, que la actividad desarrollada ha sufrido una reducción de la facturación en el mes de abril de 2020 de al menos un 75%, en relación con la media efectuada en el primer trimestre del 2020</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Que la persona solicitante reúne los requisitos para ser microempresa o pequeña empresa en conformidad con el Anexo Y del Reglamento (UE) no. 651/2014 de la Comisión, de 17 de junio de 2014.</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c. Que la persona solicitando no está incursa en las prohibiciones para obtener la condición de beneficiario y para ser receptor del pago establecido en la Ley 38/2003, de 17 de noviembre, y en concreto apartados 2 y 3 del artículo 13 y el apartado 5 del artículo 34 de la misma.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d. Que la persona solicitante se compromete al cumplimiento de las obligaciones de las personas beneficiarías de subvenciones, establecidas en el artículo 14 de la Ley 38/2003, de 17 de noviembre.</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e. Que la persona solicitante se compromete a declarar las ayudas de minimis que le *haguessen sido concedidas por cualquier proyecto durante los tres últimos ejercicios fiscales, con indicación del importe, organismo, fecha de concesión y régimen de ayudas en que se *ampara, o en su caso, declaración de no haber recibido cabe: así como compromiso de comunicar a la mayor brevedad las obtenidas con posterioridad a la presentación de la solicitud.</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f. Que la persona solicitante se compromete a la comunicación de las subvenciones concedidas con anterioridad a la presentación de la solicitud con la misma finalidad y el compromiso de comunicar a la mayor brevedad posible las ayudas obtenidas con posterioridad a la presentación de la solicitud y antes de la resolución de la misma.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También se acompañará una autorización para la consulta interactiva por parte del órgano gestor de los requisitos de encontrarse al corriente en el cumplimiento de las obligaciones tributarias con la Agencia Estatal de la Administración Tributaria (AEAT), frente a la Seguridad Social (TGSS), con la Tesorería Municipal.</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En el caso de no autorizar uno oponerse a la comprobación por el órgano gestor de estos requisitos, tendrá que aportarse de manera obligatoria la documentación acreditativa.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LA DOCUMENTACIÓN TENDRÁ QUE ESTAR ACOMPAÑADA OBLIGATORIAMENTE por las facturas que justifican los gastos realizados y efectivamente pagadas hasta la cantidad a la que se opta según la modalidad y submodalitat solicitada.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A las solicitudes incorrectas/incompletas se los requerirá porque en el plazo máximo de 10 días enmiendan la incorrección/carencia detectada. Esto sin perjuicio del que se dispone en la base siguiente, en relación al uso de la fecha de presentación de la documentación, completa, como criterio de selección en el caso de agotamiento de los fondos disponibles. Transcurrido el plazo señalado para la enmienda sin haberla presentado se entenderá que se ha cejado en la solicitud.</w:t>
      </w:r>
    </w:p>
    <w:p>
      <w:pPr>
        <w:pStyle w:val="Normal"/>
        <w:spacing w:before="0" w:after="280"/>
        <w:jc w:val="both"/>
        <w:rPr/>
      </w:pPr>
      <w:r>
        <w:rPr>
          <w:rFonts w:eastAsia="Arial" w:cs="Arial" w:ascii="Times New Roman" w:hAnsi="Times New Roman"/>
          <w:b/>
          <w:bCs/>
          <w:color w:val="auto"/>
          <w:sz w:val="18"/>
          <w:szCs w:val="18"/>
          <w:u w:val="none"/>
          <w:lang w:val="ca-ES-valencia"/>
        </w:rPr>
        <w:t>Sexta.</w:t>
      </w:r>
      <w:r>
        <w:rPr>
          <w:rFonts w:eastAsia="Arial" w:cs="Arial" w:ascii="Times New Roman" w:hAnsi="Times New Roman"/>
          <w:b w:val="false"/>
          <w:bCs w:val="false"/>
          <w:color w:val="auto"/>
          <w:sz w:val="18"/>
          <w:szCs w:val="18"/>
          <w:u w:val="none"/>
          <w:lang w:val="ca-ES-valencia"/>
        </w:rPr>
        <w:t xml:space="preserve"> Procedimiento de concesión.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 concesión de la subvención regulada en estas bases, se realizará en régimen de concurrencia competitiva. En el caso de agotarse el fondos disponibles para este gasto, el criterio de selección de las solicitudes beneficiarias de subvención será el de la fecha de presentación efectiva de solicitud y documentación requerida completa. En el caso de presentar una solicitud incorrecta/completa se atenderá a la fecha de presentación de la enmienda de la incorrección/carencia.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El plazo de presentación de solicitudes para las ayudas se iniciará desde el día siguiente de la publicación de la convocatoria en el Boletín Oficial de la Provincia de València, después de insertarla previamente en la Base de datos Nacional de Subvenciones.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La instrucción del procedimiento corresponderá a la Concejalía de Promoción Económica que realizará de oficio cuántas actuaciones estimo necesarias para la determinación, conocimiento y comprobación de los datos en virtud de las cuales tiene que formularse la propuesta de resolución.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Se nombrará una Comisión de Valoración compuesta por dos técnicos del Ayuntamiento de Carcaixent que serán, preferentemente de la Concejalía de Promoción Económica, que valorará las solicitudes que cumplan la totalidad de los requisitos y elevará informe-propuesta de concesión al órgano otorgando.</w:t>
      </w:r>
    </w:p>
    <w:p>
      <w:pPr>
        <w:pStyle w:val="Normal"/>
        <w:spacing w:before="0" w:after="280"/>
        <w:jc w:val="both"/>
        <w:rPr/>
      </w:pPr>
      <w:r>
        <w:rPr>
          <w:rFonts w:eastAsia="Arial" w:cs="Arial" w:ascii="Times New Roman" w:hAnsi="Times New Roman"/>
          <w:b/>
          <w:bCs/>
          <w:color w:val="auto"/>
          <w:sz w:val="18"/>
          <w:szCs w:val="18"/>
          <w:u w:val="none"/>
          <w:lang w:val="ca-ES-valencia"/>
        </w:rPr>
        <w:t>Séptima.</w:t>
      </w:r>
      <w:r>
        <w:rPr>
          <w:rFonts w:eastAsia="Arial" w:cs="Arial" w:ascii="Times New Roman" w:hAnsi="Times New Roman"/>
          <w:b w:val="false"/>
          <w:bCs w:val="false"/>
          <w:color w:val="auto"/>
          <w:sz w:val="18"/>
          <w:szCs w:val="18"/>
          <w:u w:val="none"/>
          <w:lang w:val="ca-ES-valencia"/>
        </w:rPr>
        <w:t xml:space="preserve"> Concurrencia con otras subvenciones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Para tratarse de subvenciones sometidas al régimen de minimis, establecido en el Reglamento (UE) 1407/2013, de 18 de diciembre, de la Comisión relativo a la aplicación de los artículo 107 y 108 del Tratado de Funcionamiento de la Unión Europea a las ayudas de minimis (DOUE L352 de 24/12/2013) no podrán concederse a empresas de los siguientes sectores: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Pesca y agricultura, según se contemplan en el Reglamento (UE) 1379/2013 que establece la organización común de mercados en el sector de los productos de pesca y de la agricultura.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Producción primaria de productos agrarios que figuran en el listado del anexo Y del Tratado.</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c. Empresas que operan en el sector de la transformación y comercialización de productos agrarios, en los casos siguientes: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Cuando el importe de la ayuda se determine en función del precio o de la cantidad de productos de este tipos adquiridos a productores primarios o comercializados por las empresas interesadas.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Cuando la ayuda esté supeditada a que una parte o la totalidad de la misma se repercuta a los productores primarios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d. Actividades relacionadas con la exportación en terceros países o estados miembros cuando la ayuda esté vinculada al establecimiento y explotación de una red de distribución o a otros gastos deprisa vinculados a la actividad exportadora.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e. Ayudas condicionadas a la utilización de productos nacionales en vez de importados.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En ningún caso, las ayudas podrán superar el importe máximo total de ayuda de minimis, actualmente establecido en 200.000 euros durante un periodo de tres ejercicios fiscales para una misma empresa, ni individualmente, ni como resultado de la acumulación con otras ayudas de minimis concedidas a la misma empresa, de acuerdo con el que establece el Reglamento (UE) No. 1407/2013 de la Comisión, o con otro tipo de ayudas sometidas a las reglas comunitarias de ayudas del Estado.</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A los efectos del indicado en el párrafo anterior se *enten por “empresa” cualquier entidad que ejerza una actividad económica, con independencia de su naturaleza jurídica y de su modo de *financiació.</w:t>
      </w:r>
    </w:p>
    <w:p>
      <w:pPr>
        <w:pStyle w:val="Normal"/>
        <w:spacing w:before="0" w:after="280"/>
        <w:jc w:val="both"/>
        <w:rPr/>
      </w:pPr>
      <w:r>
        <w:rPr>
          <w:rFonts w:eastAsia="Arial" w:cs="Arial" w:ascii="Times New Roman" w:hAnsi="Times New Roman"/>
          <w:b/>
          <w:bCs/>
          <w:color w:val="auto"/>
          <w:sz w:val="18"/>
          <w:szCs w:val="18"/>
          <w:u w:val="none"/>
          <w:lang w:val="ca-ES-valencia"/>
        </w:rPr>
        <w:t>Octava.</w:t>
      </w:r>
      <w:r>
        <w:rPr>
          <w:rFonts w:eastAsia="Arial" w:cs="Arial" w:ascii="Times New Roman" w:hAnsi="Times New Roman"/>
          <w:b w:val="false"/>
          <w:bCs w:val="false"/>
          <w:color w:val="auto"/>
          <w:sz w:val="18"/>
          <w:szCs w:val="18"/>
          <w:u w:val="none"/>
          <w:lang w:val="ca-ES-valencia"/>
        </w:rPr>
        <w:t xml:space="preserve"> Órgano otorgando</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El órgano otorgando de la subvención será la Junta de Gobierno Local, a propuesta de la comisión de valoración.</w:t>
      </w:r>
    </w:p>
    <w:p>
      <w:pPr>
        <w:pStyle w:val="Normal"/>
        <w:spacing w:before="0" w:after="280"/>
        <w:jc w:val="both"/>
        <w:rPr/>
      </w:pPr>
      <w:r>
        <w:rPr>
          <w:rFonts w:eastAsia="Arial" w:cs="Arial" w:ascii="Times New Roman" w:hAnsi="Times New Roman"/>
          <w:b/>
          <w:bCs/>
          <w:color w:val="auto"/>
          <w:sz w:val="18"/>
          <w:szCs w:val="18"/>
          <w:u w:val="none"/>
          <w:lang w:val="ca-ES-valencia"/>
        </w:rPr>
        <w:t>Novena.</w:t>
      </w:r>
      <w:r>
        <w:rPr>
          <w:rFonts w:eastAsia="Arial" w:cs="Arial" w:ascii="Times New Roman" w:hAnsi="Times New Roman"/>
          <w:b w:val="false"/>
          <w:bCs w:val="false"/>
          <w:color w:val="auto"/>
          <w:sz w:val="18"/>
          <w:szCs w:val="18"/>
          <w:u w:val="none"/>
          <w:lang w:val="ca-ES-valencia"/>
        </w:rPr>
        <w:t xml:space="preserve"> Plazo de resolución y notificación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El plazo máximo para resolver y notificar la resolución del procedimiento no podrá exceder de 15 días. El plazo se computará a partir de la finalización del periodo máximo de presentación de solicitudes.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El vencimiento del plazo máximo sin haberse publicado la resolución legitima a las personas o entidades interesadas para entender desestimada la solicitud de concesión de la subvención por silencio administrativo.</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 resolución del procedimiento se notificará mediante la inserción de anuncio/notificación dirigida a a todas las personas interesadas, a insertar en el Tablón de edictos, en la página web municipal y en la Base de datos Nacional de Subvenciones.</w:t>
      </w:r>
    </w:p>
    <w:p>
      <w:pPr>
        <w:pStyle w:val="Normal"/>
        <w:spacing w:before="0" w:after="280"/>
        <w:jc w:val="both"/>
        <w:rPr/>
      </w:pPr>
      <w:r>
        <w:rPr>
          <w:rFonts w:eastAsia="Arial" w:cs="Arial" w:ascii="Times New Roman" w:hAnsi="Times New Roman"/>
          <w:b/>
          <w:bCs/>
          <w:color w:val="auto"/>
          <w:kern w:val="0"/>
          <w:sz w:val="18"/>
          <w:szCs w:val="18"/>
          <w:u w:val="none"/>
          <w:lang w:val="ca-ES-valencia" w:eastAsia="es-ES_tradnl" w:bidi="ar-SA"/>
        </w:rPr>
        <w:t>Décima</w:t>
      </w:r>
      <w:r>
        <w:rPr>
          <w:rFonts w:eastAsia="Arial" w:cs="Arial" w:ascii="Times New Roman" w:hAnsi="Times New Roman"/>
          <w:b/>
          <w:bCs/>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Obligaciones de los beneficiarios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Son obligaciones de los beneficiarios: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Destinar la totalidad del importe concedido al consumo en establecimientos del municipio adheridos a la Tarjeta Carcaixent diferentes de su propio establecimiento. El incumplimiento de esta obligación supondrá la pérdida de la subvención y la obligación de reintegrar el importe de la subvención del que haya dispuesto, a las arcas municipales.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Someterse a las actuaciones de comprobación y control financiero previstas por la vigente normativa en materia de subvenciones.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c. Proceder al reintegro de los fondos percibidos en los supuestos contemplados en el artículo 37 de la Ley General de Subvenciones y en particular, para obtener la subvención falseando las condiciones requeridas en la convocatoria uno ocultando aquellas que *haguessen impedido, o mostrado resistencia, excusa, obstrucción o negativa a las actuaciones de comprobación y control financiero prevista en el artículo 14 de la Ley General de Subvenciones.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d. Cumplir las restantes obligaciones que detalla el arte.14 de la Ley General de Subvenciones.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e. En caso de que la de los persona o empresa beneficiaría se encuentre compresa en los supuestos del artículo 3.b) de la Ley 19/2013, de 9 de diciembre, de Transparencia, acceso a la información pública y buen gobierno, tendrá que adaptarse a las obligaciones de publicidad activa que los resulto de aplicación.</w:t>
      </w:r>
    </w:p>
    <w:p>
      <w:pPr>
        <w:pStyle w:val="Normal"/>
        <w:spacing w:before="0" w:after="280"/>
        <w:jc w:val="both"/>
        <w:rPr/>
      </w:pPr>
      <w:r>
        <w:rPr>
          <w:rFonts w:eastAsia="Arial" w:cs="Arial" w:ascii="Times New Roman" w:hAnsi="Times New Roman"/>
          <w:b/>
          <w:bCs/>
          <w:color w:val="auto"/>
          <w:sz w:val="18"/>
          <w:szCs w:val="18"/>
          <w:u w:val="none"/>
          <w:lang w:val="ca-ES-valencia"/>
        </w:rPr>
        <w:t>Undécima.</w:t>
      </w:r>
      <w:r>
        <w:rPr>
          <w:rFonts w:eastAsia="Arial" w:cs="Arial" w:ascii="Times New Roman" w:hAnsi="Times New Roman"/>
          <w:b w:val="false"/>
          <w:bCs w:val="false"/>
          <w:color w:val="auto"/>
          <w:sz w:val="18"/>
          <w:szCs w:val="18"/>
          <w:u w:val="none"/>
          <w:lang w:val="ca-ES-valencia"/>
        </w:rPr>
        <w:t xml:space="preserve"> Justificación, pago y destino de la subvención.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La justificación de los gastos realizados y efectivamente pagadas tendrán que acompañarse con la solicitud. Solo se admitirán gastos realizados entre el 14 de marzo del 2020 y el 14 de septiembre del 2020.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Una vez publicada la resolución definitiva, el órgano instructor comunicará la misma a los Departamentos Municipales para iniciar el pago de la subvención. El pago de las presentes subvenciones será mediante una Tarjeta Carcaixent cargada con el importe de la subvención concedida, la cual permitirá realizar compras hasta ese importe en los comercios de la ,población adheridos al Programa Tarjeta Carcaixent.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De conformidad en su punto 10.a., los beneficiarios de esta subvención tienen que hacer uso de la Tarjeta Carcaixent en establecimientos de la población diferentes al establecimiento de su titularidad. </w:t>
      </w:r>
    </w:p>
    <w:p>
      <w:pPr>
        <w:pStyle w:val="Normal"/>
        <w:spacing w:before="0" w:after="280"/>
        <w:jc w:val="both"/>
        <w:rPr/>
      </w:pPr>
      <w:r>
        <w:rPr>
          <w:rFonts w:eastAsia="Arial" w:cs="Arial" w:ascii="Times New Roman" w:hAnsi="Times New Roman"/>
          <w:b/>
          <w:bCs/>
          <w:color w:val="auto"/>
          <w:kern w:val="0"/>
          <w:sz w:val="18"/>
          <w:szCs w:val="18"/>
          <w:u w:val="none"/>
          <w:lang w:val="ca-ES-valencia" w:eastAsia="es-ES_tradnl" w:bidi="ar-SA"/>
        </w:rPr>
        <w:t>Decimosegunda</w:t>
      </w:r>
      <w:r>
        <w:rPr>
          <w:rFonts w:eastAsia="Arial" w:cs="Arial" w:ascii="Times New Roman" w:hAnsi="Times New Roman"/>
          <w:b/>
          <w:bCs/>
          <w:color w:val="auto"/>
          <w:sz w:val="18"/>
          <w:szCs w:val="18"/>
          <w:u w:val="none"/>
          <w:lang w:val="ca-ES-valencia"/>
        </w:rPr>
        <w:t>.</w:t>
      </w:r>
      <w:r>
        <w:rPr>
          <w:rFonts w:eastAsia="Arial" w:cs="Arial" w:ascii="Times New Roman" w:hAnsi="Times New Roman"/>
          <w:b w:val="false"/>
          <w:bCs w:val="false"/>
          <w:color w:val="auto"/>
          <w:sz w:val="18"/>
          <w:szCs w:val="18"/>
          <w:u w:val="none"/>
          <w:lang w:val="ca-ES-valencia"/>
        </w:rPr>
        <w:t xml:space="preserve"> Financiación y cuantía subvencionable.</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Las ayudas se financian a cargo de la partida 439 47000 “Ayudas a autónomos y pymes” del presupuesto municipal para el 2020, con un total de 400.000 € que se distribuirán de la siguiente forma:</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a. Para la MODALIDAD 1:</w:t>
        <w:tab/>
        <w:t>390.000 €</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                                </w:t>
      </w:r>
      <w:r>
        <w:rPr>
          <w:rFonts w:eastAsia="Arial" w:cs="Arial" w:ascii="Times New Roman" w:hAnsi="Times New Roman"/>
          <w:b w:val="false"/>
          <w:bCs w:val="false"/>
          <w:color w:val="auto"/>
          <w:sz w:val="18"/>
          <w:szCs w:val="18"/>
          <w:u w:val="none"/>
          <w:lang w:val="ca-ES-valencia"/>
        </w:rPr>
        <w:t>b. Para la MODALIDAD 2:</w:t>
        <w:tab/>
        <w:t xml:space="preserve">  10.000 €</w:t>
      </w:r>
    </w:p>
    <w:p>
      <w:pPr>
        <w:pStyle w:val="Normal"/>
        <w:spacing w:before="0" w:after="280"/>
        <w:jc w:val="both"/>
        <w:rPr/>
      </w:pPr>
      <w:r>
        <w:rPr>
          <w:rFonts w:eastAsia="Arial" w:cs="Arial" w:ascii="Times New Roman" w:hAnsi="Times New Roman"/>
          <w:b/>
          <w:bCs/>
          <w:color w:val="auto"/>
          <w:sz w:val="18"/>
          <w:szCs w:val="18"/>
          <w:u w:val="none"/>
          <w:lang w:val="ca-ES-valencia"/>
        </w:rPr>
        <w:t>Decimotercera.</w:t>
      </w:r>
      <w:r>
        <w:rPr>
          <w:rFonts w:eastAsia="Arial" w:cs="Arial" w:ascii="Times New Roman" w:hAnsi="Times New Roman"/>
          <w:b w:val="false"/>
          <w:bCs w:val="false"/>
          <w:color w:val="auto"/>
          <w:sz w:val="18"/>
          <w:szCs w:val="18"/>
          <w:u w:val="none"/>
          <w:lang w:val="ca-ES-valencia"/>
        </w:rPr>
        <w:t xml:space="preserve"> Infracciones, sanciones y reintegros.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xml:space="preserve">Todo aquello en lo referente a la comisión de infracciones y la imposición de sanciones a las entidades solicitantes, así como el procedimiento y las causas de reintegro de la subvención, se regirá por las previsiones de la Ordenanza general de subvenciones del Ayuntamiento de Carcaixent. </w:t>
      </w:r>
    </w:p>
    <w:p>
      <w:pPr>
        <w:pStyle w:val="Normal"/>
        <w:spacing w:before="0" w:after="280"/>
        <w:jc w:val="both"/>
        <w:rPr/>
      </w:pPr>
      <w:r>
        <w:rPr>
          <w:rFonts w:eastAsia="Arial" w:cs="Arial" w:ascii="Times New Roman" w:hAnsi="Times New Roman"/>
          <w:b/>
          <w:bCs/>
          <w:color w:val="auto"/>
          <w:sz w:val="18"/>
          <w:szCs w:val="18"/>
          <w:u w:val="none"/>
          <w:lang w:val="ca-ES-valencia"/>
        </w:rPr>
        <w:t>Decimocuarta.</w:t>
      </w:r>
      <w:r>
        <w:rPr>
          <w:rFonts w:eastAsia="Arial" w:cs="Arial" w:ascii="Times New Roman" w:hAnsi="Times New Roman"/>
          <w:b w:val="false"/>
          <w:bCs w:val="false"/>
          <w:color w:val="auto"/>
          <w:sz w:val="18"/>
          <w:szCs w:val="18"/>
          <w:u w:val="none"/>
          <w:lang w:val="ca-ES-valencia"/>
        </w:rPr>
        <w:t xml:space="preserve"> Recursos.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Esta resolución pone fin a la via administrativa. Contra el mismo cabe la posibilidad de plantear los siguientes recursos: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Recurso de reposición ante el mismo órgano que dictó el acto recorrido, en el plazo de un mes contador desde el día siguiente a la recepción de la notificación.</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Si se interpone, hay que esperar la resolución del recurso. Si transcurre un mes desde el día siguiente al de la interposición de un recurso de reposición sin que se haya resuelto, se tiene que entender que está desestimado y que se puede interponer recurso contencioso-administrativo ante el Juzgado de lo contencioso-administrativo en el plazo de seis meses.</w:t>
      </w:r>
    </w:p>
    <w:p>
      <w:pPr>
        <w:pStyle w:val="Normal"/>
        <w:spacing w:before="0" w:after="280"/>
        <w:jc w:val="both"/>
        <w:rPr/>
      </w:pPr>
      <w:r>
        <w:rPr>
          <w:rFonts w:eastAsia="Arial" w:cs="Arial" w:ascii="Times New Roman" w:hAnsi="Times New Roman"/>
          <w:b w:val="false"/>
          <w:bCs w:val="false"/>
          <w:color w:val="auto"/>
          <w:sz w:val="18"/>
          <w:szCs w:val="18"/>
          <w:u w:val="none"/>
          <w:lang w:val="ca-ES-valencia"/>
        </w:rPr>
        <w:t>- Recurso contencioso-administrativo ante el Juzgado de lo contencioso-administrativo de València, en el plazo de dos meses contadores desde el día siguiente a la publicación de las bases.</w:t>
      </w:r>
    </w:p>
    <w:p>
      <w:pPr>
        <w:pStyle w:val="Normal"/>
        <w:spacing w:before="0" w:after="280"/>
        <w:jc w:val="both"/>
        <w:rPr>
          <w:rFonts w:ascii="Times New Roman" w:hAnsi="Times New Roman" w:eastAsia="Arial" w:cs="Arial"/>
          <w:b w:val="false"/>
          <w:b w:val="false"/>
          <w:bCs w:val="false"/>
          <w:color w:val="auto"/>
          <w:sz w:val="18"/>
          <w:szCs w:val="18"/>
          <w:u w:val="none"/>
          <w:lang w:val="ca-ES-valencia"/>
        </w:rPr>
      </w:pPr>
      <w:r>
        <w:rPr>
          <w:rFonts w:eastAsia="Arial" w:cs="Arial" w:ascii="Times New Roman" w:hAnsi="Times New Roman"/>
          <w:b w:val="false"/>
          <w:bCs w:val="false"/>
          <w:color w:val="auto"/>
          <w:sz w:val="18"/>
          <w:szCs w:val="18"/>
          <w:u w:val="none"/>
          <w:lang w:val="ca-ES-valencia"/>
        </w:rPr>
      </w:r>
    </w:p>
    <w:p>
      <w:pPr>
        <w:pStyle w:val="Cuerpodetexto"/>
        <w:spacing w:before="0" w:after="280"/>
        <w:jc w:val="both"/>
        <w:rPr>
          <w:rFonts w:ascii="Arial;sans-serif" w:hAnsi="Arial;sans-serif"/>
          <w:b w:val="false"/>
          <w:b w:val="false"/>
          <w:i w:val="false"/>
          <w:i w:val="false"/>
          <w:caps w:val="false"/>
          <w:smallCaps w:val="false"/>
          <w:color w:val="000000"/>
          <w:spacing w:val="0"/>
          <w:sz w:val="20"/>
          <w:lang w:val="es-ES"/>
        </w:rPr>
      </w:pPr>
      <w:bookmarkStart w:id="0" w:name="__DdeLink__187_653135562"/>
      <w:bookmarkEnd w:id="0"/>
      <w:r>
        <w:rPr>
          <w:rFonts w:eastAsia="Arial" w:cs="Arial" w:ascii="Times New Roman" w:hAnsi="Times New Roman"/>
          <w:b/>
          <w:bCs w:val="false"/>
          <w:i w:val="false"/>
          <w:caps w:val="false"/>
          <w:smallCaps w:val="false"/>
          <w:color w:val="000000"/>
          <w:spacing w:val="0"/>
          <w:sz w:val="20"/>
          <w:szCs w:val="18"/>
          <w:u w:val="none"/>
          <w:lang w:val="ca-ES-valencia"/>
        </w:rPr>
        <w:t>DILIGENCIA: </w:t>
      </w:r>
      <w:r>
        <w:rPr>
          <w:rFonts w:eastAsia="Arial" w:cs="Arial" w:ascii="Times New Roman" w:hAnsi="Times New Roman"/>
          <w:b w:val="false"/>
          <w:bCs w:val="false"/>
          <w:i w:val="false"/>
          <w:caps w:val="false"/>
          <w:smallCaps w:val="false"/>
          <w:color w:val="000000"/>
          <w:spacing w:val="0"/>
          <w:sz w:val="20"/>
          <w:szCs w:val="18"/>
          <w:u w:val="none"/>
          <w:lang w:val="ca-ES-valencia"/>
        </w:rPr>
        <w:t>La Junta de Gobierno Local, en sesión de fecha 27 de octubre de 2020, aprobó las «Bases Reguladoras de las Subvenciones PYMES/2020». Se hace constar que el texto transcrito es la traducción al castellano de las bases aprobadas, las cuales están redactadas en valenciano.</w:t>
      </w:r>
    </w:p>
    <w:p>
      <w:pPr>
        <w:pStyle w:val="Cuerpodetexto"/>
        <w:widowControl/>
        <w:spacing w:before="0" w:after="0"/>
        <w:ind w:left="0" w:right="0" w:hanging="0"/>
        <w:jc w:val="both"/>
        <w:rPr/>
      </w:pPr>
      <w:r>
        <w:rPr/>
      </w:r>
      <w:bookmarkStart w:id="1" w:name="__DdeLink__187_653135562"/>
      <w:bookmarkStart w:id="2" w:name="__DdeLink__187_653135562"/>
      <w:bookmarkEnd w:id="2"/>
    </w:p>
    <w:p>
      <w:pPr>
        <w:pStyle w:val="Cuerpodetexto"/>
        <w:widowControl/>
        <w:spacing w:before="0" w:after="0"/>
        <w:ind w:left="0" w:right="0" w:hanging="0"/>
        <w:jc w:val="both"/>
        <w:rPr>
          <w:rFonts w:ascii="Arial;sans-serif" w:hAnsi="Arial;sans-serif"/>
          <w:b w:val="false"/>
          <w:b w:val="false"/>
          <w:i w:val="false"/>
          <w:i w:val="false"/>
          <w:caps w:val="false"/>
          <w:smallCaps w:val="false"/>
          <w:color w:val="000000"/>
          <w:spacing w:val="0"/>
          <w:sz w:val="24"/>
          <w:lang w:val="es-ES"/>
        </w:rPr>
      </w:pPr>
      <w:r>
        <w:rPr>
          <w:rFonts w:ascii="Arial;sans-serif" w:hAnsi="Arial;sans-serif"/>
          <w:b w:val="false"/>
          <w:i w:val="false"/>
          <w:caps w:val="false"/>
          <w:smallCaps w:val="false"/>
          <w:color w:val="000000"/>
          <w:spacing w:val="0"/>
          <w:sz w:val="20"/>
          <w:lang w:val="es-ES"/>
        </w:rPr>
        <w:t>El secretario, J. Lluís Blanco Vega..</w:t>
      </w:r>
    </w:p>
    <w:p>
      <w:pPr>
        <w:pStyle w:val="Cuerpodetexto"/>
        <w:widowControl/>
        <w:spacing w:before="0" w:after="0"/>
        <w:ind w:left="0" w:right="0" w:hanging="0"/>
        <w:rPr>
          <w:rFonts w:ascii="Arial;sans-serif" w:hAnsi="Arial;sans-serif"/>
          <w:b w:val="false"/>
          <w:b w:val="false"/>
          <w:i w:val="false"/>
          <w:i w:val="false"/>
          <w:caps w:val="false"/>
          <w:smallCaps w:val="false"/>
          <w:color w:val="000000"/>
          <w:spacing w:val="0"/>
          <w:sz w:val="16"/>
          <w:lang w:val="es-ES"/>
        </w:rPr>
      </w:pPr>
      <w:r>
        <w:rPr>
          <w:rFonts w:ascii="Arial;sans-serif" w:hAnsi="Arial;sans-serif"/>
          <w:b w:val="false"/>
          <w:i w:val="false"/>
          <w:caps w:val="false"/>
          <w:smallCaps w:val="false"/>
          <w:color w:val="000000"/>
          <w:spacing w:val="0"/>
          <w:sz w:val="16"/>
          <w:lang w:val="es-ES"/>
        </w:rPr>
        <w:t>Firmado electrónicamente, según figura al margen del documento.</w:t>
      </w:r>
    </w:p>
    <w:p>
      <w:pPr>
        <w:pStyle w:val="Normal"/>
        <w:spacing w:before="0" w:after="280"/>
        <w:jc w:val="both"/>
        <w:rPr/>
      </w:pPr>
      <w:r>
        <w:rPr/>
      </w:r>
    </w:p>
    <w:sectPr>
      <w:headerReference w:type="default" r:id="rId2"/>
      <w:type w:val="nextPage"/>
      <w:pgSz w:w="11906" w:h="16838"/>
      <w:pgMar w:left="1701" w:right="1701" w:header="2721" w:top="2778" w:footer="0" w:bottom="1417" w:gutter="0"/>
      <w:pgNumType w:start="1"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 w:name="Arial">
    <w:altName w:val="sans-serif"/>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lang w:val="ca-ES-valencia"/>
      </w:rPr>
    </w:pPr>
    <w:r>
      <w:rPr>
        <w:lang w:val="ca-ES-valencia"/>
      </w:rPr>
      <w:drawing>
        <wp:anchor behindDoc="1" distT="0" distB="0" distL="114300" distR="114300" simplePos="0" locked="0" layoutInCell="1" allowOverlap="1" relativeHeight="8">
          <wp:simplePos x="0" y="0"/>
          <wp:positionH relativeFrom="column">
            <wp:posOffset>-1008380</wp:posOffset>
          </wp:positionH>
          <wp:positionV relativeFrom="paragraph">
            <wp:posOffset>-1416685</wp:posOffset>
          </wp:positionV>
          <wp:extent cx="2249805" cy="1026160"/>
          <wp:effectExtent l="0" t="0" r="0" b="0"/>
          <wp:wrapSquare wrapText="bothSides"/>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0" t="11378" r="0" b="24166"/>
                  <a:stretch>
                    <a:fillRect/>
                  </a:stretch>
                </pic:blipFill>
                <pic:spPr bwMode="auto">
                  <a:xfrm>
                    <a:off x="0" y="0"/>
                    <a:ext cx="2249805" cy="1026160"/>
                  </a:xfrm>
                  <a:prstGeom prst="rect">
                    <a:avLst/>
                  </a:prstGeom>
                </pic:spPr>
              </pic:pic>
            </a:graphicData>
          </a:graphic>
        </wp:anchor>
      </w:drawing>
    </w:r>
  </w:p>
</w:hdr>
</file>

<file path=word/settings.xml><?xml version="1.0" encoding="utf-8"?>
<w:settings xmlns:w="http://schemas.openxmlformats.org/wordprocessingml/2006/main">
  <w:zoom w:percent="184"/>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Cs w:val="24"/>
        <w:lang w:val="es-ES"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2523c"/>
    <w:pPr>
      <w:widowControl/>
      <w:overflowPunct w:val="false"/>
      <w:bidi w:val="0"/>
      <w:spacing w:before="0" w:after="0"/>
      <w:jc w:val="left"/>
    </w:pPr>
    <w:rPr>
      <w:rFonts w:ascii="Calibri" w:hAnsi="Calibri" w:eastAsia="Calibri" w:cs="Calibri"/>
      <w:color w:val="auto"/>
      <w:kern w:val="0"/>
      <w:sz w:val="24"/>
      <w:szCs w:val="24"/>
      <w:lang w:val="ca-ES-valencia" w:eastAsia="es-ES_tradnl" w:bidi="ar-SA"/>
    </w:rPr>
  </w:style>
  <w:style w:type="paragraph" w:styleId="Ttulo1">
    <w:name w:val="Heading 1"/>
    <w:basedOn w:val="Normal"/>
    <w:next w:val="Normal"/>
    <w:uiPriority w:val="9"/>
    <w:qFormat/>
    <w:rsid w:val="00a2523c"/>
    <w:pPr>
      <w:keepNext w:val="true"/>
      <w:keepLines/>
      <w:spacing w:before="480" w:after="120"/>
      <w:outlineLvl w:val="0"/>
    </w:pPr>
    <w:rPr>
      <w:b/>
      <w:sz w:val="48"/>
      <w:szCs w:val="48"/>
    </w:rPr>
  </w:style>
  <w:style w:type="paragraph" w:styleId="Ttulo2">
    <w:name w:val="Heading 2"/>
    <w:basedOn w:val="Normal"/>
    <w:next w:val="Normal"/>
    <w:uiPriority w:val="9"/>
    <w:semiHidden/>
    <w:unhideWhenUsed/>
    <w:qFormat/>
    <w:rsid w:val="00a2523c"/>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rsid w:val="00a2523c"/>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rsid w:val="00a2523c"/>
    <w:pPr>
      <w:keepNext w:val="true"/>
      <w:keepLines/>
      <w:spacing w:before="240" w:after="40"/>
      <w:outlineLvl w:val="3"/>
    </w:pPr>
    <w:rPr>
      <w:b/>
    </w:rPr>
  </w:style>
  <w:style w:type="paragraph" w:styleId="Ttulo5">
    <w:name w:val="Heading 5"/>
    <w:basedOn w:val="Normal"/>
    <w:next w:val="Normal"/>
    <w:uiPriority w:val="9"/>
    <w:semiHidden/>
    <w:unhideWhenUsed/>
    <w:qFormat/>
    <w:rsid w:val="00a2523c"/>
    <w:pPr>
      <w:keepNext w:val="true"/>
      <w:keepLines/>
      <w:spacing w:before="220" w:after="40"/>
      <w:outlineLvl w:val="4"/>
    </w:pPr>
    <w:rPr>
      <w:b/>
      <w:sz w:val="22"/>
      <w:szCs w:val="22"/>
    </w:rPr>
  </w:style>
  <w:style w:type="paragraph" w:styleId="Ttulo6">
    <w:name w:val="Heading 6"/>
    <w:basedOn w:val="Normal"/>
    <w:next w:val="Normal"/>
    <w:uiPriority w:val="9"/>
    <w:semiHidden/>
    <w:unhideWhenUsed/>
    <w:qFormat/>
    <w:rsid w:val="00a2523c"/>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extocomentarioCar" w:customStyle="1">
    <w:name w:val="Texto comentario Car"/>
    <w:basedOn w:val="DefaultParagraphFont"/>
    <w:link w:val="Textocomentario"/>
    <w:uiPriority w:val="99"/>
    <w:semiHidden/>
    <w:qFormat/>
    <w:rsid w:val="00a2523c"/>
    <w:rPr>
      <w:sz w:val="20"/>
      <w:szCs w:val="20"/>
    </w:rPr>
  </w:style>
  <w:style w:type="character" w:styleId="Annotationreference">
    <w:name w:val="annotation reference"/>
    <w:basedOn w:val="DefaultParagraphFont"/>
    <w:uiPriority w:val="99"/>
    <w:semiHidden/>
    <w:unhideWhenUsed/>
    <w:qFormat/>
    <w:rsid w:val="00a2523c"/>
    <w:rPr>
      <w:sz w:val="16"/>
      <w:szCs w:val="16"/>
    </w:rPr>
  </w:style>
  <w:style w:type="character" w:styleId="TextodegloboCar" w:customStyle="1">
    <w:name w:val="Texto de globo Car"/>
    <w:basedOn w:val="DefaultParagraphFont"/>
    <w:link w:val="Textodeglobo"/>
    <w:uiPriority w:val="99"/>
    <w:semiHidden/>
    <w:qFormat/>
    <w:rsid w:val="007e765e"/>
    <w:rPr>
      <w:rFonts w:ascii="Times New Roman" w:hAnsi="Times New Roman" w:cs="Times New Roman"/>
      <w:sz w:val="18"/>
      <w:szCs w:val="18"/>
    </w:rPr>
  </w:style>
  <w:style w:type="character" w:styleId="EncabezadoCar" w:customStyle="1">
    <w:name w:val="Encabezado Car"/>
    <w:basedOn w:val="DefaultParagraphFont"/>
    <w:link w:val="Encabezado"/>
    <w:uiPriority w:val="99"/>
    <w:qFormat/>
    <w:rsid w:val="005c1910"/>
    <w:rPr/>
  </w:style>
  <w:style w:type="character" w:styleId="PiedepginaCar" w:customStyle="1">
    <w:name w:val="Pie de página Car"/>
    <w:basedOn w:val="DefaultParagraphFont"/>
    <w:link w:val="Piedepgina"/>
    <w:uiPriority w:val="99"/>
    <w:qFormat/>
    <w:rsid w:val="005c1910"/>
    <w:rPr/>
  </w:style>
  <w:style w:type="character" w:styleId="AsuntodelcomentarioCar" w:customStyle="1">
    <w:name w:val="Asunto del comentario Car"/>
    <w:basedOn w:val="TextocomentarioCar"/>
    <w:link w:val="Asuntodelcomentario"/>
    <w:uiPriority w:val="99"/>
    <w:semiHidden/>
    <w:qFormat/>
    <w:rsid w:val="005c4a9e"/>
    <w:rPr>
      <w:b/>
      <w:bCs/>
      <w:sz w:val="20"/>
      <w:szCs w:val="20"/>
    </w:rPr>
  </w:style>
  <w:style w:type="character" w:styleId="Caracteresdenotaalpie" w:customStyle="1">
    <w:name w:val="Caracteres de nota al pie"/>
    <w:qFormat/>
    <w:rPr/>
  </w:style>
  <w:style w:type="character" w:styleId="Ancladenotaalpie" w:customStyle="1">
    <w:name w:val="Ancla de nota al pie"/>
    <w:rPr>
      <w:vertAlign w:val="superscript"/>
    </w:rPr>
  </w:style>
  <w:style w:type="character" w:styleId="Smbolosdenumeracin" w:customStyle="1">
    <w:name w:val="Símbolos de numeración"/>
    <w:qFormat/>
    <w:rPr/>
  </w:style>
  <w:style w:type="character" w:styleId="Ancladenotafinal" w:customStyle="1">
    <w:name w:val="Ancla de nota final"/>
    <w:rPr>
      <w:vertAlign w:val="superscript"/>
    </w:rPr>
  </w:style>
  <w:style w:type="character" w:styleId="Caracteresdenotafinal" w:customStyle="1">
    <w:name w:val="Caracteres de nota final"/>
    <w:qFormat/>
    <w:rPr/>
  </w:style>
  <w:style w:type="character" w:styleId="TextonotaalfinalCar" w:customStyle="1">
    <w:name w:val="Texto nota al final Car"/>
    <w:basedOn w:val="DefaultParagraphFont"/>
    <w:link w:val="Textonotaalfinal"/>
    <w:uiPriority w:val="99"/>
    <w:semiHidden/>
    <w:qFormat/>
    <w:rsid w:val="00762b22"/>
    <w:rPr>
      <w:szCs w:val="20"/>
    </w:rPr>
  </w:style>
  <w:style w:type="character" w:styleId="EndnoteCharacters">
    <w:name w:val="Endnote Characters"/>
    <w:basedOn w:val="DefaultParagraphFont"/>
    <w:uiPriority w:val="99"/>
    <w:semiHidden/>
    <w:unhideWhenUsed/>
    <w:qFormat/>
    <w:rsid w:val="00762b22"/>
    <w:rPr>
      <w:vertAlign w:val="superscript"/>
    </w:rPr>
  </w:style>
  <w:style w:type="character" w:styleId="WW8Num5z0">
    <w:name w:val="WW8Num5z0"/>
    <w:qFormat/>
    <w:rPr>
      <w:rFonts w:cs="Arial"/>
      <w:sz w:val="18"/>
      <w:szCs w:val="18"/>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itular">
    <w:name w:val="Title"/>
    <w:basedOn w:val="Normal"/>
    <w:next w:val="Cuerpodetexto"/>
    <w:uiPriority w:val="10"/>
    <w:qFormat/>
    <w:rsid w:val="00a2523c"/>
    <w:pPr>
      <w:keepNext w:val="true"/>
      <w:keepLines/>
      <w:spacing w:before="480" w:after="120"/>
    </w:pPr>
    <w:rPr>
      <w:b/>
      <w:sz w:val="72"/>
      <w:szCs w:val="72"/>
    </w:rPr>
  </w:style>
  <w:style w:type="paragraph" w:styleId="Caption">
    <w:name w:val="caption"/>
    <w:basedOn w:val="Normal"/>
    <w:qFormat/>
    <w:pPr>
      <w:suppressLineNumbers/>
      <w:spacing w:before="120" w:after="120"/>
    </w:pPr>
    <w:rPr>
      <w:rFonts w:cs="Mangal"/>
      <w:i/>
      <w:iCs/>
    </w:rPr>
  </w:style>
  <w:style w:type="paragraph" w:styleId="NormalWeb">
    <w:name w:val="Normal (Web)"/>
    <w:basedOn w:val="Normal"/>
    <w:uiPriority w:val="99"/>
    <w:semiHidden/>
    <w:unhideWhenUsed/>
    <w:qFormat/>
    <w:rsid w:val="00dd328a"/>
    <w:pPr>
      <w:spacing w:beforeAutospacing="1" w:afterAutospacing="1"/>
    </w:pPr>
    <w:rPr>
      <w:rFonts w:ascii="Times New Roman" w:hAnsi="Times New Roman" w:eastAsia="Times New Roman" w:cs="Times New Roman"/>
    </w:rPr>
  </w:style>
  <w:style w:type="paragraph" w:styleId="Subttulo">
    <w:name w:val="Subtitle"/>
    <w:basedOn w:val="Normal"/>
    <w:next w:val="Normal"/>
    <w:uiPriority w:val="11"/>
    <w:qFormat/>
    <w:rsid w:val="00a2523c"/>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comentarioCar"/>
    <w:uiPriority w:val="99"/>
    <w:semiHidden/>
    <w:unhideWhenUsed/>
    <w:qFormat/>
    <w:rsid w:val="00a2523c"/>
    <w:pPr/>
    <w:rPr>
      <w:sz w:val="20"/>
      <w:szCs w:val="20"/>
    </w:rPr>
  </w:style>
  <w:style w:type="paragraph" w:styleId="BalloonText">
    <w:name w:val="Balloon Text"/>
    <w:basedOn w:val="Normal"/>
    <w:link w:val="TextodegloboCar"/>
    <w:uiPriority w:val="99"/>
    <w:semiHidden/>
    <w:unhideWhenUsed/>
    <w:qFormat/>
    <w:rsid w:val="007e765e"/>
    <w:pPr/>
    <w:rPr>
      <w:rFonts w:ascii="Times New Roman" w:hAnsi="Times New Roman" w:cs="Times New Roman"/>
      <w:sz w:val="18"/>
      <w:szCs w:val="18"/>
    </w:rPr>
  </w:style>
  <w:style w:type="paragraph" w:styleId="Revision">
    <w:name w:val="Revision"/>
    <w:uiPriority w:val="99"/>
    <w:semiHidden/>
    <w:qFormat/>
    <w:rsid w:val="007e765e"/>
    <w:pPr>
      <w:widowControl/>
      <w:overflowPunct w:val="false"/>
      <w:bidi w:val="0"/>
      <w:spacing w:before="0" w:after="0"/>
      <w:jc w:val="left"/>
    </w:pPr>
    <w:rPr>
      <w:rFonts w:ascii="Calibri" w:hAnsi="Calibri" w:eastAsia="Calibri" w:cs="Calibri"/>
      <w:color w:val="auto"/>
      <w:kern w:val="0"/>
      <w:sz w:val="24"/>
      <w:szCs w:val="24"/>
      <w:lang w:val="ca-ES-valencia" w:eastAsia="es-ES_tradnl" w:bidi="ar-SA"/>
    </w:rPr>
  </w:style>
  <w:style w:type="paragraph" w:styleId="ListParagraph">
    <w:name w:val="List Paragraph"/>
    <w:basedOn w:val="Normal"/>
    <w:uiPriority w:val="34"/>
    <w:qFormat/>
    <w:rsid w:val="007e765e"/>
    <w:pPr>
      <w:spacing w:before="0" w:after="0"/>
      <w:ind w:left="720" w:hanging="0"/>
      <w:contextualSpacing/>
    </w:pPr>
    <w:rPr/>
  </w:style>
  <w:style w:type="paragraph" w:styleId="Cabeceraypie">
    <w:name w:val="Cabecera y pie"/>
    <w:basedOn w:val="Normal"/>
    <w:qFormat/>
    <w:pPr/>
    <w:rPr/>
  </w:style>
  <w:style w:type="paragraph" w:styleId="Cabecera">
    <w:name w:val="Header"/>
    <w:basedOn w:val="Normal"/>
    <w:link w:val="EncabezadoCar"/>
    <w:uiPriority w:val="99"/>
    <w:unhideWhenUsed/>
    <w:rsid w:val="005c1910"/>
    <w:pPr>
      <w:tabs>
        <w:tab w:val="clear" w:pos="709"/>
        <w:tab w:val="center" w:pos="4252" w:leader="none"/>
        <w:tab w:val="right" w:pos="8504" w:leader="none"/>
      </w:tabs>
    </w:pPr>
    <w:rPr/>
  </w:style>
  <w:style w:type="paragraph" w:styleId="Piedepgina">
    <w:name w:val="Footer"/>
    <w:basedOn w:val="Normal"/>
    <w:link w:val="PiedepginaCar"/>
    <w:uiPriority w:val="99"/>
    <w:unhideWhenUsed/>
    <w:rsid w:val="005c1910"/>
    <w:pPr>
      <w:tabs>
        <w:tab w:val="clear" w:pos="709"/>
        <w:tab w:val="center" w:pos="4252" w:leader="none"/>
        <w:tab w:val="right" w:pos="8504" w:leader="none"/>
      </w:tabs>
    </w:pPr>
    <w:rPr/>
  </w:style>
  <w:style w:type="paragraph" w:styleId="Annotationsubject">
    <w:name w:val="annotation subject"/>
    <w:basedOn w:val="Annotationtext"/>
    <w:next w:val="Annotationtext"/>
    <w:link w:val="AsuntodelcomentarioCar"/>
    <w:uiPriority w:val="99"/>
    <w:semiHidden/>
    <w:unhideWhenUsed/>
    <w:qFormat/>
    <w:rsid w:val="005c4a9e"/>
    <w:pPr/>
    <w:rPr>
      <w:b/>
      <w:bCs/>
    </w:rPr>
  </w:style>
  <w:style w:type="paragraph" w:styleId="Notaalpie">
    <w:name w:val="Footnote Text"/>
    <w:basedOn w:val="Normal"/>
    <w:pPr>
      <w:suppressLineNumbers/>
      <w:ind w:left="339" w:hanging="339"/>
    </w:pPr>
    <w:rPr>
      <w:sz w:val="20"/>
      <w:szCs w:val="20"/>
    </w:rPr>
  </w:style>
  <w:style w:type="paragraph" w:styleId="Notafinal">
    <w:name w:val="Endnote Text"/>
    <w:basedOn w:val="Normal"/>
    <w:link w:val="TextonotaalfinalCar"/>
    <w:uiPriority w:val="99"/>
    <w:semiHidden/>
    <w:unhideWhenUsed/>
    <w:rsid w:val="00762b22"/>
    <w:pPr/>
    <w:rPr>
      <w:sz w:val="20"/>
      <w:szCs w:val="20"/>
    </w:rPr>
  </w:style>
  <w:style w:type="numbering" w:styleId="NoList" w:default="1">
    <w:name w:val="No List"/>
    <w:uiPriority w:val="99"/>
    <w:semiHidden/>
    <w:unhideWhenUsed/>
    <w:qFormat/>
  </w:style>
  <w:style w:type="numbering" w:styleId="WW8Num5">
    <w:name w:val="WW8Num5"/>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rsid w:val="00a2523c"/>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idJkahUPmK+VnW+kLNPofmnT7Yxg==">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Application>LibreOffice/6.3.5.2$Windows_X86_64 LibreOffice_project/dd0751754f11728f69b42ee2af66670068624673</Application>
  <Pages>7</Pages>
  <Words>3219</Words>
  <Characters>17297</Characters>
  <CharactersWithSpaces>20835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2020-10-23T08:03:00Z</dcterms:created>
  <dc:creator>DIEGO SEGURA PASTOR</dc:creator>
  <dc:description/>
  <dc:language>ca-ES-valencia</dc:language>
  <cp:lastModifiedBy/>
  <cp:lastPrinted>2020-09-27T10:24:00Z</cp:lastPrinted>
  <dcterms:modified xsi:type="dcterms:W3CDTF">2020-10-29T14:08:45Z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