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732BB" w:rsidRDefault="00F110E0">
      <w:pPr>
        <w:pStyle w:val="western"/>
        <w:spacing w:after="0" w:line="240" w:lineRule="auto"/>
      </w:pPr>
      <w:r>
        <w:rPr>
          <w:rFonts w:ascii="Arial" w:hAnsi="Arial" w:cs="Arial"/>
          <w:noProof/>
          <w:lang w:eastAsia="es-ES"/>
        </w:rPr>
        <w:drawing>
          <wp:anchor distT="0" distB="0" distL="0" distR="114935" simplePos="0" relativeHeight="251657728" behindDoc="0" locked="0" layoutInCell="1" allowOverlap="1">
            <wp:simplePos x="0" y="0"/>
            <wp:positionH relativeFrom="column">
              <wp:align>left</wp:align>
            </wp:positionH>
            <wp:positionV relativeFrom="paragraph">
              <wp:posOffset>5080</wp:posOffset>
            </wp:positionV>
            <wp:extent cx="865505" cy="898525"/>
            <wp:effectExtent l="19050" t="0" r="0" b="0"/>
            <wp:wrapSquare wrapText="r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l="-146" t="-139" r="-146" b="-139"/>
                    <a:stretch>
                      <a:fillRect/>
                    </a:stretch>
                  </pic:blipFill>
                  <pic:spPr bwMode="auto">
                    <a:xfrm>
                      <a:off x="0" y="0"/>
                      <a:ext cx="865505" cy="898525"/>
                    </a:xfrm>
                    <a:prstGeom prst="rect">
                      <a:avLst/>
                    </a:prstGeom>
                    <a:solidFill>
                      <a:srgbClr val="FFFFFF"/>
                    </a:solidFill>
                    <a:ln w="9525">
                      <a:noFill/>
                      <a:miter lim="800000"/>
                      <a:headEnd/>
                      <a:tailEnd/>
                    </a:ln>
                  </pic:spPr>
                </pic:pic>
              </a:graphicData>
            </a:graphic>
          </wp:anchor>
        </w:drawing>
      </w:r>
      <w:r w:rsidR="005732BB">
        <w:rPr>
          <w:rFonts w:ascii="Arial" w:hAnsi="Arial" w:cs="Arial"/>
          <w:highlight w:val="white"/>
        </w:rPr>
        <w:t>AYUNTAMIENTO DE SAN FERNANDO</w:t>
      </w:r>
    </w:p>
    <w:p w:rsidR="005732BB" w:rsidRDefault="005732BB">
      <w:pPr>
        <w:spacing w:before="100"/>
      </w:pPr>
      <w:r>
        <w:rPr>
          <w:rFonts w:ascii="Arial" w:hAnsi="Arial" w:cs="Arial"/>
          <w:color w:val="000000"/>
          <w:highlight w:val="white"/>
          <w:lang w:val="es-ES"/>
        </w:rPr>
        <w:t>Área de Desarrollo Urbano</w:t>
      </w:r>
    </w:p>
    <w:p w:rsidR="005732BB" w:rsidRDefault="005732BB">
      <w:pPr>
        <w:spacing w:before="100"/>
        <w:rPr>
          <w:rFonts w:ascii="Tahoma" w:hAnsi="Tahoma" w:cs="Tahoma"/>
          <w:color w:val="000000"/>
          <w:shd w:val="clear" w:color="auto" w:fill="FFFFFF"/>
          <w:lang w:val="es-ES"/>
        </w:rPr>
      </w:pPr>
    </w:p>
    <w:p w:rsidR="005732BB" w:rsidRDefault="005732BB">
      <w:pPr>
        <w:spacing w:before="100"/>
        <w:rPr>
          <w:rFonts w:ascii="Tahoma" w:hAnsi="Tahoma" w:cs="Tahoma"/>
          <w:color w:val="000000"/>
          <w:shd w:val="clear" w:color="auto" w:fill="FFFFFF"/>
          <w:lang w:val="es-ES"/>
        </w:rPr>
      </w:pPr>
    </w:p>
    <w:p w:rsidR="005732BB" w:rsidRDefault="005732BB">
      <w:pPr>
        <w:spacing w:before="100"/>
        <w:rPr>
          <w:rFonts w:ascii="Tahoma" w:hAnsi="Tahoma" w:cs="Tahoma"/>
          <w:color w:val="000000"/>
          <w:shd w:val="clear" w:color="auto" w:fill="FFFFFF"/>
          <w:lang w:val="es-ES"/>
        </w:rPr>
      </w:pPr>
    </w:p>
    <w:p w:rsidR="005732BB" w:rsidRDefault="005732BB">
      <w:pPr>
        <w:pStyle w:val="Ttulo7"/>
        <w:pBdr>
          <w:top w:val="single" w:sz="4" w:space="8" w:color="000000"/>
          <w:left w:val="single" w:sz="4" w:space="0" w:color="000000"/>
          <w:bottom w:val="single" w:sz="4" w:space="11" w:color="000000"/>
          <w:right w:val="single" w:sz="4" w:space="0" w:color="000000"/>
        </w:pBdr>
        <w:shd w:val="clear" w:color="auto" w:fill="D9D9D9"/>
      </w:pPr>
      <w:r>
        <w:rPr>
          <w:rFonts w:ascii="Arial" w:hAnsi="Arial" w:cs="Arial"/>
          <w:caps/>
          <w:sz w:val="24"/>
          <w:szCs w:val="24"/>
        </w:rPr>
        <w:t>extracto del decreto de alcaldia-PRESIDENCIA de 6 de agosto de 2020 por el quE se aprueban las bases reguladoras Y para la convocatoria de ayudas municipales directas al alquiler</w:t>
      </w:r>
    </w:p>
    <w:p w:rsidR="005732BB" w:rsidRDefault="005732BB">
      <w:pPr>
        <w:jc w:val="center"/>
        <w:rPr>
          <w:rFonts w:ascii="Arial" w:hAnsi="Arial" w:cs="Arial"/>
          <w:b/>
          <w:caps/>
          <w:sz w:val="24"/>
          <w:szCs w:val="24"/>
          <w:u w:val="single"/>
        </w:rPr>
      </w:pPr>
    </w:p>
    <w:p w:rsidR="005732BB" w:rsidRDefault="005732BB">
      <w:pPr>
        <w:jc w:val="both"/>
      </w:pPr>
      <w:r>
        <w:rPr>
          <w:rFonts w:ascii="Arial" w:hAnsi="Arial" w:cs="Arial"/>
          <w:sz w:val="24"/>
          <w:szCs w:val="24"/>
        </w:rPr>
        <w:t xml:space="preserve">De conformidad con lo previsto en los artículos 17.3b y 20.8 de la Ley 38/2003, de 17 de noviembre, General de Subvenciones, se publica el extracto de la convocatoria. </w:t>
      </w:r>
    </w:p>
    <w:p w:rsidR="005732BB" w:rsidRDefault="005732BB">
      <w:pPr>
        <w:jc w:val="both"/>
        <w:rPr>
          <w:rFonts w:ascii="Arial" w:hAnsi="Arial" w:cs="Arial"/>
          <w:sz w:val="24"/>
          <w:szCs w:val="24"/>
        </w:rPr>
      </w:pPr>
    </w:p>
    <w:p w:rsidR="005732BB" w:rsidRDefault="005732BB">
      <w:pPr>
        <w:jc w:val="both"/>
      </w:pPr>
      <w:r>
        <w:rPr>
          <w:rFonts w:ascii="Arial" w:hAnsi="Arial" w:cs="Arial"/>
          <w:b/>
          <w:sz w:val="22"/>
          <w:szCs w:val="22"/>
        </w:rPr>
        <w:t>Primero. Beneficiarios:</w:t>
      </w:r>
    </w:p>
    <w:p w:rsidR="005732BB" w:rsidRDefault="005732BB">
      <w:pPr>
        <w:jc w:val="both"/>
      </w:pPr>
      <w:r>
        <w:rPr>
          <w:rFonts w:ascii="Arial" w:hAnsi="Arial" w:cs="Arial"/>
          <w:sz w:val="22"/>
          <w:szCs w:val="22"/>
        </w:rPr>
        <w:t>Podrán solicitar estas ayudas:</w:t>
      </w:r>
    </w:p>
    <w:p w:rsidR="005732BB" w:rsidRDefault="005732BB">
      <w:pPr>
        <w:jc w:val="both"/>
      </w:pPr>
      <w:r>
        <w:rPr>
          <w:rFonts w:ascii="Arial" w:hAnsi="Arial" w:cs="Arial"/>
          <w:sz w:val="22"/>
          <w:szCs w:val="22"/>
        </w:rPr>
        <w:t>- Grupo A: Las unidades de convivencia inquilinas de viviendas gestionadas por Esisa que hayan presentado solicitud en la convocatoria de ayudas efectuada por la Consejería de Fomento de la Junta de Andalucía conforme a la Orden de 30 de octubre de 2018, por la que se convocan ayudas para el alquiler de vivienda habitual a personas en situación de especial vulnerabilidad, con ingresos limitados y a jóvenes en la Comunidad Autónoma de Andalucía, y que no han sido atendidos por dicha administración por falta de disponibilidad presupuestaria.</w:t>
      </w:r>
    </w:p>
    <w:p w:rsidR="005732BB" w:rsidRDefault="005732BB">
      <w:pPr>
        <w:jc w:val="both"/>
      </w:pPr>
      <w:r>
        <w:rPr>
          <w:rFonts w:ascii="Arial" w:hAnsi="Arial" w:cs="Arial"/>
          <w:sz w:val="22"/>
          <w:szCs w:val="22"/>
        </w:rPr>
        <w:t>- Grupo B: Las unidades de convivencia con contrato de arrendamiento vigente a la fecha de presentación de la solicitud, que cumplan los requisitos fijados en éste programa, y que por tanto se encuentren en una situación de vulnerabilidad que pueda derivar en una situación de desprotección con dificultades para hacer frente al pago de la vivienda. No será de aplicación sin embargo a los casos de desórdenes económicos manifiestos o negligencias económicas cuando así venga determinado por el personal técnico de ESISA.</w:t>
      </w:r>
    </w:p>
    <w:p w:rsidR="005732BB" w:rsidRDefault="005732BB">
      <w:pPr>
        <w:jc w:val="both"/>
      </w:pPr>
      <w:r>
        <w:rPr>
          <w:rFonts w:ascii="Arial" w:hAnsi="Arial" w:cs="Arial"/>
          <w:sz w:val="22"/>
          <w:szCs w:val="22"/>
        </w:rPr>
        <w:t>En este caso, las ayudas se dirigen a cubrir con carácter prioritario, la necesidad de vivienda de las personas incluidas en unidades de convivencia pertenecientes a los siguientes colectivos:</w:t>
      </w:r>
    </w:p>
    <w:p w:rsidR="005732BB" w:rsidRDefault="005732BB">
      <w:pPr>
        <w:jc w:val="both"/>
      </w:pPr>
      <w:r>
        <w:rPr>
          <w:rFonts w:ascii="Arial" w:hAnsi="Arial" w:cs="Arial"/>
          <w:sz w:val="22"/>
          <w:szCs w:val="22"/>
        </w:rPr>
        <w:t>a) Familias en situación de riesgo o exclusión social, que acrediten dicha circunstancia mediante certificado expedido al efecto por los Servicios Sociales municipales.</w:t>
      </w:r>
    </w:p>
    <w:p w:rsidR="005732BB" w:rsidRDefault="005732BB">
      <w:r>
        <w:rPr>
          <w:rFonts w:ascii="Arial" w:hAnsi="Arial" w:cs="Arial"/>
          <w:sz w:val="22"/>
          <w:szCs w:val="22"/>
        </w:rPr>
        <w:t>b) Víctimas de violencia de género</w:t>
      </w:r>
    </w:p>
    <w:p w:rsidR="005732BB" w:rsidRDefault="005732BB">
      <w:r>
        <w:rPr>
          <w:rFonts w:ascii="Arial" w:hAnsi="Arial" w:cs="Arial"/>
          <w:sz w:val="22"/>
          <w:szCs w:val="22"/>
        </w:rPr>
        <w:t>c) Familias monoparentales.</w:t>
      </w:r>
    </w:p>
    <w:p w:rsidR="005732BB" w:rsidRDefault="005732BB">
      <w:r>
        <w:rPr>
          <w:rFonts w:ascii="Arial" w:hAnsi="Arial" w:cs="Arial"/>
          <w:sz w:val="22"/>
          <w:szCs w:val="22"/>
        </w:rPr>
        <w:t>d) Personas mayores de 65 años.</w:t>
      </w:r>
    </w:p>
    <w:p w:rsidR="005732BB" w:rsidRDefault="005732BB">
      <w:r>
        <w:rPr>
          <w:rFonts w:ascii="Arial" w:hAnsi="Arial" w:cs="Arial"/>
          <w:sz w:val="22"/>
          <w:szCs w:val="22"/>
        </w:rPr>
        <w:t>e) Personas privadas del derecho de uso y disfrute sobre su vivienda habitual y permanente en ejecución de un fallo judicial.</w:t>
      </w:r>
    </w:p>
    <w:p w:rsidR="005732BB" w:rsidRDefault="005732BB">
      <w:pPr>
        <w:jc w:val="both"/>
      </w:pPr>
      <w:r>
        <w:rPr>
          <w:rFonts w:ascii="Arial" w:hAnsi="Arial" w:cs="Arial"/>
          <w:sz w:val="22"/>
          <w:szCs w:val="22"/>
        </w:rPr>
        <w:t>A los efectos previstos en éste Programa, se considerará “unidad de convivencia” a la constituida por el conjunto de personas que conviven y están empadronadas en un mismo domicilio con independencia de si tienen relación de parentesco entre sí. Nadie puede formar parte de más de una unidad de convivencia.</w:t>
      </w:r>
    </w:p>
    <w:p w:rsidR="005732BB" w:rsidRDefault="005732BB">
      <w:pPr>
        <w:rPr>
          <w:rFonts w:ascii="Arial" w:hAnsi="Arial" w:cs="Arial"/>
          <w:sz w:val="22"/>
          <w:szCs w:val="22"/>
        </w:rPr>
      </w:pPr>
    </w:p>
    <w:p w:rsidR="005732BB" w:rsidRDefault="005732BB">
      <w:r>
        <w:rPr>
          <w:rFonts w:ascii="Arial" w:hAnsi="Arial" w:cs="Arial"/>
          <w:b/>
          <w:sz w:val="22"/>
          <w:szCs w:val="22"/>
        </w:rPr>
        <w:t>Segundo. Objeto de la convocatoria:</w:t>
      </w:r>
    </w:p>
    <w:p w:rsidR="005732BB" w:rsidRDefault="005732BB">
      <w:pPr>
        <w:jc w:val="both"/>
      </w:pPr>
      <w:r>
        <w:rPr>
          <w:rFonts w:ascii="Arial" w:hAnsi="Arial" w:cs="Arial"/>
          <w:sz w:val="22"/>
          <w:szCs w:val="22"/>
        </w:rPr>
        <w:t xml:space="preserve">El objeto del expediente es el de otorgar subvenciones directas para el pago de la renta y cantidades asimiladas a los arrendatarios de viviendas en régimen de alquiler en función de los ingresos económicos y las circunstancias sociales de las unidades familiares que la habitan. Estas prestaciones económicas dependerán de la naturaleza de la necesidad a cubrir mediante valoración técnica, aplicando las condiciones y </w:t>
      </w:r>
      <w:r>
        <w:rPr>
          <w:rFonts w:ascii="Arial" w:hAnsi="Arial" w:cs="Arial"/>
          <w:sz w:val="22"/>
          <w:szCs w:val="22"/>
        </w:rPr>
        <w:lastRenderedPageBreak/>
        <w:t>requisitos del programa, fundamentados en la capacidad económica de la unidad familiar y en el tipo de vivienda que ocupa.</w:t>
      </w:r>
    </w:p>
    <w:p w:rsidR="005732BB" w:rsidRDefault="005732BB">
      <w:pPr>
        <w:jc w:val="both"/>
      </w:pPr>
      <w:r>
        <w:rPr>
          <w:rFonts w:ascii="Arial" w:hAnsi="Arial" w:cs="Arial"/>
          <w:sz w:val="22"/>
          <w:szCs w:val="22"/>
        </w:rPr>
        <w:t xml:space="preserve">Los cambios socioeconómicos derivados de la crisis económica han impactado directamente en los arrendatarios de las viviendas en alquiler, al afectar a un grupo de población especialmente vulnerable por la alta incidencia de desempleo, bajo nivel de ingresos económicos originados mayoritariamente por prestaciones sociales y en menor medida, rentas de trabajo con bajas remuneraciones y con un carácter muy precario. </w:t>
      </w:r>
    </w:p>
    <w:p w:rsidR="005732BB" w:rsidRDefault="005732BB">
      <w:pPr>
        <w:spacing w:line="276" w:lineRule="auto"/>
        <w:jc w:val="both"/>
        <w:rPr>
          <w:rFonts w:ascii="Arial" w:hAnsi="Arial" w:cs="Arial"/>
          <w:b/>
          <w:sz w:val="22"/>
          <w:szCs w:val="22"/>
        </w:rPr>
      </w:pPr>
    </w:p>
    <w:p w:rsidR="005732BB" w:rsidRDefault="005732BB">
      <w:pPr>
        <w:spacing w:line="276" w:lineRule="auto"/>
        <w:jc w:val="both"/>
      </w:pPr>
      <w:r>
        <w:rPr>
          <w:rFonts w:ascii="Arial" w:hAnsi="Arial" w:cs="Arial"/>
          <w:b/>
          <w:sz w:val="22"/>
          <w:szCs w:val="22"/>
        </w:rPr>
        <w:t>Tercero. Bases reguladoras:</w:t>
      </w:r>
    </w:p>
    <w:p w:rsidR="005732BB" w:rsidRDefault="005732BB">
      <w:pPr>
        <w:jc w:val="both"/>
      </w:pPr>
      <w:r>
        <w:rPr>
          <w:rFonts w:ascii="Arial" w:hAnsi="Arial" w:cs="Arial"/>
          <w:sz w:val="22"/>
          <w:szCs w:val="22"/>
        </w:rPr>
        <w:t xml:space="preserve">Las bases reguladoras aprobadas mediante Decreto de Alcaldía de 6 de agosto de 2020, para la convocatoria de ayudas municipales directas al alquiler pueden ser consultadas en la web municipal </w:t>
      </w:r>
      <w:hyperlink r:id="rId6" w:history="1">
        <w:r>
          <w:rPr>
            <w:rStyle w:val="Hipervnculo"/>
          </w:rPr>
          <w:t>www.sanfernando.es</w:t>
        </w:r>
      </w:hyperlink>
      <w:r>
        <w:rPr>
          <w:rFonts w:ascii="Arial" w:hAnsi="Arial" w:cs="Arial"/>
          <w:sz w:val="22"/>
          <w:szCs w:val="22"/>
        </w:rPr>
        <w:t xml:space="preserve"> y en la web de la Empresa Municipal de Suelo Isleña S.A.(ESISA), </w:t>
      </w:r>
      <w:hyperlink r:id="rId7" w:history="1">
        <w:r>
          <w:rPr>
            <w:rStyle w:val="Hipervnculo"/>
          </w:rPr>
          <w:t>www.esisa.es</w:t>
        </w:r>
      </w:hyperlink>
      <w:r>
        <w:rPr>
          <w:rFonts w:ascii="Arial" w:hAnsi="Arial" w:cs="Arial"/>
          <w:sz w:val="22"/>
          <w:szCs w:val="22"/>
        </w:rPr>
        <w:t xml:space="preserve"> . </w:t>
      </w:r>
    </w:p>
    <w:p w:rsidR="005732BB" w:rsidRDefault="005732BB">
      <w:pPr>
        <w:spacing w:line="276" w:lineRule="auto"/>
        <w:jc w:val="both"/>
        <w:rPr>
          <w:rFonts w:ascii="Arial" w:hAnsi="Arial" w:cs="Arial"/>
          <w:sz w:val="22"/>
          <w:szCs w:val="22"/>
        </w:rPr>
      </w:pPr>
    </w:p>
    <w:p w:rsidR="005732BB" w:rsidRDefault="005732BB">
      <w:pPr>
        <w:spacing w:line="276" w:lineRule="auto"/>
        <w:jc w:val="both"/>
      </w:pPr>
      <w:r>
        <w:rPr>
          <w:rFonts w:ascii="Arial" w:hAnsi="Arial" w:cs="Arial"/>
          <w:b/>
          <w:sz w:val="22"/>
          <w:szCs w:val="22"/>
        </w:rPr>
        <w:t>Cuarto. Dotación Económica</w:t>
      </w:r>
    </w:p>
    <w:p w:rsidR="005732BB" w:rsidRDefault="005732BB">
      <w:pPr>
        <w:jc w:val="both"/>
      </w:pPr>
      <w:r>
        <w:rPr>
          <w:rFonts w:ascii="Arial" w:hAnsi="Arial" w:cs="Arial"/>
          <w:sz w:val="22"/>
          <w:szCs w:val="22"/>
        </w:rPr>
        <w:t>El Ayuntamiento de San Fernando dispone en sus presupuestos de una partida (60/2311/48006) denominada “subvenciones alquiler de viviendas de propiedad municipal”, entendiéndose por tales, las viviendas que son propiedad de ESISA, o que ésta administra en nombre del Ayuntamiento de San Fernando y otras administraciones. El importe de la partida asciende a 100.000 €, y deberá ser gestionada por la Delegación Municipal de Vivienda por su competencia en el desarrollo del programa dirigido a la finalidad a la que se destina.</w:t>
      </w:r>
    </w:p>
    <w:p w:rsidR="005732BB" w:rsidRDefault="005732BB">
      <w:pPr>
        <w:shd w:val="clear" w:color="auto" w:fill="FFFFFF"/>
        <w:jc w:val="both"/>
      </w:pPr>
      <w:r>
        <w:rPr>
          <w:rFonts w:ascii="Arial" w:hAnsi="Arial" w:cs="Arial"/>
          <w:color w:val="222222"/>
          <w:sz w:val="22"/>
          <w:szCs w:val="22"/>
        </w:rPr>
        <w:t>En aplicación del artículo 58 del RD 887/2006, de 21 de julio, por el que se aprueba el Reglamento de la Ley General de Subvenciones, esta cuantía podrá ser ampliable y cuya aplicación a la concesión de estas subvenciones no requerirá de una nueva convocatoria adicional.</w:t>
      </w:r>
    </w:p>
    <w:p w:rsidR="005732BB" w:rsidRDefault="005732BB">
      <w:pPr>
        <w:shd w:val="clear" w:color="auto" w:fill="FFFFFF"/>
        <w:jc w:val="both"/>
      </w:pPr>
      <w:r>
        <w:rPr>
          <w:rFonts w:ascii="Arial" w:hAnsi="Arial" w:cs="Arial"/>
          <w:color w:val="222222"/>
          <w:sz w:val="22"/>
          <w:szCs w:val="22"/>
        </w:rPr>
        <w:t>La presente ayuda será aplicable siempre que exista dotación suficiente en el fondo destinado a esta ayuda en el momento de estudio de la misma, en los límites establecidos.</w:t>
      </w:r>
    </w:p>
    <w:p w:rsidR="005732BB" w:rsidRDefault="005732BB">
      <w:pPr>
        <w:shd w:val="clear" w:color="auto" w:fill="FFFFFF"/>
        <w:jc w:val="both"/>
      </w:pPr>
      <w:r>
        <w:rPr>
          <w:rFonts w:ascii="Arial" w:hAnsi="Arial" w:cs="Arial"/>
          <w:color w:val="222222"/>
          <w:sz w:val="22"/>
          <w:szCs w:val="22"/>
        </w:rPr>
        <w:t>Asimismo, se prevé que eventuales aumentos sobrevenidos en el crédito disponible, posibiliten una resolución complementaria de concesión que incluya solicitudes que, aun cumpliendo todos los requisitos, no hayan resultado beneficiarias por agotamiento del mismo.</w:t>
      </w:r>
    </w:p>
    <w:p w:rsidR="005732BB" w:rsidRDefault="005732BB">
      <w:pPr>
        <w:shd w:val="clear" w:color="auto" w:fill="FFFFFF"/>
        <w:jc w:val="both"/>
        <w:rPr>
          <w:rFonts w:ascii="Arial" w:hAnsi="Arial" w:cs="Arial"/>
          <w:b/>
          <w:color w:val="222222"/>
          <w:sz w:val="22"/>
          <w:szCs w:val="22"/>
        </w:rPr>
      </w:pPr>
    </w:p>
    <w:p w:rsidR="005732BB" w:rsidRDefault="005732BB">
      <w:pPr>
        <w:jc w:val="both"/>
      </w:pPr>
      <w:r>
        <w:rPr>
          <w:rFonts w:ascii="Arial" w:hAnsi="Arial" w:cs="Arial"/>
          <w:b/>
          <w:color w:val="222222"/>
          <w:sz w:val="22"/>
          <w:szCs w:val="22"/>
        </w:rPr>
        <w:t>Quinto. Requisitos de la unidad de convivencia</w:t>
      </w:r>
    </w:p>
    <w:p w:rsidR="005732BB" w:rsidRDefault="005732BB">
      <w:pPr>
        <w:jc w:val="both"/>
      </w:pPr>
      <w:r>
        <w:rPr>
          <w:rFonts w:ascii="Arial" w:hAnsi="Arial" w:cs="Arial"/>
          <w:sz w:val="22"/>
          <w:szCs w:val="22"/>
        </w:rPr>
        <w:t>- Las familias solicitantes pertenecientes al grupo A deberán acreditar la solicitud de ayudas a la Junta de Andalucía en la convocatoria mencionada en la base tercera y el cumplimiento de los requisitos exigidos, así como el importe correspondiente a las anualidades 2018, 2019 y 2020 que no han podido percibir por falta de disponibilidad presupuestaria.</w:t>
      </w:r>
    </w:p>
    <w:p w:rsidR="005732BB" w:rsidRDefault="005732BB">
      <w:pPr>
        <w:jc w:val="both"/>
        <w:rPr>
          <w:rFonts w:ascii="Arial" w:hAnsi="Arial" w:cs="Arial"/>
          <w:sz w:val="22"/>
          <w:szCs w:val="22"/>
        </w:rPr>
      </w:pPr>
    </w:p>
    <w:p w:rsidR="005732BB" w:rsidRDefault="005732BB">
      <w:pPr>
        <w:jc w:val="both"/>
      </w:pPr>
      <w:r>
        <w:rPr>
          <w:rFonts w:ascii="Arial" w:hAnsi="Arial" w:cs="Arial"/>
          <w:sz w:val="22"/>
          <w:szCs w:val="22"/>
        </w:rPr>
        <w:t>- Las pertenecientes al grupo B deberán acreditar:</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El destino la vivienda a domicilio habitual y permanente.</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No encontrarse en el supuesto de la no ocupación de la vivienda o presentar infracción grave en protocolo de convivencia, incumpliendo las normas de policía e higiene.</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Encontrarse los miembros de la unidad familiar empadronados en la vivienda, y residir en ella, y tener una antigüedad mínima de un año empadronado en el municipio de San Fernando. Y concretamente debe estar empadronado a la fecha de la solicitud.</w:t>
      </w:r>
    </w:p>
    <w:p w:rsidR="005732BB" w:rsidRDefault="005732BB">
      <w:pPr>
        <w:jc w:val="both"/>
      </w:pPr>
      <w:r>
        <w:rPr>
          <w:rFonts w:ascii="Arial" w:hAnsi="Arial" w:cs="Arial"/>
          <w:sz w:val="22"/>
          <w:szCs w:val="22"/>
        </w:rPr>
        <w:t>Con excepción de:</w:t>
      </w:r>
    </w:p>
    <w:p w:rsidR="005732BB" w:rsidRDefault="005732BB">
      <w:pPr>
        <w:jc w:val="both"/>
      </w:pPr>
      <w:r>
        <w:rPr>
          <w:rFonts w:ascii="Arial" w:hAnsi="Arial" w:cs="Arial"/>
          <w:sz w:val="22"/>
          <w:szCs w:val="22"/>
        </w:rPr>
        <w:t>- Las víctimas de violencia de género o violencia doméstica que se encuentren a fecha de presentación de la solicitud en un itinerario personalizado de atención a través de la Delegación de la Mujer.</w:t>
      </w:r>
    </w:p>
    <w:p w:rsidR="005732BB" w:rsidRDefault="005732BB">
      <w:pPr>
        <w:jc w:val="both"/>
      </w:pPr>
      <w:r>
        <w:rPr>
          <w:rFonts w:ascii="Arial" w:hAnsi="Arial" w:cs="Arial"/>
          <w:sz w:val="22"/>
          <w:szCs w:val="22"/>
        </w:rPr>
        <w:lastRenderedPageBreak/>
        <w:t>- Los mayores de edad independizados que hayan salido en el plazo máximo de un año inmediatamente anterior a la fecha de presentación de la solicitud, de pisos tutelados, centros de menores, centros penitenciarios, comunidades terapéuticas, u otras instituciones similares. En éste último caso, y siempre que sean menores de 35 años sin cargas familiares, se les eximirá de la obligatoriedad de llevar más de un año en la vivienda para la que se solicitan la ayuda.</w:t>
      </w:r>
    </w:p>
    <w:p w:rsidR="005732BB" w:rsidRDefault="005732BB">
      <w:pPr>
        <w:jc w:val="both"/>
      </w:pPr>
      <w:r>
        <w:rPr>
          <w:rFonts w:ascii="Arial" w:hAnsi="Arial" w:cs="Arial"/>
          <w:sz w:val="22"/>
          <w:szCs w:val="22"/>
        </w:rPr>
        <w:t>- Se considerará asimilados a residentes, los solicitantes que se hayan visto obligados a abandonar nuestro municipio, tras haber residido en él durante un tiempo continuado no inferior a 15 años, por motivos económicos/laborales o de estudios, de la persona solicitante o su pareja.</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Los integrantes de la unidad de convivencia deben estar inscritos en el Registro Municipal de Demandantes de Vivienda Protegida.</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Uno de los miembros de la unidad de convivencia debe ser titular del contrato de arrendamiento de la vivienda objeto de la ayuda. Este será mayor de 18 años y tendrá plena capacidad para obrar. En cualquier caso, la persona solicitante, de acuerdo con lo previsto en la base décimo segunda, podrá acreditar la firma del contrato siempre dentro de los plazos previstos en la décimo tercera h.</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Los ingresos brutos mensuales estimados de la unidad de convivencia calculados como valor medio de los últimos seis meses no pueden superar en 2,5 veces el IPREM (Indicador Público de Renta de Efectos Múltiples). Los ingresos de la unidad de convivencia se corregirán por la aplicación de coeficientes ponderados atendiendo a los criterios establecidos por la Junta de Andalucía en la materia.</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Que ningún miembro de la unidad de convivencia posea vivienda en propiedad, ni sea titular de ningún derecho real de uso o disfrute de una vivienda. Se valorarán excepcionalmente aquellas situaciones en que el propietario de la vivienda no pueda disponer de la misma, por pesar sobre ésta un derecho de uso a favor de terceras personas.</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Que la persona solicitante no adeude más de tres recibos de alquiler.</w:t>
      </w:r>
    </w:p>
    <w:p w:rsidR="005732BB" w:rsidRDefault="005732BB">
      <w:pPr>
        <w:shd w:val="clear" w:color="auto" w:fill="FFFFFF"/>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Que entre el arrendador y el arrendatario no exista relación de parentesco hasta tercer grado de consanguineidad.</w:t>
      </w:r>
    </w:p>
    <w:p w:rsidR="005732BB" w:rsidRDefault="005732BB">
      <w:pPr>
        <w:shd w:val="clear" w:color="auto" w:fill="FFFFFF"/>
        <w:jc w:val="both"/>
        <w:rPr>
          <w:rFonts w:ascii="Arial" w:hAnsi="Arial" w:cs="Arial"/>
          <w:sz w:val="22"/>
          <w:szCs w:val="22"/>
        </w:rPr>
      </w:pPr>
    </w:p>
    <w:p w:rsidR="005732BB" w:rsidRDefault="005732BB">
      <w:pPr>
        <w:jc w:val="both"/>
      </w:pPr>
      <w:r>
        <w:rPr>
          <w:rFonts w:ascii="Arial" w:hAnsi="Arial" w:cs="Arial"/>
          <w:b/>
          <w:sz w:val="22"/>
          <w:szCs w:val="22"/>
        </w:rPr>
        <w:t>Sexto. Características de las ayudas.</w:t>
      </w:r>
    </w:p>
    <w:p w:rsidR="005732BB" w:rsidRDefault="005732BB">
      <w:pPr>
        <w:jc w:val="both"/>
      </w:pPr>
      <w:r>
        <w:rPr>
          <w:rFonts w:ascii="Arial" w:hAnsi="Arial" w:cs="Arial"/>
          <w:sz w:val="22"/>
          <w:szCs w:val="22"/>
        </w:rPr>
        <w:t>- Para el grupo A, la ayuda consistirá en una subvención por el importe correspondiente a la ayuda autonómica no satisfecha por la Consejería de Fomento de la Junta de Andalucía por falta de disponibilidad presupuestaria.</w:t>
      </w:r>
    </w:p>
    <w:p w:rsidR="005732BB" w:rsidRDefault="005732BB">
      <w:pPr>
        <w:jc w:val="both"/>
      </w:pPr>
      <w:r>
        <w:rPr>
          <w:rFonts w:ascii="Arial" w:hAnsi="Arial" w:cs="Arial"/>
          <w:sz w:val="22"/>
          <w:szCs w:val="22"/>
        </w:rPr>
        <w:t>- Para el grupo B, se concederá una ayuda por unidad de convivencia, de hasta el 60% del importe mensual del alquiler de la vivienda arrendada, con un límite máximo de 240 euros mensuales, a los solicitantes que cumplan los requisitos establecidos en el Programa.</w:t>
      </w:r>
    </w:p>
    <w:p w:rsidR="005732BB" w:rsidRDefault="005732BB">
      <w:pPr>
        <w:jc w:val="both"/>
      </w:pPr>
      <w:r>
        <w:rPr>
          <w:rFonts w:ascii="Arial" w:hAnsi="Arial" w:cs="Arial"/>
          <w:sz w:val="22"/>
          <w:szCs w:val="22"/>
        </w:rPr>
        <w:t>Para el cálculo del porcentaje de ayuda correspondiente a cada solicitud, se atenderá a la suma de los ingresos de todos los miembros de la unidad familiar, estableciéndose los siguientes porcentajes:</w:t>
      </w:r>
    </w:p>
    <w:p w:rsidR="005732BB" w:rsidRDefault="005732BB">
      <w:pPr>
        <w:jc w:val="both"/>
      </w:pPr>
      <w:r>
        <w:rPr>
          <w:rFonts w:ascii="Arial" w:hAnsi="Arial" w:cs="Arial"/>
          <w:sz w:val="22"/>
          <w:szCs w:val="22"/>
        </w:rPr>
        <w:t>Ingresos U.F. (IPREM Ponderado) Porcentaje de Ayuda</w:t>
      </w:r>
    </w:p>
    <w:p w:rsidR="005732BB" w:rsidRDefault="005732BB">
      <w:pPr>
        <w:jc w:val="both"/>
      </w:pPr>
      <w:r>
        <w:rPr>
          <w:rFonts w:ascii="Arial" w:hAnsi="Arial" w:cs="Arial"/>
          <w:sz w:val="22"/>
          <w:szCs w:val="22"/>
        </w:rPr>
        <w:t>De 2 a 2,5 IPREM 40%</w:t>
      </w:r>
    </w:p>
    <w:p w:rsidR="005732BB" w:rsidRDefault="005732BB">
      <w:pPr>
        <w:jc w:val="both"/>
      </w:pPr>
      <w:r>
        <w:rPr>
          <w:rFonts w:ascii="Arial" w:hAnsi="Arial" w:cs="Arial"/>
          <w:sz w:val="22"/>
          <w:szCs w:val="22"/>
        </w:rPr>
        <w:t>De 1,50 a 2 IPREM 50%</w:t>
      </w:r>
    </w:p>
    <w:p w:rsidR="005732BB" w:rsidRDefault="005732BB">
      <w:pPr>
        <w:jc w:val="both"/>
      </w:pPr>
      <w:r>
        <w:rPr>
          <w:rFonts w:ascii="Arial" w:hAnsi="Arial" w:cs="Arial"/>
          <w:sz w:val="22"/>
          <w:szCs w:val="22"/>
        </w:rPr>
        <w:t>De 0 a 1,50 IPREM 60%</w:t>
      </w:r>
    </w:p>
    <w:p w:rsidR="005732BB" w:rsidRDefault="005732BB">
      <w:pPr>
        <w:jc w:val="both"/>
      </w:pPr>
      <w:r>
        <w:rPr>
          <w:rFonts w:ascii="Arial" w:hAnsi="Arial" w:cs="Arial"/>
          <w:sz w:val="22"/>
          <w:szCs w:val="22"/>
        </w:rPr>
        <w:t>Considerando los límites presupuestarios existentes y la situación del mercado de vivienda de alquiler en el municipio se establecen los siguientes límites:</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La cantidad máxima del alquiler susceptible de subvención no podrá superar los 400 euros, independientemente de que la renta sea más elevada.</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Los gastos de Comunidad, plaza de garaje, trastero, gas, agua, electricidad, así como demás cantidades asimiladas, no podrán ser incluidos en el importe fijado como renta de la vivienda y, por tanto, no serán subvencionables.</w:t>
      </w:r>
    </w:p>
    <w:p w:rsidR="005732BB" w:rsidRDefault="005732BB">
      <w:pPr>
        <w:jc w:val="both"/>
      </w:pPr>
      <w:r>
        <w:rPr>
          <w:rFonts w:ascii="Arial" w:hAnsi="Arial" w:cs="Arial"/>
          <w:sz w:val="22"/>
          <w:szCs w:val="22"/>
        </w:rPr>
        <w:t>•</w:t>
      </w:r>
      <w:r>
        <w:rPr>
          <w:rFonts w:ascii="Arial" w:eastAsia="Arial" w:hAnsi="Arial" w:cs="Arial"/>
          <w:sz w:val="22"/>
          <w:szCs w:val="22"/>
        </w:rPr>
        <w:t xml:space="preserve"> </w:t>
      </w:r>
      <w:r>
        <w:rPr>
          <w:rFonts w:ascii="Arial" w:hAnsi="Arial" w:cs="Arial"/>
          <w:sz w:val="22"/>
          <w:szCs w:val="22"/>
        </w:rPr>
        <w:t>Las ayudas se concederán por un plazo máximo de seis meses, pudiendo solicitarse dos ayudas anuales.</w:t>
      </w:r>
    </w:p>
    <w:p w:rsidR="005732BB" w:rsidRDefault="005732BB">
      <w:pPr>
        <w:spacing w:line="276" w:lineRule="auto"/>
        <w:jc w:val="both"/>
        <w:rPr>
          <w:rFonts w:ascii="Arial" w:hAnsi="Arial" w:cs="Arial"/>
          <w:sz w:val="22"/>
          <w:szCs w:val="22"/>
        </w:rPr>
      </w:pPr>
    </w:p>
    <w:p w:rsidR="005732BB" w:rsidRDefault="005732BB">
      <w:pPr>
        <w:spacing w:line="276" w:lineRule="auto"/>
        <w:jc w:val="both"/>
      </w:pPr>
      <w:r>
        <w:rPr>
          <w:rFonts w:ascii="Arial" w:hAnsi="Arial" w:cs="Arial"/>
          <w:b/>
          <w:sz w:val="22"/>
          <w:szCs w:val="22"/>
        </w:rPr>
        <w:t>Séptimo. Plazo de presentación de solicitudes</w:t>
      </w:r>
    </w:p>
    <w:p w:rsidR="005732BB" w:rsidRDefault="005732BB">
      <w:pPr>
        <w:jc w:val="both"/>
      </w:pPr>
      <w:r>
        <w:rPr>
          <w:rFonts w:ascii="Arial" w:hAnsi="Arial" w:cs="Arial"/>
          <w:sz w:val="22"/>
          <w:szCs w:val="22"/>
        </w:rPr>
        <w:t xml:space="preserve">Las solicitudes podrán presentarse en el plazo de 10 días hábiles desde la publicación de la convocatoria en el tablón municipal y en la página web del Ayuntamiento de San Fernando, </w:t>
      </w:r>
      <w:hyperlink r:id="rId8" w:history="1">
        <w:r>
          <w:rPr>
            <w:rStyle w:val="Hipervnculo"/>
          </w:rPr>
          <w:t>www.sanfernando.es</w:t>
        </w:r>
      </w:hyperlink>
      <w:r>
        <w:rPr>
          <w:rFonts w:ascii="Arial" w:hAnsi="Arial" w:cs="Arial"/>
          <w:sz w:val="22"/>
          <w:szCs w:val="22"/>
        </w:rPr>
        <w:t xml:space="preserve"> </w:t>
      </w:r>
    </w:p>
    <w:p w:rsidR="005732BB" w:rsidRDefault="005732BB">
      <w:pPr>
        <w:rPr>
          <w:rFonts w:ascii="Arial" w:hAnsi="Arial" w:cs="Arial"/>
          <w:sz w:val="22"/>
          <w:szCs w:val="22"/>
        </w:rPr>
      </w:pPr>
    </w:p>
    <w:p w:rsidR="005732BB" w:rsidRDefault="005732BB">
      <w:pPr>
        <w:jc w:val="center"/>
      </w:pPr>
      <w:r>
        <w:rPr>
          <w:rFonts w:ascii="Arial" w:hAnsi="Arial" w:cs="Arial"/>
          <w:sz w:val="22"/>
          <w:szCs w:val="22"/>
        </w:rPr>
        <w:t>San Fernando, a la fecha de la firma electrónica</w:t>
      </w:r>
    </w:p>
    <w:p w:rsidR="005732BB" w:rsidRDefault="005732BB">
      <w:pPr>
        <w:jc w:val="center"/>
        <w:rPr>
          <w:rFonts w:ascii="Arial" w:hAnsi="Arial" w:cs="Arial"/>
          <w:sz w:val="22"/>
          <w:szCs w:val="22"/>
        </w:rPr>
      </w:pPr>
    </w:p>
    <w:p w:rsidR="005732BB" w:rsidRDefault="005732BB">
      <w:pPr>
        <w:jc w:val="center"/>
      </w:pPr>
      <w:r>
        <w:rPr>
          <w:rFonts w:ascii="Arial" w:hAnsi="Arial" w:cs="Arial"/>
          <w:sz w:val="22"/>
          <w:szCs w:val="22"/>
        </w:rPr>
        <w:t>LA SRA. ALCALDESA-PRESIDENTA</w:t>
      </w:r>
    </w:p>
    <w:p w:rsidR="005732BB" w:rsidRDefault="005732BB">
      <w:pPr>
        <w:jc w:val="center"/>
      </w:pPr>
      <w:r>
        <w:rPr>
          <w:rFonts w:ascii="Arial" w:hAnsi="Arial" w:cs="Arial"/>
          <w:sz w:val="22"/>
          <w:szCs w:val="22"/>
        </w:rPr>
        <w:t>DEL EXCMO. E ILTMO. AYUNTAMIENTO</w:t>
      </w:r>
    </w:p>
    <w:p w:rsidR="005732BB" w:rsidRDefault="005732BB">
      <w:pPr>
        <w:jc w:val="center"/>
        <w:rPr>
          <w:rFonts w:ascii="Arial" w:hAnsi="Arial" w:cs="Arial"/>
          <w:sz w:val="22"/>
          <w:szCs w:val="22"/>
        </w:rPr>
      </w:pPr>
    </w:p>
    <w:p w:rsidR="005732BB" w:rsidRDefault="005732BB">
      <w:pPr>
        <w:jc w:val="center"/>
        <w:rPr>
          <w:rFonts w:ascii="Arial" w:hAnsi="Arial" w:cs="Arial"/>
          <w:sz w:val="22"/>
          <w:szCs w:val="22"/>
        </w:rPr>
      </w:pPr>
    </w:p>
    <w:p w:rsidR="005732BB" w:rsidRDefault="005732BB">
      <w:pPr>
        <w:jc w:val="center"/>
        <w:rPr>
          <w:rFonts w:ascii="Arial" w:hAnsi="Arial" w:cs="Arial"/>
          <w:sz w:val="22"/>
          <w:szCs w:val="22"/>
        </w:rPr>
      </w:pPr>
    </w:p>
    <w:p w:rsidR="005732BB" w:rsidRDefault="005732BB">
      <w:pPr>
        <w:jc w:val="both"/>
        <w:rPr>
          <w:rFonts w:ascii="Arial" w:hAnsi="Arial" w:cs="Arial"/>
          <w:sz w:val="22"/>
          <w:szCs w:val="22"/>
        </w:rPr>
      </w:pPr>
    </w:p>
    <w:p w:rsidR="005732BB" w:rsidRDefault="005732BB">
      <w:pPr>
        <w:jc w:val="both"/>
        <w:rPr>
          <w:rFonts w:ascii="Arial" w:hAnsi="Arial" w:cs="Arial"/>
          <w:sz w:val="22"/>
          <w:szCs w:val="22"/>
        </w:rPr>
      </w:pPr>
    </w:p>
    <w:p w:rsidR="005732BB" w:rsidRDefault="005732BB">
      <w:pPr>
        <w:jc w:val="both"/>
        <w:rPr>
          <w:rFonts w:ascii="Arial" w:hAnsi="Arial" w:cs="Arial"/>
          <w:sz w:val="24"/>
          <w:szCs w:val="24"/>
        </w:rPr>
      </w:pPr>
    </w:p>
    <w:p w:rsidR="005732BB" w:rsidRDefault="005732BB">
      <w:pPr>
        <w:jc w:val="both"/>
        <w:rPr>
          <w:rFonts w:ascii="Arial" w:hAnsi="Arial" w:cs="Arial"/>
          <w:sz w:val="24"/>
          <w:szCs w:val="24"/>
        </w:rPr>
      </w:pPr>
    </w:p>
    <w:p w:rsidR="005732BB" w:rsidRDefault="005732BB">
      <w:pPr>
        <w:jc w:val="both"/>
        <w:rPr>
          <w:rFonts w:ascii="Arial" w:hAnsi="Arial" w:cs="Arial"/>
          <w:sz w:val="24"/>
          <w:szCs w:val="24"/>
        </w:rPr>
      </w:pPr>
    </w:p>
    <w:p w:rsidR="005732BB" w:rsidRDefault="005732BB">
      <w:pPr>
        <w:jc w:val="both"/>
        <w:rPr>
          <w:rFonts w:ascii="Arial" w:hAnsi="Arial" w:cs="Arial"/>
          <w:sz w:val="24"/>
          <w:szCs w:val="24"/>
        </w:rPr>
      </w:pPr>
    </w:p>
    <w:p w:rsidR="005732BB" w:rsidRDefault="005732BB">
      <w:pPr>
        <w:jc w:val="both"/>
        <w:rPr>
          <w:rFonts w:ascii="Arial" w:hAnsi="Arial" w:cs="Arial"/>
          <w:sz w:val="24"/>
          <w:szCs w:val="24"/>
        </w:rPr>
      </w:pPr>
    </w:p>
    <w:p w:rsidR="005732BB" w:rsidRDefault="005732BB">
      <w:pPr>
        <w:jc w:val="both"/>
        <w:rPr>
          <w:rFonts w:ascii="Arial" w:hAnsi="Arial" w:cs="Arial"/>
          <w:sz w:val="24"/>
          <w:szCs w:val="24"/>
        </w:rPr>
      </w:pPr>
    </w:p>
    <w:sectPr w:rsidR="005732BB">
      <w:pgSz w:w="11906" w:h="16838"/>
      <w:pgMar w:top="1417" w:right="1701" w:bottom="1417" w:left="170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chitecture">
    <w:altName w:val="Arial Narrow"/>
    <w:charset w:val="00"/>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attachedTemplate r:id="rId1"/>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7D67DD"/>
    <w:rsid w:val="00402207"/>
    <w:rsid w:val="005732BB"/>
    <w:rsid w:val="007D67DD"/>
    <w:rsid w:val="00F110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val="es-ES_tradnl" w:eastAsia="zh-CN"/>
    </w:rPr>
  </w:style>
  <w:style w:type="paragraph" w:styleId="Ttulo1">
    <w:name w:val="heading 1"/>
    <w:basedOn w:val="Normal"/>
    <w:next w:val="Normal"/>
    <w:qFormat/>
    <w:pPr>
      <w:keepNext/>
      <w:numPr>
        <w:numId w:val="1"/>
      </w:numPr>
      <w:spacing w:line="360" w:lineRule="auto"/>
      <w:jc w:val="center"/>
      <w:outlineLvl w:val="0"/>
    </w:pPr>
    <w:rPr>
      <w:rFonts w:ascii="Arial" w:hAnsi="Arial" w:cs="Arial"/>
      <w:b/>
    </w:rPr>
  </w:style>
  <w:style w:type="paragraph" w:styleId="Ttulo2">
    <w:name w:val="heading 2"/>
    <w:basedOn w:val="Normal"/>
    <w:next w:val="Normal"/>
    <w:qFormat/>
    <w:pPr>
      <w:keepNext/>
      <w:numPr>
        <w:ilvl w:val="1"/>
        <w:numId w:val="1"/>
      </w:numPr>
      <w:spacing w:line="360" w:lineRule="auto"/>
      <w:jc w:val="both"/>
      <w:outlineLvl w:val="1"/>
    </w:pPr>
    <w:rPr>
      <w:rFonts w:ascii="Arial" w:hAnsi="Arial" w:cs="Arial"/>
      <w:b/>
    </w:rPr>
  </w:style>
  <w:style w:type="paragraph" w:styleId="Ttulo3">
    <w:name w:val="heading 3"/>
    <w:basedOn w:val="Normal"/>
    <w:next w:val="Normal"/>
    <w:qFormat/>
    <w:pPr>
      <w:keepNext/>
      <w:numPr>
        <w:ilvl w:val="2"/>
        <w:numId w:val="1"/>
      </w:numPr>
      <w:spacing w:line="360" w:lineRule="auto"/>
      <w:jc w:val="right"/>
      <w:outlineLvl w:val="2"/>
    </w:pPr>
    <w:rPr>
      <w:b/>
    </w:rPr>
  </w:style>
  <w:style w:type="paragraph" w:styleId="Ttulo4">
    <w:name w:val="heading 4"/>
    <w:basedOn w:val="Normal"/>
    <w:next w:val="Normal"/>
    <w:qFormat/>
    <w:pPr>
      <w:keepNext/>
      <w:numPr>
        <w:ilvl w:val="3"/>
        <w:numId w:val="1"/>
      </w:numPr>
      <w:ind w:left="7230"/>
      <w:outlineLvl w:val="3"/>
    </w:pPr>
    <w:rPr>
      <w:rFonts w:ascii="Arial" w:hAnsi="Arial" w:cs="Arial"/>
      <w:b/>
    </w:rPr>
  </w:style>
  <w:style w:type="paragraph" w:styleId="Ttulo5">
    <w:name w:val="heading 5"/>
    <w:basedOn w:val="Normal"/>
    <w:next w:val="Normal"/>
    <w:qFormat/>
    <w:pPr>
      <w:keepNext/>
      <w:numPr>
        <w:ilvl w:val="4"/>
        <w:numId w:val="1"/>
      </w:numPr>
      <w:jc w:val="right"/>
      <w:outlineLvl w:val="4"/>
    </w:pPr>
    <w:rPr>
      <w:rFonts w:ascii="Arial" w:hAnsi="Arial" w:cs="Arial"/>
      <w:b/>
      <w:sz w:val="24"/>
    </w:rPr>
  </w:style>
  <w:style w:type="paragraph" w:styleId="Ttulo6">
    <w:name w:val="heading 6"/>
    <w:basedOn w:val="Normal"/>
    <w:next w:val="Normal"/>
    <w:qFormat/>
    <w:pPr>
      <w:keepNext/>
      <w:numPr>
        <w:ilvl w:val="5"/>
        <w:numId w:val="1"/>
      </w:numPr>
      <w:spacing w:line="360" w:lineRule="auto"/>
      <w:jc w:val="right"/>
      <w:outlineLvl w:val="5"/>
    </w:pPr>
    <w:rPr>
      <w:rFonts w:ascii="Arial" w:hAnsi="Arial" w:cs="Arial"/>
      <w:sz w:val="24"/>
    </w:rPr>
  </w:style>
  <w:style w:type="paragraph" w:styleId="Ttulo7">
    <w:name w:val="heading 7"/>
    <w:basedOn w:val="Normal"/>
    <w:next w:val="Normal"/>
    <w:qFormat/>
    <w:pPr>
      <w:keepNext/>
      <w:numPr>
        <w:ilvl w:val="6"/>
        <w:numId w:val="1"/>
      </w:numPr>
      <w:pBdr>
        <w:top w:val="single" w:sz="4" w:space="1" w:color="000000"/>
        <w:left w:val="none" w:sz="0" w:space="0" w:color="000000"/>
        <w:bottom w:val="none" w:sz="0" w:space="0" w:color="000000"/>
        <w:right w:val="none" w:sz="0" w:space="0" w:color="000000"/>
      </w:pBdr>
      <w:jc w:val="center"/>
      <w:outlineLvl w:val="6"/>
    </w:pPr>
    <w:rPr>
      <w:rFonts w:ascii="Architecture" w:hAnsi="Architecture" w:cs="Architecture"/>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Arial" w:eastAsia="Times New Roman" w:hAnsi="Arial" w:cs="Aria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8z0">
    <w:name w:val="WW8Num8z0"/>
  </w:style>
  <w:style w:type="character" w:customStyle="1" w:styleId="WW8Num9z0">
    <w:name w:val="WW8Num9z0"/>
  </w:style>
  <w:style w:type="character" w:customStyle="1" w:styleId="WW8Num10z0">
    <w:name w:val="WW8Num10z0"/>
    <w:rPr>
      <w:rFonts w:ascii="Symbol" w:eastAsia="Times New Roman" w:hAnsi="Symbol"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Times New Roman" w:hAnsi="Times New Roman" w:cs="Times New Roman" w:hint="default"/>
    </w:rPr>
  </w:style>
  <w:style w:type="character" w:customStyle="1" w:styleId="WW8Num13z0">
    <w:name w:val="WW8Num13z0"/>
  </w:style>
  <w:style w:type="character" w:customStyle="1" w:styleId="WW8Num14z0">
    <w:name w:val="WW8Num14z0"/>
    <w:rPr>
      <w:rFonts w:ascii="Symbol" w:hAnsi="Symbol" w:cs="Symbol" w:hint="default"/>
    </w:rPr>
  </w:style>
  <w:style w:type="character" w:customStyle="1" w:styleId="WW8Num15z0">
    <w:name w:val="WW8Num15z0"/>
    <w:rPr>
      <w:rFonts w:ascii="Symbol" w:hAnsi="Symbol" w:cs="Symbol" w:hint="default"/>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WW8Num17z0">
    <w:name w:val="WW8Num17z0"/>
    <w:rPr>
      <w:rFonts w:ascii="Arial" w:eastAsia="Times New Roman" w:hAnsi="Arial" w:cs="Aria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Symbol" w:hAnsi="Symbol" w:cs="Symbol" w:hint="default"/>
      <w:sz w:val="16"/>
    </w:rPr>
  </w:style>
  <w:style w:type="character" w:customStyle="1" w:styleId="WW8Num19z0">
    <w:name w:val="WW8Num19z0"/>
    <w:rPr>
      <w:rFonts w:ascii="Symbol" w:hAnsi="Symbol" w:cs="Symbol" w:hint="default"/>
    </w:rPr>
  </w:style>
  <w:style w:type="character" w:customStyle="1" w:styleId="WW8Num20z0">
    <w:name w:val="WW8Num20z0"/>
    <w:rPr>
      <w:rFonts w:ascii="Symbol" w:eastAsia="Times New Roman" w:hAnsi="Symbol" w:cs="Times New Roman"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rPr>
      <w:rFonts w:hint="default"/>
    </w:rPr>
  </w:style>
  <w:style w:type="character" w:customStyle="1" w:styleId="WW8Num22z0">
    <w:name w:val="WW8Num22z0"/>
    <w:rPr>
      <w:rFonts w:ascii="Symbol" w:hAnsi="Symbol" w:cs="Symbol" w:hint="default"/>
    </w:rPr>
  </w:style>
  <w:style w:type="character" w:customStyle="1" w:styleId="WW8Num23z0">
    <w:name w:val="WW8Num23z0"/>
    <w:rPr>
      <w:rFonts w:ascii="Symbol" w:hAnsi="Symbol" w:cs="Symbol" w:hint="default"/>
    </w:rPr>
  </w:style>
  <w:style w:type="character" w:customStyle="1" w:styleId="WW8Num24z0">
    <w:name w:val="WW8Num24z0"/>
    <w:rPr>
      <w:rFonts w:ascii="Arial" w:eastAsia="Times New Roman" w:hAnsi="Arial" w:cs="Aria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hAnsi="Symbol" w:cs="Symbol" w:hint="default"/>
    </w:rPr>
  </w:style>
  <w:style w:type="character" w:customStyle="1" w:styleId="WW8Num26z0">
    <w:name w:val="WW8Num26z0"/>
    <w:rPr>
      <w:rFonts w:ascii="Symbol" w:hAnsi="Symbol" w:cs="Symbol" w:hint="default"/>
    </w:rPr>
  </w:style>
  <w:style w:type="character" w:customStyle="1" w:styleId="WW8Num27z0">
    <w:name w:val="WW8Num27z0"/>
    <w:rPr>
      <w:rFonts w:ascii="Symbol" w:hAnsi="Symbol" w:cs="Symbol" w:hint="default"/>
    </w:rPr>
  </w:style>
  <w:style w:type="character" w:customStyle="1" w:styleId="WW8Num28z0">
    <w:name w:val="WW8Num28z0"/>
    <w:rPr>
      <w:rFonts w:hint="default"/>
    </w:rPr>
  </w:style>
  <w:style w:type="character" w:customStyle="1" w:styleId="WW8Num29z0">
    <w:name w:val="WW8Num29z0"/>
  </w:style>
  <w:style w:type="character" w:customStyle="1" w:styleId="WW8Num30z0">
    <w:name w:val="WW8Num30z0"/>
  </w:style>
  <w:style w:type="character" w:customStyle="1" w:styleId="WW8Num31z0">
    <w:name w:val="WW8Num31z0"/>
  </w:style>
  <w:style w:type="character" w:customStyle="1" w:styleId="WW8Num32z0">
    <w:name w:val="WW8Num32z0"/>
    <w:rPr>
      <w:rFonts w:ascii="Symbol" w:hAnsi="Symbol" w:cs="Symbol" w:hint="default"/>
    </w:rPr>
  </w:style>
  <w:style w:type="character" w:customStyle="1" w:styleId="WW8Num33z0">
    <w:name w:val="WW8Num33z0"/>
    <w:rPr>
      <w:rFonts w:ascii="Times New Roman" w:hAnsi="Times New Roman" w:cs="Times New Roman" w:hint="default"/>
    </w:rPr>
  </w:style>
  <w:style w:type="character" w:customStyle="1" w:styleId="WW8Num34z0">
    <w:name w:val="WW8Num34z0"/>
    <w:rPr>
      <w:rFonts w:ascii="Symbol" w:hAnsi="Symbol" w:cs="Symbol" w:hint="default"/>
    </w:rPr>
  </w:style>
  <w:style w:type="character" w:customStyle="1" w:styleId="WW8Num35z0">
    <w:name w:val="WW8Num35z0"/>
    <w:rPr>
      <w:rFonts w:ascii="Arial" w:eastAsia="Times New Roman" w:hAnsi="Arial" w:cs="Aria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36z0">
    <w:name w:val="WW8Num36z0"/>
    <w:rPr>
      <w:rFonts w:ascii="Symbol" w:hAnsi="Symbol" w:cs="Symbol" w:hint="default"/>
      <w:sz w:val="20"/>
    </w:rPr>
  </w:style>
  <w:style w:type="character" w:customStyle="1" w:styleId="WW8Num36z1">
    <w:name w:val="WW8Num36z1"/>
    <w:rPr>
      <w:rFonts w:ascii="Courier New" w:hAnsi="Courier New" w:cs="Courier New" w:hint="default"/>
      <w:sz w:val="20"/>
    </w:rPr>
  </w:style>
  <w:style w:type="character" w:customStyle="1" w:styleId="WW8Num36z2">
    <w:name w:val="WW8Num36z2"/>
    <w:rPr>
      <w:rFonts w:ascii="Wingdings" w:hAnsi="Wingdings" w:cs="Wingdings" w:hint="default"/>
      <w:sz w:val="20"/>
    </w:rPr>
  </w:style>
  <w:style w:type="character" w:customStyle="1" w:styleId="WW8Num37z0">
    <w:name w:val="WW8Num37z0"/>
    <w:rPr>
      <w:rFonts w:ascii="Times New Roman" w:hAnsi="Times New Roman" w:cs="Times New Roman" w:hint="default"/>
    </w:rPr>
  </w:style>
  <w:style w:type="character" w:customStyle="1" w:styleId="WW8Num38z0">
    <w:name w:val="WW8Num38z0"/>
    <w:rPr>
      <w:rFonts w:ascii="Arial" w:eastAsia="Times New Roman" w:hAnsi="Arial" w:cs="Aria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8z3">
    <w:name w:val="WW8Num38z3"/>
    <w:rPr>
      <w:rFonts w:ascii="Symbol" w:hAnsi="Symbol" w:cs="Symbol" w:hint="default"/>
    </w:rPr>
  </w:style>
  <w:style w:type="character" w:customStyle="1" w:styleId="WW8Num39z0">
    <w:name w:val="WW8Num39z0"/>
  </w:style>
  <w:style w:type="character" w:customStyle="1" w:styleId="WW8Num40z0">
    <w:name w:val="WW8Num40z0"/>
    <w:rPr>
      <w:rFonts w:ascii="Times New Roman" w:eastAsia="Times New Roman" w:hAnsi="Times New Roman" w:cs="Times New Roman"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Symbol" w:hAnsi="Symbol" w:cs="Symbol" w:hint="default"/>
    </w:rPr>
  </w:style>
  <w:style w:type="character" w:customStyle="1" w:styleId="WW8Num42z0">
    <w:name w:val="WW8Num42z0"/>
    <w:rPr>
      <w:rFonts w:ascii="Times New Roman" w:hAnsi="Times New Roman" w:cs="Times New Roman" w:hint="default"/>
    </w:rPr>
  </w:style>
  <w:style w:type="character" w:customStyle="1" w:styleId="Fuentedeprrafopredeter1">
    <w:name w:val="Fuente de párrafo predeter.1"/>
  </w:style>
  <w:style w:type="character" w:customStyle="1" w:styleId="EncabezadoCar">
    <w:name w:val="Encabezado Car"/>
    <w:rPr>
      <w:lang w:val="es-ES_tradnl"/>
    </w:rPr>
  </w:style>
  <w:style w:type="character" w:customStyle="1" w:styleId="PiedepginaCar">
    <w:name w:val="Pie de página Car"/>
    <w:rPr>
      <w:lang w:val="es-ES_tradnl"/>
    </w:rPr>
  </w:style>
  <w:style w:type="character" w:styleId="Hipervnculo">
    <w:name w:val="Hyperlink"/>
    <w:rPr>
      <w:color w:val="0000FF"/>
      <w:u w:val="single"/>
    </w:rPr>
  </w:style>
  <w:style w:type="character" w:styleId="Hipervnculovisitado">
    <w:name w:val="FollowedHyperlink"/>
    <w:rPr>
      <w:color w:val="8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line="360" w:lineRule="auto"/>
      <w:jc w:val="both"/>
    </w:pPr>
    <w:rPr>
      <w:rFonts w:ascii="Arial" w:hAnsi="Arial" w:cs="Arial"/>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spacing w:line="360" w:lineRule="auto"/>
      <w:ind w:left="3969" w:hanging="850"/>
      <w:jc w:val="both"/>
    </w:pPr>
    <w:rPr>
      <w:rFonts w:ascii="Arial" w:hAnsi="Arial" w:cs="Arial"/>
    </w:rPr>
  </w:style>
  <w:style w:type="paragraph" w:customStyle="1" w:styleId="Textoindependiente21">
    <w:name w:val="Texto independiente 21"/>
    <w:basedOn w:val="Normal"/>
    <w:pPr>
      <w:jc w:val="both"/>
    </w:pPr>
    <w:rPr>
      <w:rFonts w:ascii="Arial" w:hAnsi="Arial" w:cs="Arial"/>
      <w:sz w:val="24"/>
    </w:rPr>
  </w:style>
  <w:style w:type="paragraph" w:customStyle="1" w:styleId="Sangra2detindependiente1">
    <w:name w:val="Sangría 2 de t. independiente1"/>
    <w:basedOn w:val="Normal"/>
    <w:pPr>
      <w:ind w:left="709"/>
      <w:jc w:val="both"/>
    </w:pPr>
    <w:rPr>
      <w:rFonts w:ascii="Arial" w:hAnsi="Arial" w:cs="Arial"/>
    </w:rPr>
  </w:style>
  <w:style w:type="paragraph" w:styleId="Textodeglobo">
    <w:name w:val="Balloon Text"/>
    <w:basedOn w:val="Normal"/>
    <w:rPr>
      <w:rFonts w:ascii="Tahoma" w:hAnsi="Tahoma" w:cs="Tahoma"/>
      <w:sz w:val="16"/>
      <w:szCs w:val="16"/>
    </w:rPr>
  </w:style>
  <w:style w:type="paragraph" w:customStyle="1" w:styleId="western">
    <w:name w:val="western"/>
    <w:basedOn w:val="Normal"/>
    <w:pPr>
      <w:spacing w:before="100" w:after="119" w:line="102" w:lineRule="atLeast"/>
    </w:pPr>
    <w:rPr>
      <w:rFonts w:ascii="Tahoma" w:hAnsi="Tahoma" w:cs="Tahoma"/>
      <w:color w:val="000000"/>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nfernando.es/" TargetMode="External"/><Relationship Id="rId3" Type="http://schemas.openxmlformats.org/officeDocument/2006/relationships/settings" Target="settings.xml"/><Relationship Id="rId7" Type="http://schemas.openxmlformats.org/officeDocument/2006/relationships/hyperlink" Target="http://www.esi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fernando.es/"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NORM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1589</Words>
  <Characters>8740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Cumplimentado la documentación requerida sobre las  Obras de Reparacion 512 vvdas municipales 4ª Fase Madariaga que como consta en el libro de Actas del Consejo de Admon, este previo informe de la mesa de contratación acordó la  adjudicación a la empresa</vt:lpstr>
    </vt:vector>
  </TitlesOfParts>
  <Company/>
  <LinksUpToDate>false</LinksUpToDate>
  <CharactersWithSpaces>10309</CharactersWithSpaces>
  <SharedDoc>false</SharedDoc>
  <HLinks>
    <vt:vector size="18" baseType="variant">
      <vt:variant>
        <vt:i4>7733373</vt:i4>
      </vt:variant>
      <vt:variant>
        <vt:i4>6</vt:i4>
      </vt:variant>
      <vt:variant>
        <vt:i4>0</vt:i4>
      </vt:variant>
      <vt:variant>
        <vt:i4>5</vt:i4>
      </vt:variant>
      <vt:variant>
        <vt:lpwstr>http://www.sanfernando.es/</vt:lpwstr>
      </vt:variant>
      <vt:variant>
        <vt:lpwstr/>
      </vt:variant>
      <vt:variant>
        <vt:i4>786445</vt:i4>
      </vt:variant>
      <vt:variant>
        <vt:i4>3</vt:i4>
      </vt:variant>
      <vt:variant>
        <vt:i4>0</vt:i4>
      </vt:variant>
      <vt:variant>
        <vt:i4>5</vt:i4>
      </vt:variant>
      <vt:variant>
        <vt:lpwstr>http://www.esisa.es/</vt:lpwstr>
      </vt:variant>
      <vt:variant>
        <vt:lpwstr/>
      </vt:variant>
      <vt:variant>
        <vt:i4>7733373</vt:i4>
      </vt:variant>
      <vt:variant>
        <vt:i4>0</vt:i4>
      </vt:variant>
      <vt:variant>
        <vt:i4>0</vt:i4>
      </vt:variant>
      <vt:variant>
        <vt:i4>5</vt:i4>
      </vt:variant>
      <vt:variant>
        <vt:lpwstr>http://www.sanfernando.es/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Cumplimentado la documentación requerida sobre las  Obras de Reparacion 512 vvdas municipales 4ª Fase Madariaga que como consta en el libro de Actas del Consejo de Admon, este previo informe de la mesa de contratación acordó la  adjudicación a la empresa</dc:title>
  <dc:creator>Fernando Rodriguez Mariscal</dc:creator>
  <cp:lastModifiedBy>dlinares</cp:lastModifiedBy>
  <cp:revision>2</cp:revision>
  <cp:lastPrinted>2020-03-06T07:10:00Z</cp:lastPrinted>
  <dcterms:created xsi:type="dcterms:W3CDTF">2020-10-13T08:38:00Z</dcterms:created>
  <dcterms:modified xsi:type="dcterms:W3CDTF">2020-10-13T08:38:00Z</dcterms:modified>
</cp:coreProperties>
</file>