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360"/>
        <w:ind w:right="-496" w:hanging="0"/>
        <w:jc w:val="both"/>
        <w:rPr>
          <w:rFonts w:ascii="Arial" w:hAnsi="Arial" w:cs="Arial"/>
          <w:b/>
          <w:b/>
          <w:bCs/>
          <w:kern w:val="2"/>
          <w:sz w:val="20"/>
          <w:szCs w:val="20"/>
          <w:lang w:eastAsia="ar-SA"/>
        </w:rPr>
      </w:pPr>
      <w:r>
        <w:rPr>
          <w:rFonts w:cs="Arial" w:ascii="Arial" w:hAnsi="Arial"/>
          <w:b/>
          <w:bCs/>
          <w:kern w:val="2"/>
          <w:sz w:val="20"/>
          <w:szCs w:val="20"/>
          <w:lang w:eastAsia="ar-SA"/>
        </w:rPr>
      </w:r>
    </w:p>
    <w:p>
      <w:pPr>
        <w:pStyle w:val="Normal"/>
        <w:widowControl w:val="false"/>
        <w:suppressAutoHyphens w:val="true"/>
        <w:spacing w:lineRule="auto" w:line="360"/>
        <w:ind w:right="-496" w:hanging="0"/>
        <w:jc w:val="both"/>
        <w:rPr>
          <w:rFonts w:ascii="Arial" w:hAnsi="Arial" w:cs="Arial"/>
          <w:b/>
          <w:b/>
          <w:bCs/>
          <w:kern w:val="2"/>
          <w:sz w:val="20"/>
          <w:szCs w:val="20"/>
          <w:lang w:eastAsia="ar-SA"/>
        </w:rPr>
      </w:pPr>
      <w:r>
        <w:rPr>
          <w:rFonts w:cs="Arial" w:ascii="Arial" w:hAnsi="Arial"/>
          <w:b/>
          <w:bCs/>
          <w:kern w:val="2"/>
          <w:sz w:val="20"/>
          <w:szCs w:val="20"/>
          <w:lang w:eastAsia="ar-SA"/>
        </w:rPr>
      </w:r>
    </w:p>
    <w:p>
      <w:pPr>
        <w:pStyle w:val="Normal"/>
        <w:widowControl w:val="false"/>
        <w:suppressAutoHyphens w:val="true"/>
        <w:ind w:right="-493" w:hanging="0"/>
        <w:jc w:val="center"/>
        <w:rPr>
          <w:rFonts w:ascii="Arial" w:hAnsi="Arial" w:cs="Arial"/>
          <w:b/>
          <w:b/>
          <w:bCs/>
          <w:kern w:val="2"/>
          <w:lang w:eastAsia="ar-SA"/>
        </w:rPr>
      </w:pPr>
      <w:r>
        <w:rPr>
          <w:rFonts w:cs="Arial" w:ascii="Arial" w:hAnsi="Arial"/>
          <w:b/>
          <w:bCs/>
          <w:kern w:val="2"/>
          <w:lang w:eastAsia="ar-SA"/>
        </w:rPr>
        <w:t>BASES QUE RIGEN LA CONVOCATORIA DE SUBVENCIONES EN MATERIA DE CULTURA PARA LA DOTACIÓN DE RECURSOS A LOS MUSEOS UBICADOS EN LA COMARCA DEL JILOCA.</w:t>
      </w:r>
    </w:p>
    <w:p>
      <w:pPr>
        <w:pStyle w:val="Normal"/>
        <w:spacing w:lineRule="auto" w:line="360"/>
        <w:ind w:firstLine="284"/>
        <w:jc w:val="both"/>
        <w:rPr/>
      </w:pPr>
      <w:r>
        <w:rPr/>
      </w:r>
    </w:p>
    <w:p>
      <w:pPr>
        <w:pStyle w:val="NormalWeb"/>
        <w:shd w:val="clear" w:color="auto" w:fill="FFFFFF"/>
        <w:ind w:left="528" w:right="71" w:firstLine="284"/>
        <w:rPr>
          <w:rFonts w:ascii="Arial" w:hAnsi="Arial"/>
          <w:b/>
          <w:b/>
          <w:sz w:val="24"/>
          <w:u w:val="single"/>
        </w:rPr>
      </w:pPr>
      <w:r>
        <w:rPr>
          <w:rFonts w:ascii="Arial" w:hAnsi="Arial"/>
          <w:b/>
          <w:sz w:val="24"/>
          <w:u w:val="single"/>
        </w:rPr>
        <w:t>PRIMERA.- OBJETO Y FINALIDAD</w:t>
      </w:r>
    </w:p>
    <w:p>
      <w:pPr>
        <w:pStyle w:val="NormalWeb"/>
        <w:shd w:val="clear" w:color="auto" w:fill="FFFFFF"/>
        <w:ind w:left="528" w:right="71" w:firstLine="284"/>
        <w:rPr>
          <w:rFonts w:ascii="Arial" w:hAnsi="Arial"/>
          <w:b/>
          <w:b/>
          <w:szCs w:val="20"/>
          <w:u w:val="single"/>
        </w:rPr>
      </w:pPr>
      <w:r>
        <w:rPr>
          <w:rFonts w:ascii="Arial" w:hAnsi="Arial"/>
          <w:b/>
          <w:szCs w:val="20"/>
          <w:u w:val="single"/>
        </w:rPr>
      </w:r>
    </w:p>
    <w:p>
      <w:pPr>
        <w:pStyle w:val="NormalWeb"/>
        <w:shd w:val="clear" w:color="auto" w:fill="FFFFFF"/>
        <w:ind w:left="0" w:right="71" w:firstLine="851"/>
        <w:rPr>
          <w:rFonts w:ascii="Arial" w:hAnsi="Arial"/>
          <w:sz w:val="22"/>
          <w:szCs w:val="22"/>
        </w:rPr>
      </w:pPr>
      <w:r>
        <w:rPr>
          <w:rFonts w:ascii="Arial" w:hAnsi="Arial"/>
          <w:sz w:val="22"/>
          <w:szCs w:val="22"/>
        </w:rPr>
        <w:t>Es objeto de las presentes bases regular la convocatoria, en concurrencia competitiva, de subvenciones a otorgar por la Comarca del Jiloca en materia de Cultura durante el año 2020. El objeto de subvención es dotar a los museos ubicadas en la Comarca del Jiloca de los recursos necesarios para llevar acabo su actividad, ya sean materiales, didácticos, humanos o informáticos, y poder así cubrir las necesidades existentes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Podrá ser objeto de subvención la adquisición de recursos necesarios para la realización de la actividad de los distintos museos que se encuentran en el ámbito territorial de la Comarca del Jiloca, según gastos referidos en el apartado cuarto de la presente convocatoria.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528" w:right="71" w:firstLine="284"/>
        <w:rPr>
          <w:rFonts w:ascii="Arial" w:hAnsi="Arial"/>
          <w:b/>
          <w:b/>
          <w:sz w:val="24"/>
          <w:u w:val="single"/>
        </w:rPr>
      </w:pPr>
      <w:r>
        <w:rPr>
          <w:rFonts w:ascii="Arial" w:hAnsi="Arial"/>
          <w:b/>
          <w:sz w:val="24"/>
          <w:u w:val="single"/>
        </w:rPr>
        <w:t>SEGUNDA.- BENEFICIARIOS Y REQUISITOS.</w:t>
      </w:r>
    </w:p>
    <w:p>
      <w:pPr>
        <w:pStyle w:val="NormalWeb"/>
        <w:shd w:val="clear" w:color="auto" w:fill="FFFFFF"/>
        <w:ind w:left="851" w:right="0" w:hanging="0"/>
        <w:rPr>
          <w:rFonts w:ascii="Arial" w:hAnsi="Arial"/>
          <w:b/>
          <w:b/>
          <w:sz w:val="22"/>
          <w:szCs w:val="22"/>
          <w:u w:val="single"/>
        </w:rPr>
      </w:pPr>
      <w:r>
        <w:rPr>
          <w:rFonts w:ascii="Arial" w:hAnsi="Arial"/>
          <w:b/>
          <w:sz w:val="22"/>
          <w:szCs w:val="22"/>
          <w:u w:val="single"/>
        </w:rPr>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Beneficiarios</w:t>
      </w:r>
    </w:p>
    <w:p>
      <w:pPr>
        <w:pStyle w:val="NormalWeb"/>
        <w:shd w:val="clear" w:color="auto" w:fill="FFFFFF"/>
        <w:ind w:left="0" w:right="71" w:firstLine="851"/>
        <w:rPr>
          <w:rFonts w:ascii="Arial" w:hAnsi="Arial"/>
          <w:sz w:val="22"/>
          <w:szCs w:val="22"/>
        </w:rPr>
      </w:pPr>
      <w:r>
        <w:rPr>
          <w:rFonts w:ascii="Arial" w:hAnsi="Arial"/>
          <w:sz w:val="22"/>
          <w:szCs w:val="22"/>
        </w:rPr>
        <w:t>Tendrán la consideración de beneficiarios de estas ayudas económicas, los museos de la Comarca del Jiloca que cumplan con los requisitos y realicen un listado de recursos en el que se incluyan los gastos de la adquisición de estos recursos.</w:t>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Línea de actuación</w:t>
      </w:r>
    </w:p>
    <w:p>
      <w:pPr>
        <w:pStyle w:val="NormalWeb"/>
        <w:shd w:val="clear" w:color="auto" w:fill="FFFFFF"/>
        <w:ind w:left="0" w:right="71" w:firstLine="851"/>
        <w:rPr>
          <w:rFonts w:ascii="Arial" w:hAnsi="Arial"/>
          <w:sz w:val="22"/>
          <w:szCs w:val="22"/>
        </w:rPr>
      </w:pPr>
      <w:r>
        <w:rPr>
          <w:rFonts w:ascii="Arial" w:hAnsi="Arial"/>
          <w:sz w:val="22"/>
          <w:szCs w:val="22"/>
        </w:rPr>
        <w:t>Dotar de recursos necesarios para el desarrollo de la actividad de museos de la Comarca del Jiloca.</w:t>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Requisitos</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No incurrir en ninguna de las prohibiciones que se establecen en el art. 13 de la Ley 38/2003, General de Subvenciones.</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Hallarse al corriente de las obligaciones Tributarias y con la Seguridad Social y con la Hacienda de la Comunidad Autónoma de Aragón.</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Tener su sede social en alguno de los municipios de la Comarca del Jiloca.</w:t>
      </w:r>
    </w:p>
    <w:p>
      <w:pPr>
        <w:pStyle w:val="NormalWeb"/>
        <w:shd w:val="clear" w:color="auto" w:fill="FFFFFF"/>
        <w:ind w:left="528" w:right="71" w:firstLine="284"/>
        <w:rPr>
          <w:rFonts w:ascii="Arial" w:hAnsi="Arial"/>
          <w:b/>
          <w:b/>
          <w:sz w:val="24"/>
          <w:u w:val="single"/>
        </w:rPr>
      </w:pPr>
      <w:r>
        <w:rPr>
          <w:rFonts w:ascii="Arial" w:hAnsi="Arial"/>
          <w:b/>
          <w:sz w:val="24"/>
          <w:u w:val="single"/>
        </w:rPr>
      </w:r>
    </w:p>
    <w:p>
      <w:pPr>
        <w:pStyle w:val="NormalWeb"/>
        <w:shd w:val="clear" w:color="auto" w:fill="FFFFFF"/>
        <w:ind w:left="528" w:right="71" w:firstLine="284"/>
        <w:rPr>
          <w:rFonts w:ascii="Arial" w:hAnsi="Arial"/>
          <w:b/>
          <w:b/>
          <w:sz w:val="24"/>
          <w:u w:val="single"/>
        </w:rPr>
      </w:pPr>
      <w:r>
        <w:rPr>
          <w:rFonts w:ascii="Arial" w:hAnsi="Arial"/>
          <w:b/>
          <w:sz w:val="24"/>
          <w:u w:val="single"/>
        </w:rPr>
        <w:t>TERCERA.- PRESENTACIÓN DE SOLICITUDES Y DOCUMENTACIÓN.</w:t>
      </w:r>
    </w:p>
    <w:p>
      <w:pPr>
        <w:pStyle w:val="NormalWeb"/>
        <w:shd w:val="clear" w:color="auto" w:fill="FFFFFF"/>
        <w:ind w:left="528" w:right="71" w:firstLine="284"/>
        <w:rPr>
          <w:rFonts w:ascii="Arial" w:hAnsi="Arial"/>
          <w:b/>
          <w:b/>
          <w:sz w:val="24"/>
          <w:u w:val="single"/>
        </w:rPr>
      </w:pPr>
      <w:r>
        <w:rPr>
          <w:rFonts w:ascii="Arial" w:hAnsi="Arial"/>
          <w:b/>
          <w:sz w:val="24"/>
          <w:u w:val="single"/>
        </w:rPr>
      </w:r>
    </w:p>
    <w:p>
      <w:pPr>
        <w:pStyle w:val="Normal"/>
        <w:spacing w:lineRule="auto" w:line="360"/>
        <w:ind w:right="144" w:firstLine="851"/>
        <w:jc w:val="both"/>
        <w:rPr>
          <w:rFonts w:ascii="Arial" w:hAnsi="Arial" w:cs="Arial"/>
          <w:sz w:val="22"/>
          <w:szCs w:val="22"/>
        </w:rPr>
      </w:pPr>
      <w:r>
        <w:rPr>
          <w:rFonts w:cs="Arial" w:ascii="Arial" w:hAnsi="Arial"/>
          <w:sz w:val="22"/>
          <w:szCs w:val="22"/>
        </w:rPr>
        <w:t>Las solicitudes, dirigidas a la Sra. Presidenta de la Comarca del Jiloca, se presentarán en el Registro General de la Comarca en C/ Corona de Aragón nº 43 de Calamocha (Teruel), o por cualquiera de los medios señalados en el art. 16 de la Ley 39/2015, del Procedimiento administrativo común, en el plazo de 20 días desde la publicación de la presente Convocatoria en el Boletín Oficial de la Provincia de Teruel.</w:t>
      </w:r>
    </w:p>
    <w:p>
      <w:pPr>
        <w:pStyle w:val="Normal"/>
        <w:spacing w:lineRule="auto" w:line="360"/>
        <w:ind w:firstLine="851"/>
        <w:rPr>
          <w:rFonts w:ascii="Arial" w:hAnsi="Arial" w:cs="Arial"/>
          <w:sz w:val="22"/>
          <w:szCs w:val="22"/>
        </w:rPr>
      </w:pPr>
      <w:r>
        <w:rPr>
          <w:rFonts w:cs="Arial" w:ascii="Arial" w:hAnsi="Arial"/>
          <w:sz w:val="22"/>
          <w:szCs w:val="22"/>
        </w:rPr>
        <w:t>Cada solicitud deberá contemplar la siguiente documentación:</w:t>
      </w:r>
    </w:p>
    <w:p>
      <w:pPr>
        <w:pStyle w:val="Normal"/>
        <w:widowControl w:val="false"/>
        <w:numPr>
          <w:ilvl w:val="0"/>
          <w:numId w:val="2"/>
        </w:numPr>
        <w:tabs>
          <w:tab w:val="clear" w:pos="708"/>
          <w:tab w:val="left" w:pos="720" w:leader="none"/>
        </w:tabs>
        <w:suppressAutoHyphens w:val="true"/>
        <w:spacing w:lineRule="auto" w:line="360"/>
        <w:ind w:left="0" w:right="135" w:firstLine="851"/>
        <w:jc w:val="both"/>
        <w:rPr>
          <w:rFonts w:ascii="Arial" w:hAnsi="Arial" w:cs="Arial"/>
          <w:sz w:val="22"/>
          <w:szCs w:val="22"/>
        </w:rPr>
      </w:pPr>
      <w:r>
        <w:rPr>
          <w:rFonts w:cs="Arial" w:ascii="Arial" w:hAnsi="Arial"/>
          <w:b/>
          <w:sz w:val="22"/>
          <w:szCs w:val="22"/>
        </w:rPr>
        <w:t>Anexo I. Solicitud de subvención</w:t>
      </w:r>
      <w:r>
        <w:rPr>
          <w:rFonts w:cs="Arial" w:ascii="Arial" w:hAnsi="Arial"/>
          <w:sz w:val="22"/>
          <w:szCs w:val="22"/>
        </w:rPr>
        <w:t>. Deberá cumplimentarse con todos los datos y contar con la firma del representante legal de la entidad.</w:t>
      </w:r>
    </w:p>
    <w:p>
      <w:pPr>
        <w:pStyle w:val="Normal"/>
        <w:widowControl w:val="false"/>
        <w:numPr>
          <w:ilvl w:val="0"/>
          <w:numId w:val="2"/>
        </w:numPr>
        <w:tabs>
          <w:tab w:val="clear" w:pos="708"/>
          <w:tab w:val="left" w:pos="720" w:leader="none"/>
        </w:tabs>
        <w:suppressAutoHyphens w:val="true"/>
        <w:spacing w:lineRule="auto" w:line="360"/>
        <w:ind w:left="0" w:firstLine="851"/>
        <w:jc w:val="both"/>
        <w:rPr>
          <w:rFonts w:ascii="Arial" w:hAnsi="Arial" w:cs="Arial"/>
          <w:sz w:val="22"/>
          <w:szCs w:val="22"/>
        </w:rPr>
      </w:pPr>
      <w:r>
        <w:rPr>
          <w:rFonts w:cs="Arial" w:ascii="Arial" w:hAnsi="Arial"/>
          <w:b/>
          <w:sz w:val="22"/>
          <w:szCs w:val="22"/>
        </w:rPr>
        <w:t>Anexo II. Datos de la actividad para la que se solicita subvención</w:t>
      </w:r>
      <w:r>
        <w:rPr>
          <w:rFonts w:cs="Arial" w:ascii="Arial" w:hAnsi="Arial"/>
          <w:sz w:val="22"/>
          <w:szCs w:val="22"/>
        </w:rPr>
        <w:t>.</w:t>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t xml:space="preserve">Los documentos de solicitud y justificación se ajustarán a los modelos normalizados Anexos I, II y III, aprobados por la Comarca del Jiloca, disponibles  </w:t>
      </w:r>
      <w:hyperlink r:id="rId2">
        <w:r>
          <w:rPr>
            <w:rStyle w:val="EnlacedeInternet"/>
            <w:rFonts w:cs="Arial" w:ascii="Arial" w:hAnsi="Arial"/>
            <w:color w:val="auto"/>
            <w:spacing w:val="2"/>
            <w:sz w:val="22"/>
            <w:szCs w:val="22"/>
          </w:rPr>
          <w:t>www.jiloca.es</w:t>
        </w:r>
      </w:hyperlink>
      <w:r>
        <w:rPr>
          <w:rFonts w:cs="Arial" w:ascii="Arial" w:hAnsi="Arial"/>
          <w:spacing w:val="2"/>
          <w:sz w:val="22"/>
          <w:szCs w:val="22"/>
        </w:rPr>
        <w:t xml:space="preserve"> en el apartado de convocatorias.</w:t>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right="144" w:firstLine="851"/>
        <w:jc w:val="both"/>
        <w:rPr>
          <w:rFonts w:ascii="Arial" w:hAnsi="Arial" w:cs="Arial"/>
          <w:sz w:val="22"/>
          <w:szCs w:val="22"/>
        </w:rPr>
      </w:pPr>
      <w:r>
        <w:rPr>
          <w:rFonts w:cs="Arial" w:ascii="Arial" w:hAnsi="Arial"/>
          <w:sz w:val="22"/>
          <w:szCs w:val="22"/>
        </w:rPr>
        <w:t>La falsedad de cualquiera de los datos presentados dará lugar al archivo del expediente, reservándose la Comarca emprender las acciones legales oportunas.</w:t>
      </w:r>
    </w:p>
    <w:p>
      <w:pPr>
        <w:pStyle w:val="Normal"/>
        <w:spacing w:lineRule="auto" w:line="360"/>
        <w:ind w:firstLine="851"/>
        <w:rPr>
          <w:rFonts w:ascii="Arial" w:hAnsi="Arial" w:cs="Arial"/>
          <w:sz w:val="22"/>
          <w:szCs w:val="22"/>
        </w:rPr>
      </w:pPr>
      <w:r>
        <w:rPr>
          <w:rFonts w:cs="Arial" w:ascii="Arial" w:hAnsi="Arial"/>
          <w:sz w:val="22"/>
          <w:szCs w:val="22"/>
        </w:rPr>
        <w:t>Estos anexos se presentan en dos formatos alternativos:</w:t>
      </w:r>
    </w:p>
    <w:p>
      <w:pPr>
        <w:pStyle w:val="Normal"/>
        <w:widowControl w:val="false"/>
        <w:numPr>
          <w:ilvl w:val="0"/>
          <w:numId w:val="3"/>
        </w:numPr>
        <w:tabs>
          <w:tab w:val="clear" w:pos="708"/>
          <w:tab w:val="left" w:pos="720" w:leader="none"/>
        </w:tabs>
        <w:suppressAutoHyphens w:val="true"/>
        <w:spacing w:lineRule="auto" w:line="360"/>
        <w:ind w:left="0" w:firstLine="851"/>
        <w:rPr>
          <w:rFonts w:ascii="Arial" w:hAnsi="Arial" w:cs="Arial"/>
          <w:sz w:val="22"/>
          <w:szCs w:val="22"/>
        </w:rPr>
      </w:pPr>
      <w:r>
        <w:rPr>
          <w:rFonts w:cs="Arial" w:ascii="Arial" w:hAnsi="Arial"/>
          <w:sz w:val="22"/>
          <w:szCs w:val="22"/>
        </w:rPr>
        <w:t>Formato PDF para su cumplimentación manual en papel.</w:t>
      </w:r>
    </w:p>
    <w:p>
      <w:pPr>
        <w:pStyle w:val="Normal"/>
        <w:widowControl w:val="false"/>
        <w:numPr>
          <w:ilvl w:val="0"/>
          <w:numId w:val="3"/>
        </w:numPr>
        <w:tabs>
          <w:tab w:val="clear" w:pos="708"/>
          <w:tab w:val="left" w:pos="720" w:leader="none"/>
        </w:tabs>
        <w:suppressAutoHyphens w:val="true"/>
        <w:spacing w:lineRule="auto" w:line="360"/>
        <w:ind w:left="0" w:firstLine="851"/>
        <w:rPr>
          <w:rFonts w:ascii="Arial" w:hAnsi="Arial" w:cs="Arial"/>
          <w:sz w:val="22"/>
          <w:szCs w:val="22"/>
        </w:rPr>
      </w:pPr>
      <w:r>
        <w:rPr>
          <w:rFonts w:cs="Arial" w:ascii="Arial" w:hAnsi="Arial"/>
          <w:sz w:val="22"/>
          <w:szCs w:val="22"/>
        </w:rPr>
        <w:t>Formato MS Word autorrellenable.</w:t>
      </w:r>
    </w:p>
    <w:p>
      <w:pPr>
        <w:pStyle w:val="Normal"/>
        <w:spacing w:lineRule="auto" w:line="360"/>
        <w:ind w:firstLine="851"/>
        <w:jc w:val="both"/>
        <w:rPr>
          <w:rFonts w:ascii="Arial" w:hAnsi="Arial" w:cs="Arial"/>
          <w:sz w:val="22"/>
          <w:szCs w:val="22"/>
        </w:rPr>
      </w:pPr>
      <w:r>
        <w:rPr>
          <w:rFonts w:cs="Arial" w:ascii="Arial" w:hAnsi="Arial"/>
          <w:sz w:val="22"/>
          <w:szCs w:val="22"/>
        </w:rPr>
        <w:t>Si la solicitud no reúne todos los requisitos establecidos en esta Convocatoria, el órgano competente requerirá al interesado para que la subsane en el plazo máximo e improrrogable de diez días. Transcurrido dicho plazo se le tendrá por desistido de su solicitud y se procederá al archivo de su expediente, previa resolución que deberá ser dictada en los términos previstos en la Ley 39/2015.</w:t>
      </w:r>
    </w:p>
    <w:p>
      <w:pPr>
        <w:pStyle w:val="Normal"/>
        <w:spacing w:lineRule="auto" w:line="360"/>
        <w:ind w:firstLine="851"/>
        <w:jc w:val="both"/>
        <w:rPr>
          <w:rFonts w:ascii="Arial" w:hAnsi="Arial" w:cs="Arial"/>
          <w:b/>
          <w:b/>
          <w:bCs/>
        </w:rPr>
      </w:pPr>
      <w:r>
        <w:rPr>
          <w:rFonts w:cs="Arial" w:ascii="Arial" w:hAnsi="Arial"/>
          <w:b/>
          <w:bCs/>
        </w:rPr>
      </w:r>
    </w:p>
    <w:p>
      <w:pPr>
        <w:pStyle w:val="NormalWeb"/>
        <w:shd w:val="clear" w:color="auto" w:fill="FFFFFF"/>
        <w:ind w:left="0" w:right="71" w:firstLine="851"/>
        <w:rPr>
          <w:rFonts w:ascii="Arial" w:hAnsi="Arial"/>
          <w:b/>
          <w:b/>
          <w:sz w:val="24"/>
          <w:u w:val="single"/>
        </w:rPr>
      </w:pPr>
      <w:r>
        <w:rPr>
          <w:rFonts w:ascii="Arial" w:hAnsi="Arial"/>
          <w:b/>
          <w:sz w:val="24"/>
          <w:u w:val="single"/>
        </w:rPr>
        <w:t>CUARTA.- GASTOS SUBVENCIONABLES.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 xml:space="preserve">Podrán ser gastos subvencionables, aquellos que de manera indubitable respondan a la naturaleza de los recursos para los que hayan sido subvencionados y se realicen entre el periodo comprendido entre </w:t>
      </w:r>
      <w:bookmarkStart w:id="0" w:name="_Hlk51074292"/>
      <w:r>
        <w:rPr>
          <w:rFonts w:ascii="Arial" w:hAnsi="Arial"/>
          <w:sz w:val="22"/>
          <w:szCs w:val="22"/>
        </w:rPr>
        <w:t xml:space="preserve">1 de enero de 2020 y el 31 de diciembre </w:t>
      </w:r>
      <w:bookmarkEnd w:id="0"/>
      <w:r>
        <w:rPr>
          <w:rFonts w:ascii="Arial" w:hAnsi="Arial"/>
          <w:sz w:val="22"/>
          <w:szCs w:val="22"/>
        </w:rPr>
        <w:t xml:space="preserve">de 2020 </w:t>
      </w:r>
      <w:bookmarkStart w:id="1" w:name="_GoBack"/>
      <w:bookmarkEnd w:id="1"/>
      <w:r>
        <w:rPr>
          <w:rFonts w:ascii="Arial" w:hAnsi="Arial"/>
          <w:sz w:val="22"/>
          <w:szCs w:val="22"/>
        </w:rPr>
        <w:t>en el ámbito territorial de la Comarca del Jiloca.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Se consideran subvencionables: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Gastos de medios y materiales didácticos necesarios para la realización de la actividad de los museos.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Compra de equipamiento inventariable.</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Retribuciones o remuneraciones del personal contratado por la entidad beneficiaria.</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Cuotas correspondientes a la Seguridad Social relativas a la contratación de dicho personal.</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NO SERÁN SUBVENCIONABLES: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gastos de alojamiento, comidas, aperitivos o similares, dietas, viajes, regalos o atenciones protocolarías.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gastos corrientes de funcionamiento (luz, teléfono, alquileres…)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intereses deudores de las cuentas bancarias. Intereses, recargos y sanciones administrativas y penales. Los gastos de procedimientos judiciales.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impuestos indirectos cuando sean susceptibles de recuperación o compensación.</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QUINTA.- ÓRGANOS COMPETENTES PARA LA INSTRUCCIÓN Y RESOLUCIÓN DEL PROCEDIMIENTO.</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 xml:space="preserve">El órgano instructor será la Consejería de Cultura y Educación de la Comarca del Jiloca. </w:t>
      </w:r>
    </w:p>
    <w:p>
      <w:pPr>
        <w:pStyle w:val="Normal"/>
        <w:spacing w:lineRule="auto" w:line="360"/>
        <w:ind w:firstLine="851"/>
        <w:jc w:val="both"/>
        <w:rPr>
          <w:rFonts w:ascii="Arial" w:hAnsi="Arial" w:cs="Arial"/>
          <w:sz w:val="22"/>
          <w:szCs w:val="22"/>
        </w:rPr>
      </w:pPr>
      <w:r>
        <w:rPr>
          <w:rFonts w:cs="Arial" w:ascii="Arial" w:hAnsi="Arial"/>
          <w:sz w:val="22"/>
          <w:szCs w:val="22"/>
        </w:rPr>
        <w:t xml:space="preserve">5.1. La evaluación de las solicitudes corresponderá a una comisión de valoración formada por la Consejería de Cultura y Educación y que realizará el examen de las solicitudes y elaborará informe, constituyendo dicho informe base de la propuesta de resolución del órgano instructor. </w:t>
      </w:r>
    </w:p>
    <w:p>
      <w:pPr>
        <w:pStyle w:val="Normal"/>
        <w:spacing w:lineRule="auto" w:line="360"/>
        <w:ind w:firstLine="851"/>
        <w:jc w:val="both"/>
        <w:rPr>
          <w:rFonts w:ascii="Arial" w:hAnsi="Arial" w:cs="Arial"/>
          <w:sz w:val="22"/>
          <w:szCs w:val="22"/>
        </w:rPr>
      </w:pPr>
      <w:r>
        <w:rPr>
          <w:rFonts w:cs="Arial" w:ascii="Arial" w:hAnsi="Arial"/>
          <w:sz w:val="22"/>
          <w:szCs w:val="22"/>
        </w:rPr>
        <w:t>5.2.- El órgano instructor a la vista del contenido del expediente y del informe de la comisión de valoración formulará la propuesta de resolución provisional. En el supuesto de diferir del informe técnico de valoración deberá motivarse debidamente.</w:t>
      </w:r>
    </w:p>
    <w:p>
      <w:pPr>
        <w:pStyle w:val="Normal"/>
        <w:spacing w:lineRule="auto" w:line="360"/>
        <w:ind w:firstLine="851"/>
        <w:jc w:val="both"/>
        <w:rPr>
          <w:rFonts w:ascii="Arial" w:hAnsi="Arial" w:cs="Arial"/>
          <w:sz w:val="22"/>
          <w:szCs w:val="22"/>
        </w:rPr>
      </w:pPr>
      <w:r>
        <w:rPr>
          <w:rFonts w:cs="Arial" w:ascii="Arial" w:hAnsi="Arial"/>
          <w:sz w:val="22"/>
          <w:szCs w:val="22"/>
        </w:rPr>
        <w:t>5.3 La propuesta de resolución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pPr>
        <w:pStyle w:val="Normal"/>
        <w:spacing w:lineRule="auto" w:line="360"/>
        <w:ind w:firstLine="851"/>
        <w:jc w:val="both"/>
        <w:rPr>
          <w:rFonts w:ascii="Arial" w:hAnsi="Arial" w:cs="Arial"/>
          <w:sz w:val="22"/>
          <w:szCs w:val="22"/>
        </w:rPr>
      </w:pPr>
      <w:r>
        <w:rPr>
          <w:rFonts w:cs="Arial" w:ascii="Arial" w:hAnsi="Arial"/>
          <w:sz w:val="22"/>
          <w:szCs w:val="22"/>
        </w:rPr>
        <w:t>Aprobada la resolución definitiva por dicho órgano, ésta se notificará a los interesados por resolución de Presidencia en un plazo máximo de dos meses desde a la finalización del plazo otorgado para la presentación de solicitudes.</w:t>
      </w:r>
    </w:p>
    <w:p>
      <w:pPr>
        <w:pStyle w:val="Normal"/>
        <w:spacing w:lineRule="auto" w:line="360"/>
        <w:ind w:firstLine="851"/>
        <w:jc w:val="both"/>
        <w:rPr>
          <w:rFonts w:ascii="Arial" w:hAnsi="Arial" w:cs="Arial"/>
          <w:sz w:val="22"/>
          <w:szCs w:val="22"/>
        </w:rPr>
      </w:pPr>
      <w:r>
        <w:rPr>
          <w:rFonts w:cs="Arial" w:ascii="Arial" w:hAnsi="Arial"/>
          <w:sz w:val="22"/>
          <w:szCs w:val="22"/>
        </w:rPr>
        <w:t>La resolución de la concesión de la subvención pondrá fin a la vía administrativa.</w:t>
      </w:r>
    </w:p>
    <w:p>
      <w:pPr>
        <w:pStyle w:val="Normal"/>
        <w:spacing w:lineRule="auto" w:line="360"/>
        <w:ind w:firstLine="851"/>
        <w:jc w:val="both"/>
        <w:rPr>
          <w:rFonts w:ascii="Arial" w:hAnsi="Arial" w:cs="Arial"/>
          <w:sz w:val="22"/>
          <w:szCs w:val="22"/>
        </w:rPr>
      </w:pPr>
      <w:r>
        <w:rPr>
          <w:rFonts w:cs="Arial" w:ascii="Arial" w:hAnsi="Arial"/>
          <w:sz w:val="22"/>
          <w:szCs w:val="22"/>
        </w:rPr>
        <w:t>El vencimiento del plazo máximo sin haberse notificado la resolución legitima a los interesados, se entenderá desestimada la solicitud de la concesión por silencio administrativo.</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SEXTA.- CRITERIOS DE VALORACIÓN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284"/>
        <w:jc w:val="both"/>
        <w:rPr>
          <w:rFonts w:ascii="Arial" w:hAnsi="Arial" w:cs="Arial"/>
          <w:sz w:val="22"/>
          <w:szCs w:val="22"/>
        </w:rPr>
      </w:pPr>
      <w:r>
        <w:rPr>
          <w:rFonts w:cs="Arial" w:ascii="Arial" w:hAnsi="Arial"/>
          <w:sz w:val="22"/>
          <w:szCs w:val="22"/>
        </w:rPr>
        <w:t>Sobre la base de los principios de transparencia y objetividad para la concesión de ayudas, se aplicarán a cada solicitud los siguientes criterios de valoración:</w:t>
      </w:r>
    </w:p>
    <w:p>
      <w:pPr>
        <w:pStyle w:val="Normal"/>
        <w:rPr/>
      </w:pPr>
      <w:r>
        <w:rPr/>
      </w:r>
    </w:p>
    <w:tbl>
      <w:tblPr>
        <w:tblW w:w="8494" w:type="dxa"/>
        <w:jc w:val="left"/>
        <w:tblInd w:w="0" w:type="dxa"/>
        <w:tblCellMar>
          <w:top w:w="0" w:type="dxa"/>
          <w:left w:w="108" w:type="dxa"/>
          <w:bottom w:w="0" w:type="dxa"/>
          <w:right w:w="108" w:type="dxa"/>
        </w:tblCellMar>
        <w:tblLook w:firstRow="1" w:noVBand="0" w:lastRow="1" w:firstColumn="1" w:lastColumn="1" w:noHBand="0" w:val="01e0"/>
      </w:tblPr>
      <w:tblGrid>
        <w:gridCol w:w="6123"/>
        <w:gridCol w:w="2370"/>
      </w:tblGrid>
      <w:tr>
        <w:trPr/>
        <w:tc>
          <w:tcPr>
            <w:tcW w:w="6123" w:type="dxa"/>
            <w:tcBorders>
              <w:top w:val="single" w:sz="4" w:space="0" w:color="000000"/>
              <w:left w:val="single" w:sz="4" w:space="0" w:color="000000"/>
              <w:bottom w:val="single" w:sz="4" w:space="0" w:color="000000"/>
              <w:right w:val="single" w:sz="4" w:space="0" w:color="000000"/>
            </w:tcBorders>
            <w:shd w:color="auto" w:fill="808080" w:val="clear"/>
          </w:tcPr>
          <w:p>
            <w:pPr>
              <w:pStyle w:val="NormalWeb"/>
              <w:jc w:val="center"/>
              <w:rPr>
                <w:rFonts w:ascii="Arial" w:hAnsi="Arial"/>
                <w:b/>
                <w:b/>
              </w:rPr>
            </w:pPr>
            <w:r>
              <w:rPr>
                <w:rFonts w:ascii="Arial" w:hAnsi="Arial"/>
                <w:b/>
              </w:rPr>
              <w:t>CRITERIO</w:t>
            </w:r>
          </w:p>
        </w:tc>
        <w:tc>
          <w:tcPr>
            <w:tcW w:w="2370" w:type="dxa"/>
            <w:tcBorders>
              <w:top w:val="single" w:sz="4" w:space="0" w:color="000000"/>
              <w:left w:val="single" w:sz="4" w:space="0" w:color="000000"/>
              <w:bottom w:val="single" w:sz="4" w:space="0" w:color="000000"/>
              <w:right w:val="single" w:sz="4" w:space="0" w:color="000000"/>
            </w:tcBorders>
            <w:shd w:color="auto" w:fill="808080" w:val="clear"/>
          </w:tcPr>
          <w:p>
            <w:pPr>
              <w:pStyle w:val="NormalWeb"/>
              <w:ind w:left="278" w:right="71" w:hanging="0"/>
              <w:jc w:val="center"/>
              <w:rPr>
                <w:rFonts w:ascii="Arial" w:hAnsi="Arial"/>
                <w:b/>
                <w:b/>
              </w:rPr>
            </w:pPr>
            <w:r>
              <w:rPr>
                <w:rFonts w:ascii="Arial" w:hAnsi="Arial"/>
                <w:b/>
              </w:rPr>
              <w:t>PUNTOS (100)</w:t>
            </w:r>
          </w:p>
        </w:tc>
      </w:tr>
      <w:tr>
        <w:trPr/>
        <w:tc>
          <w:tcPr>
            <w:tcW w:w="6123" w:type="dxa"/>
            <w:tcBorders>
              <w:top w:val="single" w:sz="4" w:space="0" w:color="000000"/>
              <w:left w:val="single" w:sz="4" w:space="0" w:color="000000"/>
              <w:bottom w:val="single" w:sz="4" w:space="0" w:color="000000"/>
              <w:right w:val="single" w:sz="4" w:space="0" w:color="000000"/>
            </w:tcBorders>
          </w:tcPr>
          <w:p>
            <w:pPr>
              <w:pStyle w:val="NormalWeb"/>
              <w:ind w:left="0" w:right="71" w:hanging="0"/>
              <w:rPr>
                <w:rFonts w:ascii="Arial" w:hAnsi="Arial"/>
                <w:szCs w:val="20"/>
              </w:rPr>
            </w:pPr>
            <w:r>
              <w:rPr>
                <w:rFonts w:ascii="Arial" w:hAnsi="Arial"/>
                <w:b/>
                <w:szCs w:val="20"/>
              </w:rPr>
              <w:t>1. Adecuación de los recursos</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Web"/>
              <w:ind w:left="420" w:right="71" w:hanging="0"/>
              <w:jc w:val="right"/>
              <w:rPr>
                <w:rFonts w:ascii="Arial" w:hAnsi="Arial"/>
                <w:b/>
                <w:b/>
                <w:szCs w:val="20"/>
              </w:rPr>
            </w:pPr>
            <w:r>
              <w:rPr>
                <w:rFonts w:ascii="Arial" w:hAnsi="Arial"/>
                <w:b/>
                <w:szCs w:val="20"/>
              </w:rPr>
              <w:t>Hasta 50 puntos</w:t>
            </w:r>
          </w:p>
        </w:tc>
      </w:tr>
      <w:tr>
        <w:trPr/>
        <w:tc>
          <w:tcPr>
            <w:tcW w:w="8493" w:type="dxa"/>
            <w:gridSpan w:val="2"/>
            <w:tcBorders>
              <w:top w:val="single" w:sz="4" w:space="0" w:color="000000"/>
              <w:left w:val="single" w:sz="4" w:space="0" w:color="000000"/>
              <w:bottom w:val="single" w:sz="4" w:space="0" w:color="000000"/>
              <w:right w:val="single" w:sz="4" w:space="0" w:color="000000"/>
            </w:tcBorders>
          </w:tcPr>
          <w:p>
            <w:pPr>
              <w:pStyle w:val="NormalWeb"/>
              <w:ind w:left="0" w:right="71" w:hanging="0"/>
              <w:rPr>
                <w:rFonts w:ascii="Arial" w:hAnsi="Arial"/>
                <w:szCs w:val="20"/>
              </w:rPr>
            </w:pPr>
            <w:r>
              <w:rPr>
                <w:rFonts w:ascii="Arial" w:hAnsi="Arial"/>
                <w:szCs w:val="20"/>
              </w:rPr>
              <w:t>Se valorará la adecuación de los recursos, relacionadas con la actividad de los museos</w:t>
            </w:r>
          </w:p>
        </w:tc>
      </w:tr>
      <w:tr>
        <w:trPr/>
        <w:tc>
          <w:tcPr>
            <w:tcW w:w="6123" w:type="dxa"/>
            <w:tcBorders>
              <w:top w:val="single" w:sz="4" w:space="0" w:color="000000"/>
              <w:left w:val="single" w:sz="4" w:space="0" w:color="000000"/>
              <w:bottom w:val="single" w:sz="4" w:space="0" w:color="000000"/>
              <w:right w:val="single" w:sz="4" w:space="0" w:color="000000"/>
            </w:tcBorders>
            <w:vAlign w:val="center"/>
          </w:tcPr>
          <w:p>
            <w:pPr>
              <w:pStyle w:val="NormalWeb"/>
              <w:ind w:left="0" w:right="71" w:hanging="0"/>
              <w:rPr>
                <w:rFonts w:ascii="Arial" w:hAnsi="Arial"/>
                <w:b/>
                <w:b/>
                <w:szCs w:val="20"/>
              </w:rPr>
            </w:pPr>
            <w:r>
              <w:rPr>
                <w:rFonts w:ascii="Arial" w:hAnsi="Arial"/>
                <w:b/>
                <w:szCs w:val="20"/>
              </w:rPr>
              <w:t>2. Necesidad que pretende cubrir.</w:t>
            </w:r>
          </w:p>
          <w:p>
            <w:pPr>
              <w:pStyle w:val="NormalWeb"/>
              <w:ind w:left="0" w:right="71" w:hanging="0"/>
              <w:rPr>
                <w:rFonts w:ascii="Arial" w:hAnsi="Arial"/>
                <w:szCs w:val="20"/>
              </w:rPr>
            </w:pPr>
            <w:r>
              <w:rPr>
                <w:rFonts w:ascii="Arial" w:hAnsi="Arial"/>
                <w:b/>
                <w:szCs w:val="20"/>
              </w:rPr>
              <w:t xml:space="preserve"> </w:t>
            </w:r>
            <w:r>
              <w:rPr>
                <w:rFonts w:ascii="Arial" w:hAnsi="Arial"/>
                <w:szCs w:val="20"/>
              </w:rPr>
              <w:t>Cobertura de necesidades de recursos</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Web"/>
              <w:ind w:left="441" w:right="71" w:hanging="0"/>
              <w:jc w:val="right"/>
              <w:rPr>
                <w:rFonts w:ascii="Arial" w:hAnsi="Arial"/>
                <w:szCs w:val="20"/>
              </w:rPr>
            </w:pPr>
            <w:r>
              <w:rPr>
                <w:rFonts w:ascii="Arial" w:hAnsi="Arial"/>
                <w:b/>
                <w:szCs w:val="20"/>
              </w:rPr>
              <w:t>Hasta 50 puntos</w:t>
            </w:r>
          </w:p>
        </w:tc>
      </w:tr>
    </w:tbl>
    <w:p>
      <w:pPr>
        <w:pStyle w:val="Normal"/>
        <w:rPr/>
      </w:pPr>
      <w:r>
        <w:rPr/>
      </w:r>
    </w:p>
    <w:p>
      <w:pPr>
        <w:pStyle w:val="NormalWeb"/>
        <w:shd w:val="clear" w:color="auto" w:fill="FFFFFF"/>
        <w:ind w:left="0" w:right="71" w:firstLine="851"/>
        <w:rPr>
          <w:rFonts w:ascii="Arial" w:hAnsi="Arial"/>
          <w:b/>
          <w:b/>
          <w:sz w:val="24"/>
          <w:u w:val="single"/>
        </w:rPr>
      </w:pPr>
      <w:r>
        <w:rPr>
          <w:rFonts w:ascii="Arial" w:hAnsi="Arial"/>
          <w:b/>
          <w:sz w:val="24"/>
          <w:u w:val="single"/>
        </w:rPr>
        <w:t>SÉPTIMA.- CUANTÍA DE LA SUBVENCIÓN</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
        <w:spacing w:lineRule="auto" w:line="360"/>
        <w:ind w:firstLine="851"/>
        <w:jc w:val="both"/>
        <w:rPr>
          <w:rFonts w:ascii="Arial" w:hAnsi="Arial" w:cs="Arial"/>
          <w:sz w:val="22"/>
          <w:szCs w:val="22"/>
        </w:rPr>
      </w:pPr>
      <w:r>
        <w:rPr>
          <w:rFonts w:cs="Arial" w:ascii="Arial" w:hAnsi="Arial"/>
          <w:sz w:val="22"/>
          <w:szCs w:val="22"/>
        </w:rPr>
        <w:t xml:space="preserve">La cuantía de la subvención concedida tendrá un límite máximo de 600 € por museo. No será necesaria la cofinanciación, pero sí que el gasto subvencionable cubra la cuantía total subvencionada. </w:t>
      </w:r>
    </w:p>
    <w:p>
      <w:pPr>
        <w:pStyle w:val="Normal"/>
        <w:spacing w:lineRule="auto" w:line="360"/>
        <w:ind w:firstLine="851"/>
        <w:jc w:val="both"/>
        <w:rPr>
          <w:rFonts w:ascii="Arial" w:hAnsi="Arial" w:cs="Arial"/>
          <w:sz w:val="22"/>
          <w:szCs w:val="22"/>
        </w:rPr>
      </w:pPr>
      <w:r>
        <w:rPr>
          <w:rFonts w:cs="Arial" w:ascii="Arial" w:hAnsi="Arial"/>
          <w:sz w:val="22"/>
          <w:szCs w:val="22"/>
        </w:rPr>
        <w:t xml:space="preserve">La cuantía total estimada para esta convocatoria es de 3.000 € </w:t>
      </w:r>
      <w:r>
        <w:rPr>
          <w:rFonts w:cs="Arial" w:ascii="Arial" w:hAnsi="Arial"/>
          <w:sz w:val="22"/>
          <w:szCs w:val="22"/>
        </w:rPr>
        <w:t>y se atenderá</w:t>
      </w:r>
      <w:r>
        <w:rPr>
          <w:rFonts w:cs="Arial" w:ascii="Arial" w:hAnsi="Arial"/>
          <w:sz w:val="22"/>
          <w:szCs w:val="22"/>
        </w:rPr>
        <w:t xml:space="preserve"> con cargo a la aplicación presupuestaria 33 3340 46200, del presupuesto comarcal de 2020.</w:t>
      </w:r>
    </w:p>
    <w:p>
      <w:pPr>
        <w:pStyle w:val="NormalWeb"/>
        <w:shd w:val="clear" w:color="auto" w:fill="FFFFFF"/>
        <w:ind w:left="0" w:right="71" w:firstLine="851"/>
        <w:rPr>
          <w:rFonts w:ascii="Arial" w:hAnsi="Arial"/>
          <w:sz w:val="22"/>
          <w:szCs w:val="22"/>
        </w:rPr>
      </w:pPr>
      <w:r>
        <w:rPr>
          <w:rFonts w:ascii="Arial" w:hAnsi="Arial"/>
          <w:sz w:val="22"/>
          <w:szCs w:val="22"/>
        </w:rPr>
        <w:t>Otorgada la subvención, el importe a justificar, será el 100% del presupuesto presentado en la solicitud.</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OCTAVA.- OBLIGACIONES DE LAS ENTIDADES BENEFICIARIAS.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Las entidades beneficiarias de las subvenciones reguladas por estas bases, deberán:</w:t>
      </w:r>
    </w:p>
    <w:p>
      <w:pPr>
        <w:pStyle w:val="Normal"/>
        <w:numPr>
          <w:ilvl w:val="0"/>
          <w:numId w:val="5"/>
        </w:numPr>
        <w:spacing w:lineRule="auto" w:line="360"/>
        <w:ind w:left="0" w:firstLine="851"/>
        <w:jc w:val="both"/>
        <w:rPr>
          <w:rFonts w:ascii="Arial" w:hAnsi="Arial" w:cs="Arial"/>
          <w:sz w:val="22"/>
          <w:szCs w:val="22"/>
        </w:rPr>
      </w:pPr>
      <w:r>
        <w:rPr>
          <w:rFonts w:cs="Arial" w:ascii="Arial" w:hAnsi="Arial"/>
          <w:sz w:val="22"/>
          <w:szCs w:val="22"/>
        </w:rPr>
        <w:t>Utilizar los recursos en los museos de los municipios de la Comarca del Jiloca.</w:t>
      </w:r>
    </w:p>
    <w:p>
      <w:pPr>
        <w:pStyle w:val="Normal"/>
        <w:numPr>
          <w:ilvl w:val="0"/>
          <w:numId w:val="5"/>
        </w:numPr>
        <w:spacing w:lineRule="auto" w:line="360"/>
        <w:ind w:left="0" w:firstLine="851"/>
        <w:jc w:val="both"/>
        <w:rPr>
          <w:rFonts w:ascii="Arial" w:hAnsi="Arial" w:cs="Arial"/>
          <w:sz w:val="22"/>
          <w:szCs w:val="22"/>
        </w:rPr>
      </w:pPr>
      <w:r>
        <w:rPr>
          <w:rFonts w:cs="Arial" w:ascii="Arial" w:hAnsi="Arial"/>
          <w:sz w:val="22"/>
          <w:szCs w:val="22"/>
        </w:rPr>
        <w:t>Aceptar la subvención otorgada y las condiciones derivadas de su otorgamiento entendiéndose por aceptada si en el plazo máximo de quince días contados desde el día siguiente de su notificación, el beneficiario no ha renunciado por escrito a la misma.</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Cumplir la adquisición de recursos que fundamenta la concesión de la subvención y acreditarlo debidamente ante la Comarca así como el cumplimiento de los requisitos y condiciones que determinen la concesión o disfrute de la misma.</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Comunicar a la Comarca la obtención de otras subvenciones o ayudas para la misma finalidad procedentes de cualquier administración o ente público y cualquier otro ingreso concurrente para esa actividad.</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Facilitar cuanta documentación le sea requerida por la Comarca, referente a cualquier circunstancia o extremo relativo a los recursos subvencionado s y someterse a cuantas visitas y comprobaciones se consideren convenientes para cotejar la necesidad, desarrollo y realización de las actuaciones para las que se ha solicitado subvención.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NOVENA- JUSTIFICACIÓN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Para poder optar al pago de la subvención establecida, se deberá presentar, con carácter posterior a la compra o costo de los recursos subvencionado, el Anexo III (Declaración justificativa de recurso subvencionado).</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t>El importe a justificar será el 100% del presupuesto aceptado, en el caso de aportar justificantes en menor cuantía, el importe a abonar por la Comarca del Jiloca, se reducirá en la misma proporción.</w:t>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t>El plazo para presentar la documentación justificativa finalizará el 15 de noviembre pudiendo presentarse los documentos tan pronto como se realicen las adquisiciones y se disponga de la documentación requerida.</w:t>
      </w:r>
    </w:p>
    <w:p>
      <w:pPr>
        <w:pStyle w:val="Normal"/>
        <w:spacing w:lineRule="auto" w:line="360"/>
        <w:jc w:val="both"/>
        <w:rPr>
          <w:rFonts w:ascii="Arial" w:hAnsi="Arial" w:cs="Arial"/>
          <w:spacing w:val="1"/>
          <w:sz w:val="22"/>
          <w:szCs w:val="22"/>
        </w:rPr>
      </w:pPr>
      <w:r>
        <w:rPr>
          <w:rFonts w:cs="Arial" w:ascii="Arial" w:hAnsi="Arial"/>
          <w:spacing w:val="1"/>
          <w:sz w:val="22"/>
          <w:szCs w:val="22"/>
        </w:rPr>
      </w:r>
    </w:p>
    <w:p>
      <w:pPr>
        <w:pStyle w:val="Normal"/>
        <w:spacing w:lineRule="auto" w:line="360"/>
        <w:ind w:firstLine="851"/>
        <w:jc w:val="both"/>
        <w:rPr>
          <w:rFonts w:ascii="Arial" w:hAnsi="Arial" w:cs="Arial"/>
          <w:spacing w:val="1"/>
          <w:sz w:val="22"/>
          <w:szCs w:val="22"/>
        </w:rPr>
      </w:pPr>
      <w:r>
        <w:rPr>
          <w:rFonts w:cs="Arial" w:ascii="Arial" w:hAnsi="Arial"/>
          <w:spacing w:val="1"/>
          <w:sz w:val="22"/>
          <w:szCs w:val="22"/>
        </w:rPr>
        <w:t>Los justificantes de gasto deberán adecuarse a la normativa en vigor (Real Decreto 1619/12, de 30 de noviembre, Reglamento por el que se regulan las obligaciones de facturación).</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Las facturas o documentos probatorios de gasto deberán estar fechados en el año 2020.</w:t>
      </w:r>
    </w:p>
    <w:p>
      <w:pPr>
        <w:pStyle w:val="NormalWeb"/>
        <w:shd w:val="clear" w:color="auto" w:fill="FFFFFF"/>
        <w:ind w:left="0" w:right="71" w:firstLine="851"/>
        <w:rPr>
          <w:rFonts w:ascii="Arial" w:hAnsi="Arial"/>
          <w:sz w:val="22"/>
          <w:szCs w:val="22"/>
        </w:rPr>
      </w:pPr>
      <w:r>
        <w:rPr>
          <w:rFonts w:ascii="Arial" w:hAnsi="Arial"/>
          <w:sz w:val="22"/>
          <w:szCs w:val="22"/>
        </w:rPr>
        <w:t>La justificación de la subvención contendrá la siguiente documentación:</w:t>
      </w:r>
    </w:p>
    <w:p>
      <w:pPr>
        <w:pStyle w:val="NormalWeb"/>
        <w:numPr>
          <w:ilvl w:val="1"/>
          <w:numId w:val="5"/>
        </w:numPr>
        <w:shd w:val="clear" w:color="auto" w:fill="FFFFFF"/>
        <w:ind w:left="0" w:right="0" w:firstLine="851"/>
        <w:rPr>
          <w:rFonts w:ascii="Arial" w:hAnsi="Arial"/>
          <w:sz w:val="22"/>
          <w:szCs w:val="22"/>
        </w:rPr>
      </w:pPr>
      <w:r>
        <w:rPr>
          <w:rFonts w:ascii="Arial" w:hAnsi="Arial"/>
          <w:sz w:val="22"/>
          <w:szCs w:val="22"/>
        </w:rPr>
        <w:t>Una memoria técnica relativa a las necesidades de recursos.</w:t>
      </w:r>
    </w:p>
    <w:p>
      <w:pPr>
        <w:pStyle w:val="NormalWeb"/>
        <w:numPr>
          <w:ilvl w:val="1"/>
          <w:numId w:val="5"/>
        </w:numPr>
        <w:shd w:val="clear" w:color="auto" w:fill="FFFFFF"/>
        <w:ind w:left="0" w:right="0" w:firstLine="851"/>
        <w:rPr>
          <w:rFonts w:ascii="Arial" w:hAnsi="Arial"/>
          <w:sz w:val="22"/>
          <w:szCs w:val="22"/>
        </w:rPr>
      </w:pPr>
      <w:r>
        <w:rPr>
          <w:rFonts w:ascii="Arial" w:hAnsi="Arial"/>
          <w:sz w:val="22"/>
          <w:szCs w:val="22"/>
        </w:rPr>
        <w:t>Una memoria económica justificativa del coste de los recursos necesarios, que contendrá:</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Relación clasificada y numerada de los gastos, con identificador del acreedor, del número y fecha de documento, concepto del gasto, importe y fecha de pago.</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Facturas imputables al gasto financiado por la Comarca del Jiloca y documentación acreditativa del pago.</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Una relación detallada de otros ingresos o subvenciones que hayan financiado la actividad subvencionada con indicación del importe y su procedencia.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En el caso de que no se justifique la totalidad del presupuesto objeto de la subvención y/o no se ejecute la totalidad de las actuaciones subvencionadas, si se considerase que se ha cumplido la finalidad, se considerará la parte proporcional de la subvención.</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DÉCIMA - PAGO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b/>
          <w:b/>
          <w:bCs/>
          <w:sz w:val="22"/>
          <w:szCs w:val="22"/>
        </w:rPr>
      </w:pPr>
      <w:r>
        <w:rPr>
          <w:rFonts w:cs="Arial" w:ascii="Arial" w:hAnsi="Arial"/>
          <w:sz w:val="22"/>
          <w:szCs w:val="22"/>
        </w:rPr>
        <w:t>El pago de las subvenciones se efectuará tras la justificación por el beneficiario conforme a lo establecido en el artículo noveno de estas Bases.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UNDECIMA.- COMPATIBILIDAD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pacing w:val="1"/>
          <w:sz w:val="22"/>
          <w:szCs w:val="22"/>
        </w:rPr>
      </w:pPr>
      <w:r>
        <w:rPr>
          <w:rFonts w:cs="Arial" w:ascii="Arial" w:hAnsi="Arial"/>
          <w:sz w:val="22"/>
          <w:szCs w:val="22"/>
        </w:rPr>
        <w:t>La concesión de estas ayudas será compatible con cualquier otro tipo de subvención o ayuda.</w:t>
      </w:r>
    </w:p>
    <w:p>
      <w:pPr>
        <w:pStyle w:val="Normal"/>
        <w:spacing w:lineRule="auto" w:line="360"/>
        <w:ind w:firstLine="851"/>
        <w:jc w:val="both"/>
        <w:rPr>
          <w:rFonts w:ascii="Arial" w:hAnsi="Arial" w:cs="Arial"/>
          <w:b/>
          <w:b/>
          <w:bCs/>
          <w:sz w:val="22"/>
          <w:szCs w:val="22"/>
        </w:rPr>
      </w:pPr>
      <w:r>
        <w:rPr>
          <w:rFonts w:cs="Arial" w:ascii="Arial" w:hAnsi="Arial"/>
          <w:spacing w:val="1"/>
          <w:sz w:val="22"/>
          <w:szCs w:val="22"/>
        </w:rPr>
        <w:t>En ningún caso, el importe de la subvención otorgada podrá ser de tal cuantía que, aisladamente o en concurrencia con otras subvenciones, ayudas, ingresos o recursos, supere el coste de la actividad subvencionada.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DECIMOSEGUNDA.- MODIFICACIÓN DE LA RESOLUCIÓN.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La alteración de las condiciones requeridas a los beneficiarios que determinaron el otorgamiento de la subvención o la concurrencia de cualquier otro tipo de ayudas sobrevenidas o no declaradas por el beneficiario que, en conjunto o aisladamente, bien superen el coste de la actividad a realizar o bien los límites porcentuales de la subvención tenidos en cuenta para su determinación, darán lugar a una revisión de la subvención concedida y, en su caso, al reintegro del importe que corresponda.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DECIMOTERCERA.-REVOCACIÓN DE LA SUBVENCIÓN.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Cuando se compruebe que las ayudas otorgadas hayan sido destinadas por el beneficiario a un fin diferente del previsto para la subvención o el previsto en la legislación aplicable, se verifique el incumplimiento de las condiciones establecidas en esta orden o en el acto de concesión, y en los demás supuestos establecidos legalmente, se podrá revocar total o parcialmente la subvención, previa audiencia del interesado, acordando en su caso, el reintegro de las cantidades percibidas.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DECIMOCUARTA.- CONTROL Y SEGUIMIENTO.</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El órgano administrativo competente para otorgar la subvención lo es también para inspeccionar directa o indirectamente los recursos objeto de subvención, con la finalidad de comprobar su adecuación a los recursos presentados y a las condiciones establecidas para el reconocimiento de la subvención.</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DECIMOQUINTA.-.</w:t>
      </w:r>
    </w:p>
    <w:p>
      <w:pPr>
        <w:pStyle w:val="Normal"/>
        <w:spacing w:lineRule="auto" w:line="360"/>
        <w:ind w:firstLine="851"/>
        <w:jc w:val="both"/>
        <w:rPr>
          <w:rFonts w:ascii="Arial" w:hAnsi="Arial" w:cs="Arial"/>
          <w:sz w:val="22"/>
          <w:szCs w:val="22"/>
        </w:rPr>
      </w:pPr>
      <w:r>
        <w:rPr>
          <w:rFonts w:cs="Arial" w:ascii="Arial" w:hAnsi="Arial"/>
          <w:sz w:val="22"/>
          <w:szCs w:val="22"/>
        </w:rPr>
        <w:t>La resolución por la que se aprueban las siguientes bases pone fin a la vía administrativa, pudiendo interponer contra la misma de acuerdo con lo dispuesto en la Ley 39/2015, Régimen Jurídico de las Administraciones Públicas y del Procedimiento Administrativo Común y en la Ley 29/88,de 13 de julio, reguladora de la Jurisdicción contencioso-administrativo, alternativamente, o recurso de reposición potestativo, en el plazo de un mes ante el mismo órgano que dictó el acto, o recurso contencioso administrativo, ante la Sala de lo contencioso administrativo del Tribunal Superior de Justicia de Aragón, en el plazo de dos meses a contar desde el día siguiente a la publicación de esta resolución. Si se optara por interponer el recurso de reposición potestativo no podrá interponerse recurso contencioso administrativo hasta que aquel sea resuelto expresamente o haya producido desestimación por silencio. Todo ello sin perjuicio de que se pueda ejercitar cualquier otro recurso que se estime pertinente.</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pacing w:val="3"/>
          <w:sz w:val="22"/>
          <w:szCs w:val="22"/>
        </w:rPr>
      </w:pPr>
      <w:r>
        <w:rPr>
          <w:rFonts w:cs="Arial" w:ascii="Arial" w:hAnsi="Arial"/>
          <w:sz w:val="22"/>
          <w:szCs w:val="22"/>
        </w:rPr>
        <w:t xml:space="preserve">De acuerdo con la LO 3/2018, de 5 de diciembre, de Protección de Datos Personales y garantía de los derechos digitales, se informa a todos los solicitantes de estas subvenciones que sus datos y demás documentación aportada a los efectos, serán almacenados el fichero de </w:t>
      </w:r>
      <w:r>
        <w:rPr>
          <w:rFonts w:cs="Arial" w:ascii="Arial" w:hAnsi="Arial"/>
          <w:i/>
          <w:iCs/>
          <w:sz w:val="22"/>
          <w:szCs w:val="22"/>
        </w:rPr>
        <w:t>Gestión Comarcal</w:t>
      </w:r>
      <w:r>
        <w:rPr>
          <w:rFonts w:cs="Arial" w:ascii="Arial" w:hAnsi="Arial"/>
          <w:sz w:val="22"/>
          <w:szCs w:val="22"/>
        </w:rPr>
        <w:t>, titularidad de la Comarca del Jiloca, con la única finalidad de gestionar la adjudicación de las mismas.</w:t>
      </w:r>
    </w:p>
    <w:p>
      <w:pPr>
        <w:pStyle w:val="Normal"/>
        <w:spacing w:lineRule="auto" w:line="360"/>
        <w:ind w:firstLine="851"/>
        <w:jc w:val="both"/>
        <w:rPr>
          <w:rFonts w:ascii="Arial" w:hAnsi="Arial" w:cs="Arial"/>
          <w:spacing w:val="3"/>
          <w:sz w:val="22"/>
          <w:szCs w:val="22"/>
        </w:rPr>
      </w:pPr>
      <w:r>
        <w:rPr>
          <w:rFonts w:cs="Arial" w:ascii="Arial" w:hAnsi="Arial"/>
          <w:spacing w:val="3"/>
          <w:sz w:val="22"/>
          <w:szCs w:val="22"/>
        </w:rPr>
      </w:r>
    </w:p>
    <w:p>
      <w:pPr>
        <w:pStyle w:val="Normal"/>
        <w:spacing w:lineRule="auto" w:line="360"/>
        <w:ind w:firstLine="851"/>
        <w:jc w:val="both"/>
        <w:rPr>
          <w:rFonts w:ascii="Arial" w:hAnsi="Arial" w:cs="Arial"/>
          <w:sz w:val="22"/>
          <w:szCs w:val="22"/>
        </w:rPr>
      </w:pPr>
      <w:r>
        <w:rPr>
          <w:rFonts w:cs="Arial" w:ascii="Arial" w:hAnsi="Arial"/>
          <w:spacing w:val="3"/>
          <w:sz w:val="22"/>
          <w:szCs w:val="22"/>
        </w:rPr>
        <w:t xml:space="preserve">Asimismo, se informa de la posibilidad que tiene el solicitante de ejercitar los derechos de acceso, rectificación y cancelación, en relación a sus datos personales, en los términos establecidos por la Agencia Española de Protección de Datos Personales, y dirigiéndose a la Comarca del Jiloca, </w:t>
      </w:r>
      <w:r>
        <w:rPr>
          <w:rFonts w:cs="Arial" w:ascii="Arial" w:hAnsi="Arial"/>
          <w:sz w:val="22"/>
          <w:szCs w:val="22"/>
        </w:rPr>
        <w:t>C/ Corona de Aragón nº 43 de Calamocha (Teruel)</w:t>
      </w:r>
      <w:r>
        <w:rPr>
          <w:rFonts w:cs="Arial" w:ascii="Arial" w:hAnsi="Arial"/>
          <w:spacing w:val="3"/>
          <w:sz w:val="22"/>
          <w:szCs w:val="22"/>
        </w:rPr>
        <w:t>. Sus datos no serán cedidos a terceros salvo que la Ley lo permita o lo exija expresamente.</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DECIMOSÉXTA-.</w:t>
      </w:r>
    </w:p>
    <w:p>
      <w:pPr>
        <w:pStyle w:val="Normal"/>
        <w:spacing w:lineRule="auto" w:line="360"/>
        <w:ind w:firstLine="851"/>
        <w:jc w:val="both"/>
        <w:rPr>
          <w:rFonts w:ascii="Arial" w:hAnsi="Arial" w:cs="Arial"/>
          <w:sz w:val="22"/>
          <w:szCs w:val="22"/>
        </w:rPr>
      </w:pPr>
      <w:r>
        <w:rPr>
          <w:rFonts w:cs="Arial" w:ascii="Arial" w:hAnsi="Arial"/>
          <w:sz w:val="22"/>
          <w:szCs w:val="22"/>
        </w:rPr>
        <w:t>En todo lo no previsto en la presente convocatoria, se estará a lo dispuesto en la ley 38/2003 de 17 de noviembre, Ley General de Subvenciones y a la ley 5/2015 de 5 de marzo de 2015 de Subvenciones de Aragón, así como sus disposiciones desarrolladas correspondientemente y demás normativa administrativa que pueda resultar de su aplicación.</w:t>
      </w:r>
    </w:p>
    <w:p>
      <w:pPr>
        <w:pStyle w:val="Normal"/>
        <w:spacing w:lineRule="auto" w:line="360"/>
        <w:ind w:firstLine="851"/>
        <w:rPr>
          <w:rFonts w:ascii="Arial" w:hAnsi="Arial" w:cs="Arial"/>
          <w:sz w:val="22"/>
          <w:szCs w:val="22"/>
        </w:rPr>
      </w:pPr>
      <w:r>
        <w:rPr>
          <w:rFonts w:cs="Arial" w:ascii="Arial" w:hAnsi="Arial"/>
          <w:sz w:val="22"/>
          <w:szCs w:val="22"/>
        </w:rPr>
      </w:r>
    </w:p>
    <w:p>
      <w:pPr>
        <w:pStyle w:val="Normal"/>
        <w:spacing w:lineRule="auto" w:line="360"/>
        <w:jc w:val="center"/>
        <w:rPr>
          <w:rFonts w:ascii="Arial" w:hAnsi="Arial" w:cs="Arial"/>
          <w:sz w:val="22"/>
          <w:szCs w:val="22"/>
        </w:rPr>
      </w:pPr>
      <w:r>
        <w:rPr>
          <w:rFonts w:cs="Arial" w:ascii="Arial" w:hAnsi="Arial"/>
          <w:sz w:val="22"/>
          <w:szCs w:val="22"/>
        </w:rPr>
        <w:t>En Calamocha,</w:t>
      </w:r>
    </w:p>
    <w:p>
      <w:pPr>
        <w:pStyle w:val="Normal"/>
        <w:spacing w:lineRule="auto" w:line="360"/>
        <w:jc w:val="center"/>
        <w:rPr>
          <w:rFonts w:ascii="Arial" w:hAnsi="Arial" w:cs="Arial"/>
          <w:sz w:val="22"/>
          <w:szCs w:val="22"/>
        </w:rPr>
      </w:pPr>
      <w:r>
        <w:rPr>
          <w:rFonts w:cs="Arial" w:ascii="Arial" w:hAnsi="Arial"/>
          <w:sz w:val="22"/>
          <w:szCs w:val="22"/>
        </w:rPr>
        <w:t>LA PRESIDENTA DE LA COMARCA DEL JILOCA</w:t>
      </w:r>
    </w:p>
    <w:p>
      <w:pPr>
        <w:pStyle w:val="Normal"/>
        <w:widowControl w:val="false"/>
        <w:suppressAutoHyphens w:val="true"/>
        <w:spacing w:lineRule="auto" w:line="360"/>
        <w:ind w:right="-496" w:hanging="0"/>
        <w:jc w:val="center"/>
        <w:rPr>
          <w:rFonts w:ascii="Arial" w:hAnsi="Arial" w:cs="Arial"/>
          <w:b/>
          <w:b/>
          <w:bCs/>
          <w:kern w:val="2"/>
          <w:sz w:val="20"/>
          <w:szCs w:val="20"/>
          <w:lang w:eastAsia="ar-SA"/>
        </w:rPr>
      </w:pPr>
      <w:r>
        <w:rPr>
          <w:rFonts w:cs="Arial" w:ascii="Arial" w:hAnsi="Arial"/>
          <w:b/>
          <w:bCs/>
          <w:kern w:val="2"/>
          <w:sz w:val="20"/>
          <w:szCs w:val="20"/>
          <w:lang w:eastAsia="ar-SA"/>
        </w:rPr>
      </w:r>
    </w:p>
    <w:p>
      <w:pPr>
        <w:pStyle w:val="Normal"/>
        <w:rPr/>
      </w:pPr>
      <w:r>
        <w:rPr/>
      </w:r>
    </w:p>
    <w:p>
      <w:pPr>
        <w:pStyle w:val="Normal"/>
        <w:rPr/>
      </w:pPr>
      <w:r>
        <w:rPr/>
      </w:r>
    </w:p>
    <w:sectPr>
      <w:headerReference w:type="default" r:id="rId3"/>
      <w:type w:val="nextPage"/>
      <w:pgSz w:w="11906" w:h="16838"/>
      <w:pgMar w:left="1701" w:right="1701" w:header="708"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Verdana">
    <w:charset w:val="00"/>
    <w:family w:val="roman"/>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43075"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170" t="-425" r="-170" b="-425"/>
                  <a:stretch>
                    <a:fillRect/>
                  </a:stretch>
                </pic:blipFill>
                <pic:spPr bwMode="auto">
                  <a:xfrm>
                    <a:off x="0" y="0"/>
                    <a:ext cx="1743075" cy="69532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Letter"/>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
    <w:lvl w:ilvl="0">
      <w:numFmt w:val="bullet"/>
      <w:lvlText w:val="-"/>
      <w:lvlJc w:val="left"/>
      <w:pPr>
        <w:tabs>
          <w:tab w:val="num" w:pos="428"/>
        </w:tabs>
        <w:ind w:left="428" w:hanging="360"/>
      </w:pPr>
      <w:rPr>
        <w:rFonts w:ascii="Arial" w:hAnsi="Arial" w:cs="Arial" w:hint="default"/>
        <w:szCs w:val="22"/>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1080"/>
        </w:tabs>
        <w:ind w:left="576" w:hanging="360"/>
      </w:pPr>
      <w:rPr>
        <w:sz w:val="20"/>
        <w:szCs w:val="20"/>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lowerLetter"/>
      <w:lvlText w:val="%1)"/>
      <w:lvlJc w:val="left"/>
      <w:pPr>
        <w:tabs>
          <w:tab w:val="num" w:pos="792"/>
        </w:tabs>
        <w:ind w:left="792" w:hanging="360"/>
      </w:pPr>
      <w:rPr>
        <w:sz w:val="20"/>
        <w:b w:val="false"/>
        <w:szCs w:val="20"/>
        <w:rFonts w:cs="Arial"/>
      </w:r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rPr>
        <w:sz w:val="20"/>
        <w:b w:val="false"/>
        <w:szCs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6f12"/>
    <w:pPr>
      <w:widowControl/>
      <w:bidi w:val="0"/>
      <w:spacing w:lineRule="auto" w:line="240" w:before="0" w:after="0"/>
      <w:jc w:val="left"/>
    </w:pPr>
    <w:rPr>
      <w:rFonts w:ascii="Times New Roman" w:hAnsi="Times New Roman" w:eastAsia="Times New Roman" w:cs="Times New Roman"/>
      <w:color w:val="auto"/>
      <w:kern w:val="0"/>
      <w:sz w:val="24"/>
      <w:szCs w:val="24"/>
      <w:lang w:eastAsia="es-ES" w:val="es-ES" w:bidi="ar-SA"/>
    </w:rPr>
  </w:style>
  <w:style w:type="character" w:styleId="DefaultParagraphFont" w:default="1">
    <w:name w:val="Default Paragraph Font"/>
    <w:uiPriority w:val="1"/>
    <w:semiHidden/>
    <w:unhideWhenUsed/>
    <w:qFormat/>
    <w:rPr/>
  </w:style>
  <w:style w:type="character" w:styleId="EnlacedeInternet">
    <w:name w:val="Enlace de Internet"/>
    <w:uiPriority w:val="99"/>
    <w:semiHidden/>
    <w:unhideWhenUsed/>
    <w:rsid w:val="00596f12"/>
    <w:rPr>
      <w:strike w:val="false"/>
      <w:dstrike w:val="false"/>
      <w:color w:val="4C6F99"/>
      <w:u w:val="none"/>
      <w:effect w:val="none"/>
    </w:rPr>
  </w:style>
  <w:style w:type="character" w:styleId="EncabezadoCar" w:customStyle="1">
    <w:name w:val="Encabezado Car"/>
    <w:basedOn w:val="DefaultParagraphFont"/>
    <w:link w:val="Encabezado"/>
    <w:uiPriority w:val="99"/>
    <w:qFormat/>
    <w:rsid w:val="00b33e5a"/>
    <w:rPr>
      <w:rFonts w:ascii="Times New Roman" w:hAnsi="Times New Roman" w:eastAsia="Times New Roman" w:cs="Times New Roman"/>
      <w:sz w:val="24"/>
      <w:szCs w:val="24"/>
      <w:lang w:eastAsia="es-ES"/>
    </w:rPr>
  </w:style>
  <w:style w:type="character" w:styleId="PiedepginaCar" w:customStyle="1">
    <w:name w:val="Pie de página Car"/>
    <w:basedOn w:val="DefaultParagraphFont"/>
    <w:link w:val="Piedepgina"/>
    <w:uiPriority w:val="99"/>
    <w:qFormat/>
    <w:rsid w:val="00b33e5a"/>
    <w:rPr>
      <w:rFonts w:ascii="Times New Roman" w:hAnsi="Times New Roman" w:eastAsia="Times New Roman" w:cs="Times New Roman"/>
      <w:sz w:val="24"/>
      <w:szCs w:val="24"/>
      <w:lang w:eastAsia="es-ES"/>
    </w:rPr>
  </w:style>
  <w:style w:type="character" w:styleId="TextodegloboCar" w:customStyle="1">
    <w:name w:val="Texto de globo Car"/>
    <w:basedOn w:val="DefaultParagraphFont"/>
    <w:link w:val="Textodeglobo"/>
    <w:uiPriority w:val="99"/>
    <w:semiHidden/>
    <w:qFormat/>
    <w:rsid w:val="00b33e5a"/>
    <w:rPr>
      <w:rFonts w:ascii="Tahoma" w:hAnsi="Tahoma" w:eastAsia="Times New Roman" w:cs="Tahoma"/>
      <w:sz w:val="16"/>
      <w:szCs w:val="16"/>
      <w:lang w:eastAsia="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semiHidden/>
    <w:unhideWhenUsed/>
    <w:qFormat/>
    <w:rsid w:val="00596f12"/>
    <w:pPr>
      <w:spacing w:lineRule="auto" w:line="360"/>
      <w:ind w:left="528" w:right="71" w:firstLine="600"/>
      <w:jc w:val="both"/>
    </w:pPr>
    <w:rPr>
      <w:rFonts w:ascii="Verdana" w:hAnsi="Verdana" w:cs="Arial"/>
      <w:sz w:val="20"/>
    </w:rPr>
  </w:style>
  <w:style w:type="paragraph" w:styleId="Cabeceraypie">
    <w:name w:val="Cabecera y pie"/>
    <w:basedOn w:val="Normal"/>
    <w:qFormat/>
    <w:pPr/>
    <w:rPr/>
  </w:style>
  <w:style w:type="paragraph" w:styleId="Cabecera">
    <w:name w:val="Header"/>
    <w:basedOn w:val="Normal"/>
    <w:link w:val="EncabezadoCar"/>
    <w:uiPriority w:val="99"/>
    <w:unhideWhenUsed/>
    <w:rsid w:val="00b33e5a"/>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b33e5a"/>
    <w:pPr>
      <w:tabs>
        <w:tab w:val="clear" w:pos="708"/>
        <w:tab w:val="center" w:pos="4252" w:leader="none"/>
        <w:tab w:val="right" w:pos="8504" w:leader="none"/>
      </w:tabs>
    </w:pPr>
    <w:rPr/>
  </w:style>
  <w:style w:type="paragraph" w:styleId="BalloonText">
    <w:name w:val="Balloon Text"/>
    <w:basedOn w:val="Normal"/>
    <w:link w:val="TextodegloboCar"/>
    <w:uiPriority w:val="99"/>
    <w:semiHidden/>
    <w:unhideWhenUsed/>
    <w:qFormat/>
    <w:rsid w:val="00b33e5a"/>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iloca.es/"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Application>LibreOffice/6.4.1.2$Windows_X86_64 LibreOffice_project/4d224e95b98b138af42a64d84056446d09082932</Application>
  <Pages>8</Pages>
  <Words>2186</Words>
  <Characters>11974</Characters>
  <CharactersWithSpaces>14040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2020-09-15T09:42:00Z</dcterms:created>
  <dc:creator>Ribera Ríos S.L. Fotografía</dc:creator>
  <dc:description/>
  <dc:language>es-ES</dc:language>
  <cp:lastModifiedBy/>
  <cp:lastPrinted>2020-09-16T10:31:14Z</cp:lastPrinted>
  <dcterms:modified xsi:type="dcterms:W3CDTF">2020-09-16T10:32:30Z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