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uppressAutoHyphens w:val="true"/>
        <w:ind w:right="-493" w:hanging="0"/>
        <w:jc w:val="center"/>
        <w:rPr>
          <w:rFonts w:ascii="Arial" w:hAnsi="Arial" w:cs="Arial"/>
          <w:b/>
          <w:b/>
          <w:bCs/>
          <w:kern w:val="2"/>
          <w:lang w:eastAsia="ar-SA"/>
        </w:rPr>
      </w:pPr>
      <w:r>
        <w:rPr>
          <w:rFonts w:cs="Arial" w:ascii="Arial" w:hAnsi="Arial"/>
          <w:b/>
          <w:bCs/>
          <w:kern w:val="2"/>
          <w:lang w:eastAsia="ar-SA"/>
        </w:rPr>
        <w:t>BASES QUE RIGEN LA CONVOCATORIA DE SUBVENCIONES EN MATERIA DE CULTURA PARA LA DOTACIÓN DE RECURSOS A LAS BIBLIOTECAS UBICADAS EN LA COMARCA DEL JILOCA.</w:t>
      </w:r>
    </w:p>
    <w:p>
      <w:pPr>
        <w:pStyle w:val="Normal"/>
        <w:spacing w:lineRule="auto" w:line="360"/>
        <w:ind w:firstLine="284"/>
        <w:jc w:val="both"/>
        <w:rPr/>
      </w:pPr>
      <w:r>
        <w:rPr/>
      </w:r>
    </w:p>
    <w:p>
      <w:pPr>
        <w:pStyle w:val="Normal"/>
        <w:spacing w:lineRule="auto" w:line="360"/>
        <w:ind w:firstLine="284"/>
        <w:jc w:val="both"/>
        <w:rPr/>
      </w:pPr>
      <w:r>
        <w:rPr/>
      </w:r>
    </w:p>
    <w:p>
      <w:pPr>
        <w:pStyle w:val="NormalWeb"/>
        <w:shd w:val="clear" w:color="auto" w:fill="FFFFFF"/>
        <w:ind w:left="528" w:right="71" w:firstLine="284"/>
        <w:rPr>
          <w:rFonts w:ascii="Arial" w:hAnsi="Arial"/>
          <w:b/>
          <w:b/>
          <w:sz w:val="24"/>
          <w:u w:val="single"/>
        </w:rPr>
      </w:pPr>
      <w:r>
        <w:rPr>
          <w:rFonts w:ascii="Arial" w:hAnsi="Arial"/>
          <w:b/>
          <w:sz w:val="24"/>
          <w:u w:val="single"/>
        </w:rPr>
        <w:t>PRIMERA.- OBJETO Y FINALIDAD</w:t>
      </w:r>
    </w:p>
    <w:p>
      <w:pPr>
        <w:pStyle w:val="NormalWeb"/>
        <w:shd w:val="clear" w:color="auto" w:fill="FFFFFF"/>
        <w:ind w:left="528" w:right="71" w:firstLine="284"/>
        <w:rPr>
          <w:rFonts w:ascii="Arial" w:hAnsi="Arial"/>
          <w:b/>
          <w:b/>
          <w:szCs w:val="20"/>
          <w:u w:val="single"/>
        </w:rPr>
      </w:pPr>
      <w:r>
        <w:rPr>
          <w:rFonts w:ascii="Arial" w:hAnsi="Arial"/>
          <w:b/>
          <w:szCs w:val="20"/>
          <w:u w:val="single"/>
        </w:rPr>
      </w:r>
    </w:p>
    <w:p>
      <w:pPr>
        <w:pStyle w:val="NormalWeb"/>
        <w:shd w:val="clear" w:color="auto" w:fill="FFFFFF"/>
        <w:ind w:left="0" w:right="71" w:firstLine="851"/>
        <w:rPr>
          <w:rFonts w:ascii="Arial" w:hAnsi="Arial"/>
          <w:sz w:val="22"/>
          <w:szCs w:val="22"/>
        </w:rPr>
      </w:pPr>
      <w:r>
        <w:rPr>
          <w:rFonts w:ascii="Arial" w:hAnsi="Arial"/>
          <w:sz w:val="22"/>
          <w:szCs w:val="22"/>
        </w:rPr>
        <w:t>Es objeto de las presentes bases regular la convocatoria, en concurrencia competitiva, de subvenciones a otorgar por la Comarca del Jiloca en materia de Cultura durante el año 2020. El objeto de subvención es dotar a las bibliotecas ubicadas en la Comarca del Jiloca de los recursos necesarios para llevar acabo su actividad, ya sean materiales, didácticos, humanos o informáticos, y poder así cubrir las necesidades existentes.</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sz w:val="22"/>
          <w:szCs w:val="22"/>
        </w:rPr>
      </w:pPr>
      <w:r>
        <w:rPr>
          <w:rFonts w:ascii="Arial" w:hAnsi="Arial"/>
          <w:sz w:val="22"/>
          <w:szCs w:val="22"/>
        </w:rPr>
        <w:t>Podrá ser objeto de subvención la adquisición de recursos necesarios para la realización de la actividad de las distintas bibliotecas que se encuentran en el ámbito territorial de la Comarca del Jiloca, según gastos referidos en el apartado cuarto de la presente convocatoria.</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528" w:right="71" w:firstLine="284"/>
        <w:rPr>
          <w:rFonts w:ascii="Arial" w:hAnsi="Arial"/>
          <w:b/>
          <w:b/>
          <w:sz w:val="24"/>
          <w:u w:val="single"/>
        </w:rPr>
      </w:pPr>
      <w:r>
        <w:rPr>
          <w:rFonts w:ascii="Arial" w:hAnsi="Arial"/>
          <w:b/>
          <w:sz w:val="24"/>
          <w:u w:val="single"/>
        </w:rPr>
        <w:t>SEGUNDA.- BENEFICIARIOS Y REQUISITOS.</w:t>
      </w:r>
    </w:p>
    <w:p>
      <w:pPr>
        <w:pStyle w:val="NormalWeb"/>
        <w:shd w:val="clear" w:color="auto" w:fill="FFFFFF"/>
        <w:ind w:left="851" w:right="0" w:hanging="0"/>
        <w:rPr>
          <w:rFonts w:ascii="Arial" w:hAnsi="Arial"/>
          <w:b/>
          <w:b/>
          <w:sz w:val="22"/>
          <w:szCs w:val="22"/>
          <w:u w:val="single"/>
        </w:rPr>
      </w:pPr>
      <w:r>
        <w:rPr>
          <w:rFonts w:ascii="Arial" w:hAnsi="Arial"/>
          <w:b/>
          <w:sz w:val="22"/>
          <w:szCs w:val="22"/>
          <w:u w:val="single"/>
        </w:rPr>
      </w:r>
    </w:p>
    <w:p>
      <w:pPr>
        <w:pStyle w:val="NormalWeb"/>
        <w:numPr>
          <w:ilvl w:val="0"/>
          <w:numId w:val="1"/>
        </w:numPr>
        <w:shd w:val="clear" w:color="auto" w:fill="FFFFFF"/>
        <w:ind w:left="0" w:right="0" w:firstLine="851"/>
        <w:rPr>
          <w:rFonts w:ascii="Arial" w:hAnsi="Arial"/>
          <w:b/>
          <w:b/>
          <w:sz w:val="22"/>
          <w:szCs w:val="22"/>
          <w:u w:val="single"/>
        </w:rPr>
      </w:pPr>
      <w:r>
        <w:rPr>
          <w:rFonts w:ascii="Arial" w:hAnsi="Arial"/>
          <w:b/>
          <w:sz w:val="22"/>
          <w:szCs w:val="22"/>
          <w:u w:val="single"/>
        </w:rPr>
        <w:t>Beneficiarios</w:t>
      </w:r>
    </w:p>
    <w:p>
      <w:pPr>
        <w:pStyle w:val="NormalWeb"/>
        <w:shd w:val="clear" w:color="auto" w:fill="FFFFFF"/>
        <w:ind w:left="0" w:right="71" w:firstLine="851"/>
        <w:rPr>
          <w:rFonts w:ascii="Arial" w:hAnsi="Arial"/>
          <w:sz w:val="22"/>
          <w:szCs w:val="22"/>
        </w:rPr>
      </w:pPr>
      <w:r>
        <w:rPr>
          <w:rFonts w:ascii="Arial" w:hAnsi="Arial"/>
          <w:sz w:val="22"/>
          <w:szCs w:val="22"/>
        </w:rPr>
        <w:t>Tendrán la consideración de beneficiarios de estas ayudas económicas, las bibliotecas de la Comarca del Jiloca que cumplan con los requisitos y realicen un listado de recursos en el que se incluyan los gastos de la adquisición de estos recursos.</w:t>
      </w:r>
    </w:p>
    <w:p>
      <w:pPr>
        <w:pStyle w:val="NormalWeb"/>
        <w:shd w:val="clear" w:color="auto" w:fill="FFFFFF"/>
        <w:ind w:left="0" w:right="71" w:firstLine="851"/>
        <w:rPr>
          <w:rFonts w:ascii="Arial" w:hAnsi="Arial"/>
          <w:b/>
          <w:b/>
          <w:sz w:val="22"/>
          <w:szCs w:val="22"/>
          <w:u w:val="single"/>
        </w:rPr>
      </w:pPr>
      <w:r>
        <w:rPr>
          <w:rFonts w:ascii="Arial" w:hAnsi="Arial"/>
          <w:b/>
          <w:sz w:val="22"/>
          <w:szCs w:val="22"/>
          <w:u w:val="single"/>
        </w:rPr>
      </w:r>
    </w:p>
    <w:p>
      <w:pPr>
        <w:pStyle w:val="NormalWeb"/>
        <w:numPr>
          <w:ilvl w:val="0"/>
          <w:numId w:val="1"/>
        </w:numPr>
        <w:shd w:val="clear" w:color="auto" w:fill="FFFFFF"/>
        <w:ind w:left="0" w:right="0" w:firstLine="851"/>
        <w:rPr>
          <w:rFonts w:ascii="Arial" w:hAnsi="Arial"/>
          <w:b/>
          <w:b/>
          <w:sz w:val="22"/>
          <w:szCs w:val="22"/>
          <w:u w:val="single"/>
        </w:rPr>
      </w:pPr>
      <w:r>
        <w:rPr>
          <w:rFonts w:ascii="Arial" w:hAnsi="Arial"/>
          <w:b/>
          <w:sz w:val="22"/>
          <w:szCs w:val="22"/>
          <w:u w:val="single"/>
        </w:rPr>
        <w:t>Línea de actuación</w:t>
      </w:r>
    </w:p>
    <w:p>
      <w:pPr>
        <w:pStyle w:val="NormalWeb"/>
        <w:shd w:val="clear" w:color="auto" w:fill="FFFFFF"/>
        <w:ind w:left="0" w:right="71" w:firstLine="851"/>
        <w:rPr>
          <w:rFonts w:ascii="Arial" w:hAnsi="Arial"/>
          <w:sz w:val="22"/>
          <w:szCs w:val="22"/>
        </w:rPr>
      </w:pPr>
      <w:r>
        <w:rPr>
          <w:rFonts w:ascii="Arial" w:hAnsi="Arial"/>
          <w:sz w:val="22"/>
          <w:szCs w:val="22"/>
        </w:rPr>
        <w:t>Dotar de recursos necesarios para el desarrollo de la actividad de bibliotecas de la Comarca del Jiloca.</w:t>
      </w:r>
    </w:p>
    <w:p>
      <w:pPr>
        <w:pStyle w:val="NormalWeb"/>
        <w:shd w:val="clear" w:color="auto" w:fill="FFFFFF"/>
        <w:ind w:left="851" w:right="0" w:hanging="0"/>
        <w:rPr>
          <w:rFonts w:ascii="Arial" w:hAnsi="Arial"/>
          <w:b/>
          <w:b/>
          <w:sz w:val="22"/>
          <w:szCs w:val="22"/>
          <w:u w:val="single"/>
        </w:rPr>
      </w:pPr>
      <w:r>
        <w:rPr>
          <w:rFonts w:ascii="Arial" w:hAnsi="Arial"/>
          <w:b/>
          <w:sz w:val="22"/>
          <w:szCs w:val="22"/>
          <w:u w:val="single"/>
        </w:rPr>
      </w:r>
    </w:p>
    <w:p>
      <w:pPr>
        <w:pStyle w:val="NormalWeb"/>
        <w:numPr>
          <w:ilvl w:val="0"/>
          <w:numId w:val="1"/>
        </w:numPr>
        <w:shd w:val="clear" w:color="auto" w:fill="FFFFFF"/>
        <w:ind w:left="0" w:right="0" w:firstLine="851"/>
        <w:rPr>
          <w:rFonts w:ascii="Arial" w:hAnsi="Arial"/>
          <w:b/>
          <w:b/>
          <w:sz w:val="22"/>
          <w:szCs w:val="22"/>
          <w:u w:val="single"/>
        </w:rPr>
      </w:pPr>
      <w:r>
        <w:rPr>
          <w:rFonts w:ascii="Arial" w:hAnsi="Arial"/>
          <w:b/>
          <w:sz w:val="22"/>
          <w:szCs w:val="22"/>
          <w:u w:val="single"/>
        </w:rPr>
        <w:t>Requisitos</w:t>
      </w:r>
    </w:p>
    <w:p>
      <w:pPr>
        <w:pStyle w:val="Normal"/>
        <w:numPr>
          <w:ilvl w:val="1"/>
          <w:numId w:val="1"/>
        </w:numPr>
        <w:spacing w:lineRule="auto" w:line="360"/>
        <w:ind w:left="0" w:firstLine="851"/>
        <w:jc w:val="both"/>
        <w:rPr>
          <w:rFonts w:ascii="Arial" w:hAnsi="Arial" w:cs="Arial"/>
          <w:sz w:val="22"/>
          <w:szCs w:val="22"/>
        </w:rPr>
      </w:pPr>
      <w:r>
        <w:rPr>
          <w:rFonts w:cs="Arial" w:ascii="Arial" w:hAnsi="Arial"/>
          <w:sz w:val="22"/>
          <w:szCs w:val="22"/>
        </w:rPr>
        <w:t>No incurrir en ninguna de las prohibiciones que se establecen en el art. 13 de la Ley 38/2003, General de Subvenciones.</w:t>
      </w:r>
    </w:p>
    <w:p>
      <w:pPr>
        <w:pStyle w:val="Normal"/>
        <w:numPr>
          <w:ilvl w:val="1"/>
          <w:numId w:val="1"/>
        </w:numPr>
        <w:spacing w:lineRule="auto" w:line="360"/>
        <w:ind w:left="0" w:firstLine="851"/>
        <w:jc w:val="both"/>
        <w:rPr>
          <w:rFonts w:ascii="Arial" w:hAnsi="Arial" w:cs="Arial"/>
          <w:sz w:val="22"/>
          <w:szCs w:val="22"/>
        </w:rPr>
      </w:pPr>
      <w:r>
        <w:rPr>
          <w:rFonts w:cs="Arial" w:ascii="Arial" w:hAnsi="Arial"/>
          <w:sz w:val="22"/>
          <w:szCs w:val="22"/>
        </w:rPr>
        <w:t>Hallarse al corriente de las obligaciones Tributarias y con la Seguridad Social y con la Hacienda de la Comunidad Autónoma de Aragón.</w:t>
      </w:r>
    </w:p>
    <w:p>
      <w:pPr>
        <w:pStyle w:val="Normal"/>
        <w:numPr>
          <w:ilvl w:val="1"/>
          <w:numId w:val="1"/>
        </w:numPr>
        <w:spacing w:lineRule="auto" w:line="360"/>
        <w:ind w:left="0" w:firstLine="851"/>
        <w:jc w:val="both"/>
        <w:rPr>
          <w:rFonts w:ascii="Arial" w:hAnsi="Arial" w:cs="Arial"/>
          <w:sz w:val="22"/>
          <w:szCs w:val="22"/>
        </w:rPr>
      </w:pPr>
      <w:r>
        <w:rPr>
          <w:rFonts w:cs="Arial" w:ascii="Arial" w:hAnsi="Arial"/>
          <w:sz w:val="22"/>
          <w:szCs w:val="22"/>
        </w:rPr>
        <w:t>Tener su sede social en alguno de los municipios de la Comarca del Jiloca.</w:t>
      </w:r>
    </w:p>
    <w:p>
      <w:pPr>
        <w:pStyle w:val="NormalWeb"/>
        <w:shd w:val="clear" w:color="auto" w:fill="FFFFFF"/>
        <w:ind w:left="0" w:right="71" w:hanging="0"/>
        <w:rPr>
          <w:rFonts w:ascii="Arial" w:hAnsi="Arial"/>
          <w:sz w:val="22"/>
          <w:szCs w:val="22"/>
        </w:rPr>
      </w:pPr>
      <w:r>
        <w:rPr>
          <w:rFonts w:ascii="Arial" w:hAnsi="Arial"/>
          <w:sz w:val="22"/>
          <w:szCs w:val="22"/>
        </w:rPr>
      </w:r>
    </w:p>
    <w:p>
      <w:pPr>
        <w:pStyle w:val="NormalWeb"/>
        <w:shd w:val="clear" w:color="auto" w:fill="FFFFFF"/>
        <w:ind w:left="528" w:right="71" w:firstLine="284"/>
        <w:rPr>
          <w:rFonts w:ascii="Arial" w:hAnsi="Arial"/>
          <w:b/>
          <w:b/>
          <w:sz w:val="24"/>
          <w:u w:val="single"/>
        </w:rPr>
      </w:pPr>
      <w:r>
        <w:rPr>
          <w:rFonts w:ascii="Arial" w:hAnsi="Arial"/>
          <w:b/>
          <w:sz w:val="24"/>
          <w:u w:val="single"/>
        </w:rPr>
        <w:t>TERCERA.- PRESENTACIÓN DE SOLICITUDES Y DOCUMENTACIÓN.</w:t>
      </w:r>
    </w:p>
    <w:p>
      <w:pPr>
        <w:pStyle w:val="NormalWeb"/>
        <w:shd w:val="clear" w:color="auto" w:fill="FFFFFF"/>
        <w:ind w:left="528" w:right="71" w:firstLine="284"/>
        <w:rPr>
          <w:rFonts w:ascii="Arial" w:hAnsi="Arial"/>
          <w:b/>
          <w:b/>
          <w:sz w:val="24"/>
          <w:u w:val="single"/>
        </w:rPr>
      </w:pPr>
      <w:r>
        <w:rPr>
          <w:rFonts w:ascii="Arial" w:hAnsi="Arial"/>
          <w:b/>
          <w:sz w:val="24"/>
          <w:u w:val="single"/>
        </w:rPr>
      </w:r>
    </w:p>
    <w:p>
      <w:pPr>
        <w:pStyle w:val="Normal"/>
        <w:spacing w:lineRule="auto" w:line="360"/>
        <w:ind w:right="144" w:firstLine="851"/>
        <w:jc w:val="both"/>
        <w:rPr>
          <w:rFonts w:ascii="Arial" w:hAnsi="Arial" w:cs="Arial"/>
          <w:sz w:val="22"/>
          <w:szCs w:val="22"/>
        </w:rPr>
      </w:pPr>
      <w:r>
        <w:rPr>
          <w:rFonts w:cs="Arial" w:ascii="Arial" w:hAnsi="Arial"/>
          <w:sz w:val="22"/>
          <w:szCs w:val="22"/>
        </w:rPr>
        <w:t>Las solicitudes, dirigidas a la Sra. Presidenta de la Comarca del Jiloca, se presentarán en el Registro General de la Comarca en C/ Corona de Aragón nº 43 de Calamocha (Teruel), o por cualquiera de los medios señalados en el art. 16 de la Ley 39/2015, del Procedimiento administrativo común, en el plazo de 20 días desde la publicación de la presente Convocatoria en el Boletín Oficial de la Provincia de Teruel.</w:t>
      </w:r>
    </w:p>
    <w:p>
      <w:pPr>
        <w:pStyle w:val="Normal"/>
        <w:spacing w:lineRule="auto" w:line="360"/>
        <w:ind w:firstLine="851"/>
        <w:rPr>
          <w:rFonts w:ascii="Arial" w:hAnsi="Arial" w:cs="Arial"/>
          <w:sz w:val="22"/>
          <w:szCs w:val="22"/>
        </w:rPr>
      </w:pPr>
      <w:r>
        <w:rPr>
          <w:rFonts w:cs="Arial" w:ascii="Arial" w:hAnsi="Arial"/>
          <w:sz w:val="22"/>
          <w:szCs w:val="22"/>
        </w:rPr>
        <w:t>Cada solicitud deberá contemplar la siguiente documentación:</w:t>
      </w:r>
    </w:p>
    <w:p>
      <w:pPr>
        <w:pStyle w:val="Normal"/>
        <w:widowControl w:val="false"/>
        <w:numPr>
          <w:ilvl w:val="0"/>
          <w:numId w:val="2"/>
        </w:numPr>
        <w:tabs>
          <w:tab w:val="clear" w:pos="708"/>
          <w:tab w:val="left" w:pos="720" w:leader="none"/>
        </w:tabs>
        <w:suppressAutoHyphens w:val="true"/>
        <w:spacing w:lineRule="auto" w:line="360"/>
        <w:ind w:left="0" w:right="135" w:firstLine="851"/>
        <w:jc w:val="both"/>
        <w:rPr>
          <w:rFonts w:ascii="Arial" w:hAnsi="Arial" w:cs="Arial"/>
          <w:sz w:val="22"/>
          <w:szCs w:val="22"/>
        </w:rPr>
      </w:pPr>
      <w:r>
        <w:rPr>
          <w:rFonts w:cs="Arial" w:ascii="Arial" w:hAnsi="Arial"/>
          <w:b/>
          <w:sz w:val="22"/>
          <w:szCs w:val="22"/>
        </w:rPr>
        <w:t>Anexo I. Solicitud de subvención</w:t>
      </w:r>
      <w:r>
        <w:rPr>
          <w:rFonts w:cs="Arial" w:ascii="Arial" w:hAnsi="Arial"/>
          <w:sz w:val="22"/>
          <w:szCs w:val="22"/>
        </w:rPr>
        <w:t>. Deberá cumplimentarse con todos los datos y contar con la firma del representante legal de la entidad.</w:t>
      </w:r>
    </w:p>
    <w:p>
      <w:pPr>
        <w:pStyle w:val="Normal"/>
        <w:widowControl w:val="false"/>
        <w:numPr>
          <w:ilvl w:val="0"/>
          <w:numId w:val="2"/>
        </w:numPr>
        <w:tabs>
          <w:tab w:val="clear" w:pos="708"/>
          <w:tab w:val="left" w:pos="720" w:leader="none"/>
        </w:tabs>
        <w:suppressAutoHyphens w:val="true"/>
        <w:spacing w:lineRule="auto" w:line="360"/>
        <w:ind w:left="0" w:firstLine="851"/>
        <w:jc w:val="both"/>
        <w:rPr>
          <w:rFonts w:ascii="Arial" w:hAnsi="Arial" w:cs="Arial"/>
          <w:sz w:val="22"/>
          <w:szCs w:val="22"/>
        </w:rPr>
      </w:pPr>
      <w:r>
        <w:rPr>
          <w:rFonts w:cs="Arial" w:ascii="Arial" w:hAnsi="Arial"/>
          <w:b/>
          <w:sz w:val="22"/>
          <w:szCs w:val="22"/>
        </w:rPr>
        <w:t>Anexo II. Datos de la actividad para la que se solicita subvención</w:t>
      </w:r>
      <w:r>
        <w:rPr>
          <w:rFonts w:cs="Arial" w:ascii="Arial" w:hAnsi="Arial"/>
          <w:sz w:val="22"/>
          <w:szCs w:val="22"/>
        </w:rPr>
        <w:t>.</w:t>
      </w:r>
    </w:p>
    <w:p>
      <w:pPr>
        <w:pStyle w:val="Normal"/>
        <w:spacing w:lineRule="auto" w:line="360"/>
        <w:ind w:right="144" w:firstLine="851"/>
        <w:jc w:val="both"/>
        <w:rPr>
          <w:rFonts w:ascii="Arial" w:hAnsi="Arial" w:cs="Arial"/>
          <w:spacing w:val="2"/>
          <w:sz w:val="22"/>
          <w:szCs w:val="22"/>
        </w:rPr>
      </w:pPr>
      <w:r>
        <w:rPr>
          <w:rFonts w:cs="Arial" w:ascii="Arial" w:hAnsi="Arial"/>
          <w:spacing w:val="2"/>
          <w:sz w:val="22"/>
          <w:szCs w:val="22"/>
        </w:rPr>
      </w:r>
    </w:p>
    <w:p>
      <w:pPr>
        <w:pStyle w:val="Normal"/>
        <w:spacing w:lineRule="auto" w:line="360"/>
        <w:ind w:right="144" w:firstLine="851"/>
        <w:jc w:val="both"/>
        <w:rPr>
          <w:rFonts w:ascii="Arial" w:hAnsi="Arial" w:cs="Arial"/>
          <w:spacing w:val="2"/>
          <w:sz w:val="22"/>
          <w:szCs w:val="22"/>
        </w:rPr>
      </w:pPr>
      <w:r>
        <w:rPr>
          <w:rFonts w:cs="Arial" w:ascii="Arial" w:hAnsi="Arial"/>
          <w:spacing w:val="2"/>
          <w:sz w:val="22"/>
          <w:szCs w:val="22"/>
        </w:rPr>
        <w:t xml:space="preserve">Los documentos de solicitud y justificación se ajustarán a los modelos normalizados Anexos I, II y III, aprobados por la Comarca del Jiloca, disponibles  </w:t>
      </w:r>
      <w:hyperlink r:id="rId2">
        <w:r>
          <w:rPr>
            <w:rStyle w:val="EnlacedeInternet"/>
            <w:rFonts w:cs="Arial" w:ascii="Arial" w:hAnsi="Arial"/>
            <w:color w:val="auto"/>
            <w:spacing w:val="2"/>
            <w:sz w:val="22"/>
            <w:szCs w:val="22"/>
          </w:rPr>
          <w:t>www.jiloca.es</w:t>
        </w:r>
      </w:hyperlink>
      <w:r>
        <w:rPr>
          <w:rFonts w:cs="Arial" w:ascii="Arial" w:hAnsi="Arial"/>
          <w:spacing w:val="2"/>
          <w:sz w:val="22"/>
          <w:szCs w:val="22"/>
        </w:rPr>
        <w:t xml:space="preserve"> en el apartado de convocatorias.</w:t>
      </w:r>
    </w:p>
    <w:p>
      <w:pPr>
        <w:pStyle w:val="Normal"/>
        <w:spacing w:lineRule="auto" w:line="360"/>
        <w:ind w:right="144" w:firstLine="851"/>
        <w:jc w:val="both"/>
        <w:rPr>
          <w:rFonts w:ascii="Arial" w:hAnsi="Arial" w:cs="Arial"/>
          <w:spacing w:val="2"/>
          <w:sz w:val="22"/>
          <w:szCs w:val="22"/>
        </w:rPr>
      </w:pPr>
      <w:r>
        <w:rPr>
          <w:rFonts w:cs="Arial" w:ascii="Arial" w:hAnsi="Arial"/>
          <w:spacing w:val="2"/>
          <w:sz w:val="22"/>
          <w:szCs w:val="22"/>
        </w:rPr>
      </w:r>
    </w:p>
    <w:p>
      <w:pPr>
        <w:pStyle w:val="Normal"/>
        <w:spacing w:lineRule="auto" w:line="360"/>
        <w:ind w:right="144" w:firstLine="851"/>
        <w:jc w:val="both"/>
        <w:rPr>
          <w:rFonts w:ascii="Arial" w:hAnsi="Arial" w:cs="Arial"/>
          <w:sz w:val="22"/>
          <w:szCs w:val="22"/>
        </w:rPr>
      </w:pPr>
      <w:r>
        <w:rPr>
          <w:rFonts w:cs="Arial" w:ascii="Arial" w:hAnsi="Arial"/>
          <w:sz w:val="22"/>
          <w:szCs w:val="22"/>
        </w:rPr>
        <w:t>La falsedad de cualquiera de los datos presentados dará lugar al archivo del expediente, reservándose la Comarca emprender las acciones legales oportunas.</w:t>
      </w:r>
    </w:p>
    <w:p>
      <w:pPr>
        <w:pStyle w:val="Normal"/>
        <w:spacing w:lineRule="auto" w:line="360"/>
        <w:ind w:firstLine="851"/>
        <w:rPr>
          <w:rFonts w:ascii="Arial" w:hAnsi="Arial" w:cs="Arial"/>
          <w:sz w:val="22"/>
          <w:szCs w:val="22"/>
        </w:rPr>
      </w:pPr>
      <w:r>
        <w:rPr>
          <w:rFonts w:cs="Arial" w:ascii="Arial" w:hAnsi="Arial"/>
          <w:sz w:val="22"/>
          <w:szCs w:val="22"/>
        </w:rPr>
        <w:t>Estos anexos se presentan en dos formatos alternativos:</w:t>
      </w:r>
    </w:p>
    <w:p>
      <w:pPr>
        <w:pStyle w:val="Normal"/>
        <w:widowControl w:val="false"/>
        <w:numPr>
          <w:ilvl w:val="0"/>
          <w:numId w:val="3"/>
        </w:numPr>
        <w:tabs>
          <w:tab w:val="clear" w:pos="708"/>
          <w:tab w:val="left" w:pos="720" w:leader="none"/>
        </w:tabs>
        <w:suppressAutoHyphens w:val="true"/>
        <w:spacing w:lineRule="auto" w:line="360"/>
        <w:ind w:left="0" w:firstLine="851"/>
        <w:rPr>
          <w:rFonts w:ascii="Arial" w:hAnsi="Arial" w:cs="Arial"/>
          <w:sz w:val="22"/>
          <w:szCs w:val="22"/>
        </w:rPr>
      </w:pPr>
      <w:r>
        <w:rPr>
          <w:rFonts w:cs="Arial" w:ascii="Arial" w:hAnsi="Arial"/>
          <w:sz w:val="22"/>
          <w:szCs w:val="22"/>
        </w:rPr>
        <w:t>Formato PDF para su cumplimentación manual en papel.</w:t>
      </w:r>
    </w:p>
    <w:p>
      <w:pPr>
        <w:pStyle w:val="Normal"/>
        <w:widowControl w:val="false"/>
        <w:numPr>
          <w:ilvl w:val="0"/>
          <w:numId w:val="3"/>
        </w:numPr>
        <w:tabs>
          <w:tab w:val="clear" w:pos="708"/>
          <w:tab w:val="left" w:pos="720" w:leader="none"/>
        </w:tabs>
        <w:suppressAutoHyphens w:val="true"/>
        <w:spacing w:lineRule="auto" w:line="360"/>
        <w:ind w:left="0" w:firstLine="851"/>
        <w:rPr>
          <w:rFonts w:ascii="Arial" w:hAnsi="Arial" w:cs="Arial"/>
          <w:sz w:val="22"/>
          <w:szCs w:val="22"/>
        </w:rPr>
      </w:pPr>
      <w:r>
        <w:rPr>
          <w:rFonts w:cs="Arial" w:ascii="Arial" w:hAnsi="Arial"/>
          <w:sz w:val="22"/>
          <w:szCs w:val="22"/>
        </w:rPr>
        <w:t>Formato MS Word autorrellenable.</w:t>
      </w:r>
    </w:p>
    <w:p>
      <w:pPr>
        <w:pStyle w:val="Normal"/>
        <w:spacing w:lineRule="auto" w:line="360"/>
        <w:ind w:firstLine="851"/>
        <w:jc w:val="both"/>
        <w:rPr>
          <w:rFonts w:ascii="Arial" w:hAnsi="Arial" w:cs="Arial"/>
          <w:sz w:val="22"/>
          <w:szCs w:val="22"/>
        </w:rPr>
      </w:pPr>
      <w:r>
        <w:rPr>
          <w:rFonts w:cs="Arial" w:ascii="Arial" w:hAnsi="Arial"/>
          <w:sz w:val="22"/>
          <w:szCs w:val="22"/>
        </w:rPr>
        <w:t>Si la solicitud no reúne todos los requisitos establecidos en esta Convocatoria, el órgano competente requerirá al interesado para que la subsane en el plazo máximo e improrrogable de diez días. Transcurrido dicho plazo se le tendrá por desistido de su solicitud y se procederá al archivo de su expediente, previa resolución que deberá ser dictada en los términos previstos en la Ley 39/2015.</w:t>
      </w:r>
    </w:p>
    <w:p>
      <w:pPr>
        <w:pStyle w:val="Normal"/>
        <w:spacing w:lineRule="auto" w:line="360"/>
        <w:ind w:firstLine="851"/>
        <w:jc w:val="both"/>
        <w:rPr>
          <w:rFonts w:ascii="Arial" w:hAnsi="Arial" w:cs="Arial"/>
          <w:b/>
          <w:b/>
          <w:bCs/>
        </w:rPr>
      </w:pPr>
      <w:r>
        <w:rPr>
          <w:rFonts w:cs="Arial" w:ascii="Arial" w:hAnsi="Arial"/>
          <w:b/>
          <w:bCs/>
        </w:rPr>
      </w:r>
    </w:p>
    <w:p>
      <w:pPr>
        <w:pStyle w:val="NormalWeb"/>
        <w:shd w:val="clear" w:color="auto" w:fill="FFFFFF"/>
        <w:ind w:left="0" w:right="71" w:firstLine="851"/>
        <w:rPr>
          <w:rFonts w:ascii="Arial" w:hAnsi="Arial"/>
          <w:b/>
          <w:b/>
          <w:sz w:val="24"/>
          <w:u w:val="single"/>
        </w:rPr>
      </w:pPr>
      <w:r>
        <w:rPr>
          <w:rFonts w:ascii="Arial" w:hAnsi="Arial"/>
          <w:b/>
          <w:sz w:val="24"/>
          <w:u w:val="single"/>
        </w:rPr>
        <w:t>CUARTA.- GASTOS SUBVENCIONABLES.</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sz w:val="22"/>
          <w:szCs w:val="22"/>
        </w:rPr>
      </w:pPr>
      <w:r>
        <w:rPr>
          <w:rFonts w:ascii="Arial" w:hAnsi="Arial"/>
          <w:sz w:val="22"/>
          <w:szCs w:val="22"/>
        </w:rPr>
        <w:t xml:space="preserve">Podrán ser gastos subvencionables, aquellos que de manera indubitable respondan a la naturaleza de los recursos para los que hayan sido subvencionados y se realicen entre el periodo comprendido entre </w:t>
      </w:r>
      <w:r>
        <w:rPr>
          <w:rFonts w:ascii="Arial" w:hAnsi="Arial"/>
          <w:sz w:val="22"/>
          <w:szCs w:val="22"/>
        </w:rPr>
        <w:t xml:space="preserve">el </w:t>
      </w:r>
      <w:r>
        <w:rPr>
          <w:rFonts w:ascii="Arial" w:hAnsi="Arial"/>
          <w:sz w:val="22"/>
          <w:szCs w:val="22"/>
        </w:rPr>
        <w:t xml:space="preserve">1 de enero </w:t>
      </w:r>
      <w:r>
        <w:rPr>
          <w:rFonts w:ascii="Arial" w:hAnsi="Arial"/>
          <w:sz w:val="22"/>
          <w:szCs w:val="22"/>
        </w:rPr>
        <w:t xml:space="preserve">de 2020 y el </w:t>
      </w:r>
      <w:r>
        <w:rPr>
          <w:rFonts w:ascii="Arial" w:hAnsi="Arial"/>
          <w:sz w:val="22"/>
          <w:szCs w:val="22"/>
        </w:rPr>
        <w:t xml:space="preserve"> 31 de diciembre </w:t>
      </w:r>
      <w:r>
        <w:rPr>
          <w:rFonts w:ascii="Arial" w:hAnsi="Arial"/>
          <w:sz w:val="22"/>
          <w:szCs w:val="22"/>
        </w:rPr>
        <w:t>de 2020</w:t>
      </w:r>
      <w:r>
        <w:rPr>
          <w:rFonts w:ascii="Arial" w:hAnsi="Arial"/>
          <w:sz w:val="22"/>
          <w:szCs w:val="22"/>
        </w:rPr>
        <w:t xml:space="preserve"> en el ámbito territorial de la Comarca del Jiloca.</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sz w:val="22"/>
          <w:szCs w:val="22"/>
        </w:rPr>
      </w:pPr>
      <w:r>
        <w:rPr>
          <w:rFonts w:ascii="Arial" w:hAnsi="Arial"/>
          <w:sz w:val="22"/>
          <w:szCs w:val="22"/>
        </w:rPr>
        <w:t>Se consideran subvencionables:</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Libros.</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Compra de equipamiento inventariable.</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Retribuciones o remuneraciones del personal contratado por la entidad beneficiaria.</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Cuotas correspondientes a la Seguridad Social relativas a la contratación de dicho personal.</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Gastos de medios y materiales didácticos necesarios para la realización de la actividad de las bibliotecas.</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sz w:val="22"/>
          <w:szCs w:val="22"/>
        </w:rPr>
      </w:pPr>
      <w:r>
        <w:rPr>
          <w:rFonts w:ascii="Arial" w:hAnsi="Arial"/>
          <w:sz w:val="22"/>
          <w:szCs w:val="22"/>
        </w:rPr>
        <w:t>NO SERÁN SUBVENCIONABLES:</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Los gastos de alojamiento, comidas, aperitivos o similares, dietas, viajes, regalos o atenciones protocolarías.</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Los gastos corrientes de funcionamiento (luz, teléfono, alquileres…)</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Los intereses deudores de las cuentas bancarias. Intereses, recargos y sanciones administrativas y penales. Los gastos de procedimientos judiciales.</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Los impuestos indirectos cuando sean susceptibles de recuperación o compensación.</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b/>
          <w:b/>
          <w:sz w:val="24"/>
          <w:u w:val="single"/>
        </w:rPr>
      </w:pPr>
      <w:r>
        <w:rPr>
          <w:rFonts w:ascii="Arial" w:hAnsi="Arial"/>
          <w:b/>
          <w:sz w:val="24"/>
          <w:u w:val="single"/>
        </w:rPr>
        <w:t>QUINTA.- ÓRGANOS COMPETENTES PARA LA INSTRUCCIÓN Y RESOLUCIÓN DEL PROCEDIMIENTO.</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
        <w:spacing w:lineRule="auto" w:line="360"/>
        <w:ind w:firstLine="851"/>
        <w:jc w:val="both"/>
        <w:rPr>
          <w:rFonts w:ascii="Arial" w:hAnsi="Arial" w:cs="Arial"/>
          <w:sz w:val="22"/>
          <w:szCs w:val="22"/>
        </w:rPr>
      </w:pPr>
      <w:r>
        <w:rPr>
          <w:rFonts w:cs="Arial" w:ascii="Arial" w:hAnsi="Arial"/>
          <w:sz w:val="22"/>
          <w:szCs w:val="22"/>
        </w:rPr>
        <w:t xml:space="preserve">El órgano instructor será la Consejería de Cultura y Educación de la Comarca del Jiloca. </w:t>
      </w:r>
    </w:p>
    <w:p>
      <w:pPr>
        <w:pStyle w:val="Normal"/>
        <w:spacing w:lineRule="auto" w:line="360"/>
        <w:ind w:firstLine="851"/>
        <w:jc w:val="both"/>
        <w:rPr>
          <w:rFonts w:ascii="Arial" w:hAnsi="Arial" w:cs="Arial"/>
          <w:sz w:val="22"/>
          <w:szCs w:val="22"/>
        </w:rPr>
      </w:pPr>
      <w:r>
        <w:rPr>
          <w:rFonts w:cs="Arial" w:ascii="Arial" w:hAnsi="Arial"/>
          <w:sz w:val="22"/>
          <w:szCs w:val="22"/>
        </w:rPr>
        <w:t xml:space="preserve">5.1. La evaluación de las solicitudes corresponderá a una comisión de valoración formada por la Consejería de Cultura y Educación y que realizará el examen de las solicitudes y elaborará informe, constituyendo dicho informe base de la propuesta de resolución del órgano instructor. </w:t>
      </w:r>
    </w:p>
    <w:p>
      <w:pPr>
        <w:pStyle w:val="Normal"/>
        <w:spacing w:lineRule="auto" w:line="360"/>
        <w:ind w:firstLine="851"/>
        <w:jc w:val="both"/>
        <w:rPr>
          <w:rFonts w:ascii="Arial" w:hAnsi="Arial" w:cs="Arial"/>
          <w:sz w:val="22"/>
          <w:szCs w:val="22"/>
        </w:rPr>
      </w:pPr>
      <w:r>
        <w:rPr>
          <w:rFonts w:cs="Arial" w:ascii="Arial" w:hAnsi="Arial"/>
          <w:sz w:val="22"/>
          <w:szCs w:val="22"/>
        </w:rPr>
        <w:t>5.2.- El órgano instructor a la vista del contenido del expediente y del informe de la comisión de valoración formulará la propuesta de resolución provisional. En el supuesto de diferir del informe técnico de valoración deberá motivarse debidamente.</w:t>
      </w:r>
    </w:p>
    <w:p>
      <w:pPr>
        <w:pStyle w:val="Normal"/>
        <w:spacing w:lineRule="auto" w:line="360"/>
        <w:ind w:firstLine="851"/>
        <w:jc w:val="both"/>
        <w:rPr>
          <w:rFonts w:ascii="Arial" w:hAnsi="Arial" w:cs="Arial"/>
          <w:sz w:val="22"/>
          <w:szCs w:val="22"/>
        </w:rPr>
      </w:pPr>
      <w:r>
        <w:rPr>
          <w:rFonts w:cs="Arial" w:ascii="Arial" w:hAnsi="Arial"/>
          <w:sz w:val="22"/>
          <w:szCs w:val="22"/>
        </w:rPr>
        <w:t>5.3 La propuesta de resolución deberá expresar la relación de solicitantes para los que se propone la concesión de la subvención y su cuantía especificando la puntuación obtenida y los criterios de valoración seguidos para efectuarla, así como la propuesta de desestimación fundamentada del resto de solicitudes.</w:t>
      </w:r>
    </w:p>
    <w:p>
      <w:pPr>
        <w:pStyle w:val="Normal"/>
        <w:spacing w:lineRule="auto" w:line="360"/>
        <w:ind w:firstLine="851"/>
        <w:jc w:val="both"/>
        <w:rPr>
          <w:rFonts w:ascii="Arial" w:hAnsi="Arial" w:cs="Arial"/>
          <w:sz w:val="22"/>
          <w:szCs w:val="22"/>
        </w:rPr>
      </w:pPr>
      <w:r>
        <w:rPr>
          <w:rFonts w:cs="Arial" w:ascii="Arial" w:hAnsi="Arial"/>
          <w:sz w:val="22"/>
          <w:szCs w:val="22"/>
        </w:rPr>
        <w:t>Aprobada la resolución definitiva por dicho órgano, ésta se notificará a los interesados por resolución de Presidencia en un plazo máximo de dos meses desde a la finalización del plazo otorgado para la presentación de solicitudes.</w:t>
      </w:r>
    </w:p>
    <w:p>
      <w:pPr>
        <w:pStyle w:val="Normal"/>
        <w:spacing w:lineRule="auto" w:line="360"/>
        <w:ind w:firstLine="851"/>
        <w:jc w:val="both"/>
        <w:rPr>
          <w:rFonts w:ascii="Arial" w:hAnsi="Arial" w:cs="Arial"/>
          <w:sz w:val="22"/>
          <w:szCs w:val="22"/>
        </w:rPr>
      </w:pPr>
      <w:r>
        <w:rPr>
          <w:rFonts w:cs="Arial" w:ascii="Arial" w:hAnsi="Arial"/>
          <w:sz w:val="22"/>
          <w:szCs w:val="22"/>
        </w:rPr>
      </w:r>
    </w:p>
    <w:p>
      <w:pPr>
        <w:pStyle w:val="Normal"/>
        <w:spacing w:lineRule="auto" w:line="360"/>
        <w:ind w:firstLine="851"/>
        <w:jc w:val="both"/>
        <w:rPr>
          <w:rFonts w:ascii="Arial" w:hAnsi="Arial" w:cs="Arial"/>
          <w:sz w:val="22"/>
          <w:szCs w:val="22"/>
        </w:rPr>
      </w:pPr>
      <w:r>
        <w:rPr>
          <w:rFonts w:cs="Arial" w:ascii="Arial" w:hAnsi="Arial"/>
          <w:sz w:val="22"/>
          <w:szCs w:val="22"/>
        </w:rPr>
        <w:t>La resolución de la concesión de la subvención pondrá fin a la vía administrativa.</w:t>
      </w:r>
    </w:p>
    <w:p>
      <w:pPr>
        <w:pStyle w:val="Normal"/>
        <w:spacing w:lineRule="auto" w:line="360"/>
        <w:ind w:firstLine="851"/>
        <w:jc w:val="both"/>
        <w:rPr>
          <w:rFonts w:ascii="Arial" w:hAnsi="Arial" w:cs="Arial"/>
          <w:sz w:val="22"/>
          <w:szCs w:val="22"/>
        </w:rPr>
      </w:pPr>
      <w:r>
        <w:rPr>
          <w:rFonts w:cs="Arial" w:ascii="Arial" w:hAnsi="Arial"/>
          <w:sz w:val="22"/>
          <w:szCs w:val="22"/>
        </w:rPr>
      </w:r>
    </w:p>
    <w:p>
      <w:pPr>
        <w:pStyle w:val="Normal"/>
        <w:spacing w:lineRule="auto" w:line="360"/>
        <w:ind w:firstLine="851"/>
        <w:jc w:val="both"/>
        <w:rPr>
          <w:rFonts w:ascii="Arial" w:hAnsi="Arial" w:cs="Arial"/>
          <w:sz w:val="22"/>
          <w:szCs w:val="22"/>
        </w:rPr>
      </w:pPr>
      <w:r>
        <w:rPr>
          <w:rFonts w:cs="Arial" w:ascii="Arial" w:hAnsi="Arial"/>
          <w:sz w:val="22"/>
          <w:szCs w:val="22"/>
        </w:rPr>
        <w:t>El vencimiento del plazo máximo sin haberse notificado la resolución legitima a los interesados, se entenderá desestimada la solicitud de la concesión por silencio administrativo.</w:t>
      </w:r>
    </w:p>
    <w:p>
      <w:pPr>
        <w:pStyle w:val="NormalWeb"/>
        <w:shd w:val="clear" w:color="auto" w:fill="FFFFFF"/>
        <w:ind w:left="0" w:right="71" w:firstLine="851"/>
        <w:rPr>
          <w:rFonts w:ascii="Arial" w:hAnsi="Arial"/>
          <w:sz w:val="22"/>
          <w:szCs w:val="22"/>
          <w:u w:val="single"/>
        </w:rPr>
      </w:pPr>
      <w:r>
        <w:rPr>
          <w:rFonts w:ascii="Arial" w:hAnsi="Arial"/>
          <w:sz w:val="22"/>
          <w:szCs w:val="22"/>
          <w:u w:val="single"/>
        </w:rPr>
      </w:r>
    </w:p>
    <w:p>
      <w:pPr>
        <w:pStyle w:val="NormalWeb"/>
        <w:shd w:val="clear" w:color="auto" w:fill="FFFFFF"/>
        <w:ind w:left="0" w:right="71" w:firstLine="851"/>
        <w:rPr>
          <w:rFonts w:ascii="Arial" w:hAnsi="Arial"/>
          <w:b/>
          <w:b/>
          <w:sz w:val="24"/>
          <w:u w:val="single"/>
        </w:rPr>
      </w:pPr>
      <w:r>
        <w:rPr>
          <w:rFonts w:ascii="Arial" w:hAnsi="Arial"/>
          <w:b/>
          <w:sz w:val="24"/>
          <w:u w:val="single"/>
        </w:rPr>
        <w:t>SEXTA.- CRITERIOS DE VALORACIÓN</w:t>
      </w:r>
    </w:p>
    <w:p>
      <w:pPr>
        <w:pStyle w:val="NormalWeb"/>
        <w:shd w:val="clear" w:color="auto" w:fill="FFFFFF"/>
        <w:ind w:left="0" w:right="71" w:firstLine="851"/>
        <w:rPr>
          <w:rFonts w:ascii="Arial" w:hAnsi="Arial"/>
          <w:b/>
          <w:b/>
          <w:sz w:val="24"/>
          <w:u w:val="single"/>
        </w:rPr>
      </w:pPr>
      <w:r>
        <w:rPr>
          <w:rFonts w:ascii="Arial" w:hAnsi="Arial"/>
          <w:b/>
          <w:sz w:val="24"/>
          <w:u w:val="single"/>
        </w:rPr>
      </w:r>
      <w:bookmarkStart w:id="0" w:name="_GoBack"/>
      <w:bookmarkStart w:id="1" w:name="_GoBack"/>
      <w:bookmarkEnd w:id="1"/>
    </w:p>
    <w:p>
      <w:pPr>
        <w:pStyle w:val="Normal"/>
        <w:spacing w:lineRule="auto" w:line="360"/>
        <w:ind w:firstLine="284"/>
        <w:jc w:val="both"/>
        <w:rPr>
          <w:rFonts w:ascii="Arial" w:hAnsi="Arial" w:cs="Arial"/>
          <w:sz w:val="22"/>
          <w:szCs w:val="22"/>
        </w:rPr>
      </w:pPr>
      <w:r>
        <w:rPr>
          <w:rFonts w:cs="Arial" w:ascii="Arial" w:hAnsi="Arial"/>
          <w:sz w:val="22"/>
          <w:szCs w:val="22"/>
        </w:rPr>
        <w:t>Sobre la base de los principios de transparencia y objetividad para la concesión de ayudas, se aplicarán a cada solicitud los siguientes criterios de valoración:</w:t>
      </w:r>
    </w:p>
    <w:p>
      <w:pPr>
        <w:pStyle w:val="Normal"/>
        <w:rPr/>
      </w:pPr>
      <w:r>
        <w:rPr/>
      </w:r>
    </w:p>
    <w:tbl>
      <w:tblPr>
        <w:tblW w:w="8494" w:type="dxa"/>
        <w:jc w:val="left"/>
        <w:tblInd w:w="0" w:type="dxa"/>
        <w:tblCellMar>
          <w:top w:w="0" w:type="dxa"/>
          <w:left w:w="108" w:type="dxa"/>
          <w:bottom w:w="0" w:type="dxa"/>
          <w:right w:w="108" w:type="dxa"/>
        </w:tblCellMar>
        <w:tblLook w:firstRow="1" w:noVBand="0" w:lastRow="1" w:firstColumn="1" w:lastColumn="1" w:noHBand="0" w:val="01e0"/>
      </w:tblPr>
      <w:tblGrid>
        <w:gridCol w:w="6124"/>
        <w:gridCol w:w="2369"/>
      </w:tblGrid>
      <w:tr>
        <w:trPr/>
        <w:tc>
          <w:tcPr>
            <w:tcW w:w="6124" w:type="dxa"/>
            <w:tcBorders>
              <w:top w:val="single" w:sz="4" w:space="0" w:color="000000"/>
              <w:left w:val="single" w:sz="4" w:space="0" w:color="000000"/>
              <w:bottom w:val="single" w:sz="4" w:space="0" w:color="000000"/>
              <w:right w:val="single" w:sz="4" w:space="0" w:color="000000"/>
            </w:tcBorders>
            <w:shd w:color="auto" w:fill="808080" w:val="clear"/>
          </w:tcPr>
          <w:p>
            <w:pPr>
              <w:pStyle w:val="NormalWeb"/>
              <w:jc w:val="center"/>
              <w:rPr>
                <w:rFonts w:ascii="Arial" w:hAnsi="Arial"/>
                <w:b/>
                <w:b/>
              </w:rPr>
            </w:pPr>
            <w:r>
              <w:rPr>
                <w:rFonts w:ascii="Arial" w:hAnsi="Arial"/>
                <w:b/>
              </w:rPr>
              <w:t>CRITERIO</w:t>
            </w:r>
          </w:p>
        </w:tc>
        <w:tc>
          <w:tcPr>
            <w:tcW w:w="2369" w:type="dxa"/>
            <w:tcBorders>
              <w:top w:val="single" w:sz="4" w:space="0" w:color="000000"/>
              <w:left w:val="single" w:sz="4" w:space="0" w:color="000000"/>
              <w:bottom w:val="single" w:sz="4" w:space="0" w:color="000000"/>
              <w:right w:val="single" w:sz="4" w:space="0" w:color="000000"/>
            </w:tcBorders>
            <w:shd w:color="auto" w:fill="808080" w:val="clear"/>
          </w:tcPr>
          <w:p>
            <w:pPr>
              <w:pStyle w:val="NormalWeb"/>
              <w:ind w:left="278" w:right="71" w:hanging="0"/>
              <w:jc w:val="center"/>
              <w:rPr>
                <w:rFonts w:ascii="Arial" w:hAnsi="Arial"/>
                <w:b/>
                <w:b/>
              </w:rPr>
            </w:pPr>
            <w:r>
              <w:rPr>
                <w:rFonts w:ascii="Arial" w:hAnsi="Arial"/>
                <w:b/>
              </w:rPr>
              <w:t>PUNTOS (100)</w:t>
            </w:r>
          </w:p>
        </w:tc>
      </w:tr>
      <w:tr>
        <w:trPr/>
        <w:tc>
          <w:tcPr>
            <w:tcW w:w="6124" w:type="dxa"/>
            <w:tcBorders>
              <w:top w:val="single" w:sz="4" w:space="0" w:color="000000"/>
              <w:left w:val="single" w:sz="4" w:space="0" w:color="000000"/>
              <w:bottom w:val="single" w:sz="4" w:space="0" w:color="000000"/>
              <w:right w:val="single" w:sz="4" w:space="0" w:color="000000"/>
            </w:tcBorders>
          </w:tcPr>
          <w:p>
            <w:pPr>
              <w:pStyle w:val="NormalWeb"/>
              <w:ind w:left="0" w:right="71" w:hanging="0"/>
              <w:rPr>
                <w:rFonts w:ascii="Arial" w:hAnsi="Arial"/>
                <w:szCs w:val="20"/>
              </w:rPr>
            </w:pPr>
            <w:r>
              <w:rPr>
                <w:rFonts w:ascii="Arial" w:hAnsi="Arial"/>
                <w:b/>
                <w:szCs w:val="20"/>
              </w:rPr>
              <w:t>1. Calidad Técnica y Viabilidad del proyecto presentado</w:t>
            </w:r>
          </w:p>
        </w:tc>
        <w:tc>
          <w:tcPr>
            <w:tcW w:w="2369" w:type="dxa"/>
            <w:tcBorders>
              <w:top w:val="single" w:sz="4" w:space="0" w:color="000000"/>
              <w:left w:val="single" w:sz="4" w:space="0" w:color="000000"/>
              <w:bottom w:val="single" w:sz="4" w:space="0" w:color="000000"/>
              <w:right w:val="single" w:sz="4" w:space="0" w:color="000000"/>
            </w:tcBorders>
            <w:vAlign w:val="center"/>
          </w:tcPr>
          <w:p>
            <w:pPr>
              <w:pStyle w:val="NormalWeb"/>
              <w:ind w:left="420" w:right="71" w:hanging="0"/>
              <w:jc w:val="right"/>
              <w:rPr>
                <w:rFonts w:ascii="Arial" w:hAnsi="Arial"/>
                <w:b/>
                <w:b/>
                <w:szCs w:val="20"/>
              </w:rPr>
            </w:pPr>
            <w:r>
              <w:rPr>
                <w:rFonts w:ascii="Arial" w:hAnsi="Arial"/>
                <w:b/>
                <w:szCs w:val="20"/>
              </w:rPr>
              <w:t>Hasta 50 puntos</w:t>
            </w:r>
          </w:p>
        </w:tc>
      </w:tr>
      <w:tr>
        <w:trPr/>
        <w:tc>
          <w:tcPr>
            <w:tcW w:w="8493" w:type="dxa"/>
            <w:gridSpan w:val="2"/>
            <w:tcBorders>
              <w:top w:val="single" w:sz="4" w:space="0" w:color="000000"/>
              <w:left w:val="single" w:sz="4" w:space="0" w:color="000000"/>
              <w:bottom w:val="single" w:sz="4" w:space="0" w:color="000000"/>
              <w:right w:val="single" w:sz="4" w:space="0" w:color="000000"/>
            </w:tcBorders>
          </w:tcPr>
          <w:p>
            <w:pPr>
              <w:pStyle w:val="NormalWeb"/>
              <w:ind w:left="0" w:right="71" w:hanging="0"/>
              <w:rPr>
                <w:rFonts w:ascii="Arial" w:hAnsi="Arial"/>
                <w:szCs w:val="20"/>
              </w:rPr>
            </w:pPr>
            <w:r>
              <w:rPr>
                <w:rFonts w:ascii="Arial" w:hAnsi="Arial"/>
                <w:szCs w:val="20"/>
              </w:rPr>
              <w:t>Se valorará la adecuación de los recursos, relacionadas con la actividad de las bibliotecas</w:t>
            </w:r>
          </w:p>
        </w:tc>
      </w:tr>
      <w:tr>
        <w:trPr/>
        <w:tc>
          <w:tcPr>
            <w:tcW w:w="6124" w:type="dxa"/>
            <w:tcBorders>
              <w:top w:val="single" w:sz="4" w:space="0" w:color="000000"/>
              <w:left w:val="single" w:sz="4" w:space="0" w:color="000000"/>
              <w:bottom w:val="single" w:sz="4" w:space="0" w:color="000000"/>
              <w:right w:val="single" w:sz="4" w:space="0" w:color="000000"/>
            </w:tcBorders>
            <w:vAlign w:val="center"/>
          </w:tcPr>
          <w:p>
            <w:pPr>
              <w:pStyle w:val="NormalWeb"/>
              <w:ind w:left="0" w:right="71" w:hanging="0"/>
              <w:rPr>
                <w:rFonts w:ascii="Arial" w:hAnsi="Arial"/>
                <w:b/>
                <w:b/>
                <w:szCs w:val="20"/>
              </w:rPr>
            </w:pPr>
            <w:r>
              <w:rPr>
                <w:rFonts w:ascii="Arial" w:hAnsi="Arial"/>
                <w:b/>
                <w:szCs w:val="20"/>
              </w:rPr>
              <w:t>2. Necesidad que pretende cubrir.</w:t>
            </w:r>
          </w:p>
          <w:p>
            <w:pPr>
              <w:pStyle w:val="NormalWeb"/>
              <w:ind w:left="0" w:right="71" w:hanging="0"/>
              <w:rPr>
                <w:rFonts w:ascii="Arial" w:hAnsi="Arial"/>
                <w:szCs w:val="20"/>
              </w:rPr>
            </w:pPr>
            <w:r>
              <w:rPr>
                <w:rFonts w:ascii="Arial" w:hAnsi="Arial"/>
                <w:b/>
                <w:szCs w:val="20"/>
              </w:rPr>
              <w:t xml:space="preserve"> </w:t>
            </w:r>
            <w:r>
              <w:rPr>
                <w:rFonts w:ascii="Arial" w:hAnsi="Arial"/>
                <w:szCs w:val="20"/>
              </w:rPr>
              <w:t>Cobertura de necesidades de recursos</w:t>
            </w:r>
          </w:p>
        </w:tc>
        <w:tc>
          <w:tcPr>
            <w:tcW w:w="2369" w:type="dxa"/>
            <w:tcBorders>
              <w:top w:val="single" w:sz="4" w:space="0" w:color="000000"/>
              <w:left w:val="single" w:sz="4" w:space="0" w:color="000000"/>
              <w:bottom w:val="single" w:sz="4" w:space="0" w:color="000000"/>
              <w:right w:val="single" w:sz="4" w:space="0" w:color="000000"/>
            </w:tcBorders>
            <w:vAlign w:val="center"/>
          </w:tcPr>
          <w:p>
            <w:pPr>
              <w:pStyle w:val="NormalWeb"/>
              <w:ind w:left="441" w:right="71" w:hanging="0"/>
              <w:jc w:val="right"/>
              <w:rPr>
                <w:rFonts w:ascii="Arial" w:hAnsi="Arial"/>
                <w:szCs w:val="20"/>
              </w:rPr>
            </w:pPr>
            <w:r>
              <w:rPr>
                <w:rFonts w:ascii="Arial" w:hAnsi="Arial"/>
                <w:b/>
                <w:szCs w:val="20"/>
              </w:rPr>
              <w:t>Hasta 50 puntos</w:t>
            </w:r>
          </w:p>
        </w:tc>
      </w:tr>
    </w:tbl>
    <w:p>
      <w:pPr>
        <w:pStyle w:val="Normal"/>
        <w:rPr/>
      </w:pPr>
      <w:r>
        <w:rPr/>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Web"/>
        <w:shd w:val="clear" w:color="auto" w:fill="FFFFFF"/>
        <w:ind w:left="0" w:right="71" w:firstLine="851"/>
        <w:rPr>
          <w:rFonts w:ascii="Arial" w:hAnsi="Arial"/>
          <w:b/>
          <w:b/>
          <w:sz w:val="24"/>
          <w:u w:val="single"/>
        </w:rPr>
      </w:pPr>
      <w:r>
        <w:rPr>
          <w:rFonts w:ascii="Arial" w:hAnsi="Arial"/>
          <w:b/>
          <w:sz w:val="24"/>
          <w:u w:val="single"/>
        </w:rPr>
        <w:t>SÉPTIMA.- CUANTÍA DE LA SUBVENCIÓN</w:t>
      </w:r>
    </w:p>
    <w:p>
      <w:pPr>
        <w:pStyle w:val="NormalWeb"/>
        <w:shd w:val="clear" w:color="auto" w:fill="FFFFFF"/>
        <w:ind w:left="0" w:right="71" w:firstLine="851"/>
        <w:rPr>
          <w:rFonts w:ascii="Arial" w:hAnsi="Arial"/>
          <w:sz w:val="22"/>
          <w:szCs w:val="22"/>
          <w:u w:val="single"/>
        </w:rPr>
      </w:pPr>
      <w:r>
        <w:rPr>
          <w:rFonts w:ascii="Arial" w:hAnsi="Arial"/>
          <w:sz w:val="22"/>
          <w:szCs w:val="22"/>
          <w:u w:val="single"/>
        </w:rPr>
      </w:r>
    </w:p>
    <w:p>
      <w:pPr>
        <w:pStyle w:val="Normal"/>
        <w:spacing w:lineRule="auto" w:line="360"/>
        <w:ind w:firstLine="851"/>
        <w:jc w:val="both"/>
        <w:rPr>
          <w:rFonts w:ascii="Arial" w:hAnsi="Arial" w:cs="Arial"/>
          <w:sz w:val="22"/>
          <w:szCs w:val="22"/>
        </w:rPr>
      </w:pPr>
      <w:r>
        <w:rPr>
          <w:rFonts w:cs="Arial" w:ascii="Arial" w:hAnsi="Arial"/>
          <w:sz w:val="22"/>
          <w:szCs w:val="22"/>
        </w:rPr>
        <w:t xml:space="preserve">La cuantía de la subvención concedida tendrá un límite máximo de 400 € por biblioteca. No será necesaria la cofinanciación, pero sí que el gasto subvencionable cubra la cuantía total subvencionada. </w:t>
      </w:r>
    </w:p>
    <w:p>
      <w:pPr>
        <w:pStyle w:val="Normal"/>
        <w:spacing w:lineRule="auto" w:line="360"/>
        <w:ind w:firstLine="851"/>
        <w:jc w:val="both"/>
        <w:rPr>
          <w:rFonts w:ascii="Arial" w:hAnsi="Arial" w:cs="Arial"/>
          <w:sz w:val="22"/>
          <w:szCs w:val="22"/>
        </w:rPr>
      </w:pPr>
      <w:r>
        <w:rPr>
          <w:rFonts w:cs="Arial" w:ascii="Arial" w:hAnsi="Arial"/>
          <w:sz w:val="22"/>
          <w:szCs w:val="22"/>
        </w:rPr>
      </w:r>
    </w:p>
    <w:p>
      <w:pPr>
        <w:pStyle w:val="Normal"/>
        <w:spacing w:lineRule="auto" w:line="360"/>
        <w:ind w:firstLine="851"/>
        <w:jc w:val="both"/>
        <w:rPr>
          <w:rFonts w:ascii="Arial" w:hAnsi="Arial" w:cs="Arial"/>
          <w:sz w:val="22"/>
          <w:szCs w:val="22"/>
        </w:rPr>
      </w:pPr>
      <w:r>
        <w:rPr>
          <w:rFonts w:cs="Arial" w:ascii="Arial" w:hAnsi="Arial"/>
          <w:sz w:val="22"/>
          <w:szCs w:val="22"/>
        </w:rPr>
        <w:t>La cuantía total estimada para esta convocatoria es de 2.000 € que se atenderá con cargo a la aplicación presupuestaria 33 3340 46200, del presupuesto comarcal de 2020</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sz w:val="22"/>
          <w:szCs w:val="22"/>
        </w:rPr>
      </w:pPr>
      <w:r>
        <w:rPr>
          <w:rFonts w:ascii="Arial" w:hAnsi="Arial"/>
          <w:sz w:val="22"/>
          <w:szCs w:val="22"/>
        </w:rPr>
        <w:t>Otorgada la subvención, el importe a justificar, será el 100% del presupuesto presentado en la solicitud.</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b/>
          <w:b/>
          <w:sz w:val="24"/>
          <w:u w:val="single"/>
        </w:rPr>
      </w:pPr>
      <w:r>
        <w:rPr>
          <w:rFonts w:ascii="Arial" w:hAnsi="Arial"/>
          <w:b/>
          <w:sz w:val="24"/>
          <w:u w:val="single"/>
        </w:rPr>
        <w:t>OCTAVA.- OBLIGACIONES DE LAS ENTIDADES BENEFICIARIAS.</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Web"/>
        <w:shd w:val="clear" w:color="auto" w:fill="FFFFFF"/>
        <w:ind w:left="0" w:right="71" w:firstLine="851"/>
        <w:rPr>
          <w:rFonts w:ascii="Arial" w:hAnsi="Arial"/>
          <w:sz w:val="22"/>
          <w:szCs w:val="22"/>
        </w:rPr>
      </w:pPr>
      <w:r>
        <w:rPr>
          <w:rFonts w:ascii="Arial" w:hAnsi="Arial"/>
          <w:sz w:val="22"/>
          <w:szCs w:val="22"/>
        </w:rPr>
        <w:t>Las entidades beneficiarias de las subvenciones reguladas por estas bases, deberán:</w:t>
      </w:r>
    </w:p>
    <w:p>
      <w:pPr>
        <w:pStyle w:val="Normal"/>
        <w:numPr>
          <w:ilvl w:val="0"/>
          <w:numId w:val="5"/>
        </w:numPr>
        <w:spacing w:lineRule="auto" w:line="360"/>
        <w:ind w:left="0" w:firstLine="851"/>
        <w:jc w:val="both"/>
        <w:rPr>
          <w:rFonts w:ascii="Arial" w:hAnsi="Arial" w:cs="Arial"/>
          <w:sz w:val="22"/>
          <w:szCs w:val="22"/>
        </w:rPr>
      </w:pPr>
      <w:r>
        <w:rPr>
          <w:rFonts w:cs="Arial" w:ascii="Arial" w:hAnsi="Arial"/>
          <w:sz w:val="22"/>
          <w:szCs w:val="22"/>
        </w:rPr>
        <w:t>Utilizar los recursos en las bibliotecas de los municipios de la Comarca del Jiloca.</w:t>
      </w:r>
    </w:p>
    <w:p>
      <w:pPr>
        <w:pStyle w:val="Normal"/>
        <w:numPr>
          <w:ilvl w:val="0"/>
          <w:numId w:val="5"/>
        </w:numPr>
        <w:spacing w:lineRule="auto" w:line="360"/>
        <w:ind w:left="0" w:firstLine="851"/>
        <w:jc w:val="both"/>
        <w:rPr>
          <w:rFonts w:ascii="Arial" w:hAnsi="Arial" w:cs="Arial"/>
          <w:sz w:val="22"/>
          <w:szCs w:val="22"/>
        </w:rPr>
      </w:pPr>
      <w:r>
        <w:rPr>
          <w:rFonts w:cs="Arial" w:ascii="Arial" w:hAnsi="Arial"/>
          <w:sz w:val="22"/>
          <w:szCs w:val="22"/>
        </w:rPr>
        <w:t>Aceptar la subvención otorgada y las condiciones derivadas de su otorgamiento entendiéndose por aceptada si en el plazo máximo de quince días contados desde el día siguiente de su notificación, el beneficiario no ha renunciado por escrito a la misma.</w:t>
      </w:r>
    </w:p>
    <w:p>
      <w:pPr>
        <w:pStyle w:val="Normal"/>
        <w:widowControl w:val="false"/>
        <w:numPr>
          <w:ilvl w:val="0"/>
          <w:numId w:val="5"/>
        </w:numPr>
        <w:suppressAutoHyphens w:val="true"/>
        <w:spacing w:lineRule="auto" w:line="360"/>
        <w:ind w:left="0" w:firstLine="851"/>
        <w:jc w:val="both"/>
        <w:rPr>
          <w:rFonts w:ascii="Arial" w:hAnsi="Arial" w:cs="Arial"/>
          <w:sz w:val="22"/>
          <w:szCs w:val="22"/>
        </w:rPr>
      </w:pPr>
      <w:r>
        <w:rPr>
          <w:rFonts w:cs="Arial" w:ascii="Arial" w:hAnsi="Arial"/>
          <w:sz w:val="22"/>
          <w:szCs w:val="22"/>
        </w:rPr>
        <w:t>Cumplir la adquisición de recursos que fundamenta la concesión de la subvención y acreditarlo debidamente ante la Comarca así como el cumplimiento de los requisitos y condiciones que determinen la concesión o disfrute de la misma.</w:t>
      </w:r>
    </w:p>
    <w:p>
      <w:pPr>
        <w:pStyle w:val="Normal"/>
        <w:widowControl w:val="false"/>
        <w:numPr>
          <w:ilvl w:val="0"/>
          <w:numId w:val="5"/>
        </w:numPr>
        <w:suppressAutoHyphens w:val="true"/>
        <w:spacing w:lineRule="auto" w:line="360"/>
        <w:ind w:left="0" w:firstLine="851"/>
        <w:jc w:val="both"/>
        <w:rPr>
          <w:rFonts w:ascii="Arial" w:hAnsi="Arial" w:cs="Arial"/>
          <w:sz w:val="22"/>
          <w:szCs w:val="22"/>
        </w:rPr>
      </w:pPr>
      <w:r>
        <w:rPr>
          <w:rFonts w:cs="Arial" w:ascii="Arial" w:hAnsi="Arial"/>
          <w:sz w:val="22"/>
          <w:szCs w:val="22"/>
        </w:rPr>
        <w:t>Comunicar a la Comarca la obtención de otras subvenciones o ayudas para la misma finalidad procedentes de cualquier administración o ente público y cualquier otro ingreso concurrente para esa actividad.</w:t>
      </w:r>
    </w:p>
    <w:p>
      <w:pPr>
        <w:pStyle w:val="Normal"/>
        <w:widowControl w:val="false"/>
        <w:numPr>
          <w:ilvl w:val="0"/>
          <w:numId w:val="5"/>
        </w:numPr>
        <w:suppressAutoHyphens w:val="true"/>
        <w:spacing w:lineRule="auto" w:line="360"/>
        <w:ind w:left="0" w:firstLine="851"/>
        <w:jc w:val="both"/>
        <w:rPr>
          <w:rFonts w:ascii="Arial" w:hAnsi="Arial" w:cs="Arial"/>
          <w:sz w:val="22"/>
          <w:szCs w:val="22"/>
        </w:rPr>
      </w:pPr>
      <w:r>
        <w:rPr>
          <w:rFonts w:cs="Arial" w:ascii="Arial" w:hAnsi="Arial"/>
          <w:sz w:val="22"/>
          <w:szCs w:val="22"/>
        </w:rPr>
        <w:t>Facilitar cuanta documentación le sea requerida por la Comarca, referente a cualquier circunstancia o extremo relativo a los recursos subvencionado s y someterse a cuantas visitas y comprobaciones se consideren convenientes para cotejar la necesidad, desarrollo y realización de las actuaciones para las que se ha solicitado subvención.</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Web"/>
        <w:shd w:val="clear" w:color="auto" w:fill="FFFFFF"/>
        <w:ind w:left="0" w:right="71" w:firstLine="851"/>
        <w:rPr>
          <w:rFonts w:ascii="Arial" w:hAnsi="Arial"/>
          <w:b/>
          <w:b/>
          <w:sz w:val="24"/>
          <w:u w:val="single"/>
        </w:rPr>
      </w:pPr>
      <w:r>
        <w:rPr>
          <w:rFonts w:ascii="Arial" w:hAnsi="Arial"/>
          <w:b/>
          <w:sz w:val="24"/>
          <w:u w:val="single"/>
        </w:rPr>
        <w:t>NOVENA- JUSTIFICACIÓN DE LAS SUBVENCIONES.</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
        <w:spacing w:lineRule="auto" w:line="360"/>
        <w:ind w:firstLine="851"/>
        <w:jc w:val="both"/>
        <w:rPr>
          <w:rFonts w:ascii="Arial" w:hAnsi="Arial" w:cs="Arial"/>
          <w:sz w:val="22"/>
          <w:szCs w:val="22"/>
        </w:rPr>
      </w:pPr>
      <w:r>
        <w:rPr>
          <w:rFonts w:cs="Arial" w:ascii="Arial" w:hAnsi="Arial"/>
          <w:sz w:val="22"/>
          <w:szCs w:val="22"/>
        </w:rPr>
        <w:t>Para poder optar al pago de la subvención establecida, se deberá presentar, con carácter posterior a la compra o costo de los recursos subvencionado, el Anexo III (Declaración justificativa de recursos subvencionados).</w:t>
      </w:r>
    </w:p>
    <w:p>
      <w:pPr>
        <w:pStyle w:val="Normal"/>
        <w:spacing w:lineRule="auto" w:line="360"/>
        <w:ind w:firstLine="851"/>
        <w:jc w:val="both"/>
        <w:rPr>
          <w:rFonts w:ascii="Arial" w:hAnsi="Arial" w:cs="Arial"/>
          <w:sz w:val="22"/>
          <w:szCs w:val="22"/>
        </w:rPr>
      </w:pPr>
      <w:r>
        <w:rPr>
          <w:rFonts w:cs="Arial" w:ascii="Arial" w:hAnsi="Arial"/>
          <w:sz w:val="22"/>
          <w:szCs w:val="22"/>
        </w:rPr>
      </w:r>
    </w:p>
    <w:p>
      <w:pPr>
        <w:pStyle w:val="Normal"/>
        <w:spacing w:lineRule="auto" w:line="360"/>
        <w:ind w:firstLine="851"/>
        <w:jc w:val="both"/>
        <w:rPr>
          <w:rFonts w:ascii="Arial" w:hAnsi="Arial" w:cs="Arial"/>
          <w:spacing w:val="2"/>
          <w:sz w:val="22"/>
          <w:szCs w:val="22"/>
        </w:rPr>
      </w:pPr>
      <w:r>
        <w:rPr>
          <w:rFonts w:cs="Arial" w:ascii="Arial" w:hAnsi="Arial"/>
          <w:spacing w:val="2"/>
          <w:sz w:val="22"/>
          <w:szCs w:val="22"/>
        </w:rPr>
        <w:t>El importe a justificar será el 100% del presupuesto aceptado, en el caso de aportar justificantes en menor cuantía, el importe a abonar por la Comarca del Jiloca, se reducirá en la misma proporción.</w:t>
      </w:r>
    </w:p>
    <w:p>
      <w:pPr>
        <w:pStyle w:val="Normal"/>
        <w:spacing w:lineRule="auto" w:line="360"/>
        <w:ind w:firstLine="851"/>
        <w:jc w:val="both"/>
        <w:rPr>
          <w:rFonts w:ascii="Arial" w:hAnsi="Arial" w:cs="Arial"/>
          <w:spacing w:val="2"/>
          <w:sz w:val="22"/>
          <w:szCs w:val="22"/>
        </w:rPr>
      </w:pPr>
      <w:r>
        <w:rPr>
          <w:rFonts w:cs="Arial" w:ascii="Arial" w:hAnsi="Arial"/>
          <w:spacing w:val="2"/>
          <w:sz w:val="22"/>
          <w:szCs w:val="22"/>
        </w:rPr>
      </w:r>
    </w:p>
    <w:p>
      <w:pPr>
        <w:pStyle w:val="Normal"/>
        <w:spacing w:lineRule="auto" w:line="360"/>
        <w:ind w:firstLine="851"/>
        <w:jc w:val="both"/>
        <w:rPr>
          <w:rFonts w:ascii="Arial" w:hAnsi="Arial" w:cs="Arial"/>
          <w:spacing w:val="2"/>
          <w:sz w:val="22"/>
          <w:szCs w:val="22"/>
        </w:rPr>
      </w:pPr>
      <w:r>
        <w:rPr>
          <w:rFonts w:cs="Arial" w:ascii="Arial" w:hAnsi="Arial"/>
          <w:spacing w:val="2"/>
          <w:sz w:val="22"/>
          <w:szCs w:val="22"/>
        </w:rPr>
        <w:t>El plazo para presentar la documentación justificativa finalizará el 15 de noviembre pudiendo presentarse los documentos tan pronto como se realicen las adquisiciones y se disponga de la documentación requerida.</w:t>
      </w:r>
    </w:p>
    <w:p>
      <w:pPr>
        <w:pStyle w:val="Normal"/>
        <w:spacing w:lineRule="auto" w:line="360"/>
        <w:jc w:val="both"/>
        <w:rPr>
          <w:rFonts w:ascii="Arial" w:hAnsi="Arial" w:cs="Arial"/>
          <w:spacing w:val="1"/>
          <w:sz w:val="22"/>
          <w:szCs w:val="22"/>
        </w:rPr>
      </w:pPr>
      <w:r>
        <w:rPr>
          <w:rFonts w:cs="Arial" w:ascii="Arial" w:hAnsi="Arial"/>
          <w:spacing w:val="1"/>
          <w:sz w:val="22"/>
          <w:szCs w:val="22"/>
        </w:rPr>
      </w:r>
    </w:p>
    <w:p>
      <w:pPr>
        <w:pStyle w:val="Normal"/>
        <w:spacing w:lineRule="auto" w:line="360"/>
        <w:ind w:firstLine="851"/>
        <w:jc w:val="both"/>
        <w:rPr>
          <w:rFonts w:ascii="Arial" w:hAnsi="Arial" w:cs="Arial"/>
          <w:spacing w:val="1"/>
          <w:sz w:val="22"/>
          <w:szCs w:val="22"/>
        </w:rPr>
      </w:pPr>
      <w:r>
        <w:rPr>
          <w:rFonts w:cs="Arial" w:ascii="Arial" w:hAnsi="Arial"/>
          <w:spacing w:val="1"/>
          <w:sz w:val="22"/>
          <w:szCs w:val="22"/>
        </w:rPr>
        <w:t>Los justificantes de gasto deberán adecuarse a la normativa en vigor (Real Decreto 1619/12, de 30 de noviembre, Reglamento por el que se regulan las obligaciones de facturación).</w:t>
      </w:r>
    </w:p>
    <w:p>
      <w:pPr>
        <w:pStyle w:val="Normal"/>
        <w:spacing w:lineRule="auto" w:line="360"/>
        <w:ind w:firstLine="851"/>
        <w:jc w:val="both"/>
        <w:rPr>
          <w:rFonts w:ascii="Arial" w:hAnsi="Arial" w:cs="Arial"/>
          <w:sz w:val="22"/>
          <w:szCs w:val="22"/>
        </w:rPr>
      </w:pPr>
      <w:r>
        <w:rPr>
          <w:rFonts w:cs="Arial" w:ascii="Arial" w:hAnsi="Arial"/>
          <w:sz w:val="22"/>
          <w:szCs w:val="22"/>
        </w:rPr>
      </w:r>
    </w:p>
    <w:p>
      <w:pPr>
        <w:pStyle w:val="NormalWeb"/>
        <w:shd w:val="clear" w:color="auto" w:fill="FFFFFF"/>
        <w:ind w:left="0" w:right="71" w:firstLine="851"/>
        <w:rPr>
          <w:rFonts w:ascii="Arial" w:hAnsi="Arial"/>
          <w:sz w:val="22"/>
          <w:szCs w:val="22"/>
        </w:rPr>
      </w:pPr>
      <w:r>
        <w:rPr>
          <w:rFonts w:ascii="Arial" w:hAnsi="Arial"/>
          <w:sz w:val="22"/>
          <w:szCs w:val="22"/>
        </w:rPr>
        <w:t>Las facturas o documentos probatorios de gasto deberán estar fechados en el año 2020.</w:t>
      </w:r>
    </w:p>
    <w:p>
      <w:pPr>
        <w:pStyle w:val="NormalWeb"/>
        <w:shd w:val="clear" w:color="auto" w:fill="FFFFFF"/>
        <w:ind w:left="0" w:right="71" w:firstLine="851"/>
        <w:rPr>
          <w:rFonts w:ascii="Arial" w:hAnsi="Arial"/>
          <w:sz w:val="22"/>
          <w:szCs w:val="22"/>
        </w:rPr>
      </w:pPr>
      <w:r>
        <w:rPr>
          <w:rFonts w:ascii="Arial" w:hAnsi="Arial"/>
          <w:sz w:val="22"/>
          <w:szCs w:val="22"/>
        </w:rPr>
        <w:t>La justificación de la subvención contendrá la siguiente documentación:</w:t>
      </w:r>
    </w:p>
    <w:p>
      <w:pPr>
        <w:pStyle w:val="NormalWeb"/>
        <w:numPr>
          <w:ilvl w:val="1"/>
          <w:numId w:val="5"/>
        </w:numPr>
        <w:shd w:val="clear" w:color="auto" w:fill="FFFFFF"/>
        <w:ind w:left="0" w:right="0" w:firstLine="851"/>
        <w:rPr>
          <w:rFonts w:ascii="Arial" w:hAnsi="Arial"/>
          <w:sz w:val="22"/>
          <w:szCs w:val="22"/>
        </w:rPr>
      </w:pPr>
      <w:r>
        <w:rPr>
          <w:rFonts w:ascii="Arial" w:hAnsi="Arial"/>
          <w:sz w:val="22"/>
          <w:szCs w:val="22"/>
        </w:rPr>
        <w:t>Una memoria técnica relativa a las necesidades de recursos.</w:t>
      </w:r>
    </w:p>
    <w:p>
      <w:pPr>
        <w:pStyle w:val="NormalWeb"/>
        <w:numPr>
          <w:ilvl w:val="1"/>
          <w:numId w:val="5"/>
        </w:numPr>
        <w:shd w:val="clear" w:color="auto" w:fill="FFFFFF"/>
        <w:ind w:left="0" w:right="0" w:firstLine="851"/>
        <w:rPr>
          <w:rFonts w:ascii="Arial" w:hAnsi="Arial"/>
          <w:sz w:val="22"/>
          <w:szCs w:val="22"/>
        </w:rPr>
      </w:pPr>
      <w:r>
        <w:rPr>
          <w:rFonts w:ascii="Arial" w:hAnsi="Arial"/>
          <w:sz w:val="22"/>
          <w:szCs w:val="22"/>
        </w:rPr>
        <w:t>Una memoria económica justificativa del coste de lo recursos necesarios, que contendrá:</w:t>
      </w:r>
    </w:p>
    <w:p>
      <w:pPr>
        <w:pStyle w:val="NormalWeb"/>
        <w:numPr>
          <w:ilvl w:val="2"/>
          <w:numId w:val="5"/>
        </w:numPr>
        <w:shd w:val="clear" w:color="auto" w:fill="FFFFFF"/>
        <w:tabs>
          <w:tab w:val="clear" w:pos="708"/>
          <w:tab w:val="left" w:pos="900" w:leader="none"/>
        </w:tabs>
        <w:ind w:left="0" w:right="0" w:firstLine="851"/>
        <w:rPr>
          <w:rFonts w:ascii="Arial" w:hAnsi="Arial"/>
          <w:sz w:val="22"/>
          <w:szCs w:val="22"/>
        </w:rPr>
      </w:pPr>
      <w:r>
        <w:rPr>
          <w:rFonts w:ascii="Arial" w:hAnsi="Arial"/>
          <w:sz w:val="22"/>
          <w:szCs w:val="22"/>
        </w:rPr>
        <w:t>Relación clasificada y numerada de los gastos, con identificador del acreedor, del número y fecha de documento, concepto del gasto, importe y fecha de pago.</w:t>
      </w:r>
    </w:p>
    <w:p>
      <w:pPr>
        <w:pStyle w:val="NormalWeb"/>
        <w:numPr>
          <w:ilvl w:val="2"/>
          <w:numId w:val="5"/>
        </w:numPr>
        <w:shd w:val="clear" w:color="auto" w:fill="FFFFFF"/>
        <w:tabs>
          <w:tab w:val="clear" w:pos="708"/>
          <w:tab w:val="left" w:pos="900" w:leader="none"/>
        </w:tabs>
        <w:ind w:left="0" w:right="0" w:firstLine="851"/>
        <w:rPr>
          <w:rFonts w:ascii="Arial" w:hAnsi="Arial"/>
          <w:sz w:val="22"/>
          <w:szCs w:val="22"/>
        </w:rPr>
      </w:pPr>
      <w:r>
        <w:rPr>
          <w:rFonts w:ascii="Arial" w:hAnsi="Arial"/>
          <w:sz w:val="22"/>
          <w:szCs w:val="22"/>
        </w:rPr>
        <w:t>Facturas imputables al gasto financiado por la Comarca del Jiloca y documentación acreditativa del pago.</w:t>
      </w:r>
    </w:p>
    <w:p>
      <w:pPr>
        <w:pStyle w:val="NormalWeb"/>
        <w:numPr>
          <w:ilvl w:val="2"/>
          <w:numId w:val="5"/>
        </w:numPr>
        <w:shd w:val="clear" w:color="auto" w:fill="FFFFFF"/>
        <w:tabs>
          <w:tab w:val="clear" w:pos="708"/>
          <w:tab w:val="left" w:pos="900" w:leader="none"/>
        </w:tabs>
        <w:ind w:left="0" w:right="0" w:firstLine="851"/>
        <w:rPr>
          <w:rFonts w:ascii="Arial" w:hAnsi="Arial"/>
          <w:sz w:val="22"/>
          <w:szCs w:val="22"/>
        </w:rPr>
      </w:pPr>
      <w:r>
        <w:rPr>
          <w:rFonts w:ascii="Arial" w:hAnsi="Arial"/>
          <w:sz w:val="22"/>
          <w:szCs w:val="22"/>
        </w:rPr>
        <w:t>Una relación detallada de otros ingresos o subvenciones que hayan financiado la actividad subvencionada con indicación del importe y su procedencia.</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sz w:val="22"/>
          <w:szCs w:val="22"/>
        </w:rPr>
      </w:pPr>
      <w:r>
        <w:rPr>
          <w:rFonts w:ascii="Arial" w:hAnsi="Arial"/>
          <w:sz w:val="22"/>
          <w:szCs w:val="22"/>
        </w:rPr>
        <w:t>En el caso de que no se justifique la totalidad del presupuesto objeto de la subvención y/o no se ejecute la totalidad de las actuaciones subvencionadas, si se considerase que se ha cumplido la finalidad, se considerará la parte proporcional de la subvención.</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b/>
          <w:b/>
          <w:sz w:val="24"/>
          <w:u w:val="single"/>
        </w:rPr>
      </w:pPr>
      <w:r>
        <w:rPr>
          <w:rFonts w:ascii="Arial" w:hAnsi="Arial"/>
          <w:b/>
          <w:sz w:val="24"/>
          <w:u w:val="single"/>
        </w:rPr>
        <w:t>DÉCIMA - PAGO DE LAS SUBVENCIONES.</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
        <w:spacing w:lineRule="auto" w:line="360"/>
        <w:ind w:firstLine="851"/>
        <w:jc w:val="both"/>
        <w:rPr>
          <w:rFonts w:ascii="Arial" w:hAnsi="Arial" w:cs="Arial"/>
          <w:b/>
          <w:b/>
          <w:bCs/>
          <w:sz w:val="22"/>
          <w:szCs w:val="22"/>
        </w:rPr>
      </w:pPr>
      <w:r>
        <w:rPr>
          <w:rFonts w:cs="Arial" w:ascii="Arial" w:hAnsi="Arial"/>
          <w:sz w:val="22"/>
          <w:szCs w:val="22"/>
        </w:rPr>
        <w:t>El pago de las subvenciones se efectuará tras la justificación por el beneficiario conforme a lo establecido en el artículo noveno de estas Bases.</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b/>
          <w:b/>
          <w:sz w:val="24"/>
          <w:u w:val="single"/>
        </w:rPr>
      </w:pPr>
      <w:r>
        <w:rPr>
          <w:rFonts w:ascii="Arial" w:hAnsi="Arial"/>
          <w:b/>
          <w:sz w:val="24"/>
          <w:u w:val="single"/>
        </w:rPr>
        <w:t>UNDECIMA.- COMPATIBILIDAD DE LAS SUBVENCIONES.</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
        <w:spacing w:lineRule="auto" w:line="360"/>
        <w:ind w:firstLine="851"/>
        <w:jc w:val="both"/>
        <w:rPr>
          <w:rFonts w:ascii="Arial" w:hAnsi="Arial" w:cs="Arial"/>
          <w:spacing w:val="1"/>
          <w:sz w:val="22"/>
          <w:szCs w:val="22"/>
        </w:rPr>
      </w:pPr>
      <w:r>
        <w:rPr>
          <w:rFonts w:cs="Arial" w:ascii="Arial" w:hAnsi="Arial"/>
          <w:sz w:val="22"/>
          <w:szCs w:val="22"/>
        </w:rPr>
        <w:t>La concesión de estas ayudas será compatible con cualquier otro tipo de subvención o ayuda.</w:t>
      </w:r>
    </w:p>
    <w:p>
      <w:pPr>
        <w:pStyle w:val="Normal"/>
        <w:spacing w:lineRule="auto" w:line="360"/>
        <w:ind w:firstLine="851"/>
        <w:jc w:val="both"/>
        <w:rPr>
          <w:rFonts w:ascii="Arial" w:hAnsi="Arial" w:cs="Arial"/>
          <w:b/>
          <w:b/>
          <w:bCs/>
          <w:sz w:val="22"/>
          <w:szCs w:val="22"/>
        </w:rPr>
      </w:pPr>
      <w:r>
        <w:rPr>
          <w:rFonts w:cs="Arial" w:ascii="Arial" w:hAnsi="Arial"/>
          <w:spacing w:val="1"/>
          <w:sz w:val="22"/>
          <w:szCs w:val="22"/>
        </w:rPr>
        <w:t>En ningún caso, el importe de la subvención otorgada podrá ser de tal cuantía que, aisladamente o en concurrencia con otras subvenciones, ayudas, ingresos o recursos, supere el coste de la actividad subvencionada.</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b/>
          <w:b/>
          <w:sz w:val="24"/>
          <w:u w:val="single"/>
        </w:rPr>
      </w:pPr>
      <w:r>
        <w:rPr>
          <w:rFonts w:ascii="Arial" w:hAnsi="Arial"/>
          <w:b/>
          <w:sz w:val="24"/>
          <w:u w:val="single"/>
        </w:rPr>
        <w:t>DECIMOSEGUNDA.- MODIFICACIÓN DE LA RESOLUCIÓN.</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Web"/>
        <w:shd w:val="clear" w:color="auto" w:fill="FFFFFF"/>
        <w:ind w:left="0" w:right="71" w:firstLine="851"/>
        <w:rPr>
          <w:rFonts w:ascii="Arial" w:hAnsi="Arial"/>
          <w:sz w:val="22"/>
          <w:szCs w:val="22"/>
        </w:rPr>
      </w:pPr>
      <w:r>
        <w:rPr>
          <w:rFonts w:ascii="Arial" w:hAnsi="Arial"/>
          <w:sz w:val="22"/>
          <w:szCs w:val="22"/>
        </w:rPr>
        <w:t>La alteración de las condiciones requeridas a los beneficiarios que determinaron el otorgamiento de la subvención o la concurrencia de cualquier otro tipo de ayudas sobrevenidas o no declaradas por el beneficiario que, en conjunto o aisladamente, bien superen el coste de la actividad a realizar o bien los límites porcentuales de la subvención tenidos en cuenta para su determinación, darán lugar a una revisión de la subvención concedida y, en su caso, al reintegro del importe que corresponda.</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b/>
          <w:b/>
          <w:sz w:val="24"/>
          <w:u w:val="single"/>
        </w:rPr>
      </w:pPr>
      <w:r>
        <w:rPr>
          <w:rFonts w:ascii="Arial" w:hAnsi="Arial"/>
          <w:b/>
          <w:sz w:val="24"/>
          <w:u w:val="single"/>
        </w:rPr>
        <w:t>DECIMOTERCERA.-REVOCACIÓN DE LA SUBVENCIÓN.</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Web"/>
        <w:shd w:val="clear" w:color="auto" w:fill="FFFFFF"/>
        <w:ind w:left="0" w:right="71" w:firstLine="851"/>
        <w:rPr>
          <w:rFonts w:ascii="Arial" w:hAnsi="Arial"/>
          <w:sz w:val="22"/>
          <w:szCs w:val="22"/>
        </w:rPr>
      </w:pPr>
      <w:r>
        <w:rPr>
          <w:rFonts w:ascii="Arial" w:hAnsi="Arial"/>
          <w:sz w:val="22"/>
          <w:szCs w:val="22"/>
        </w:rPr>
        <w:t>Cuando se compruebe que las ayudas otorgadas hayan sido destinadas por el beneficiario a un fin diferente del previsto para la subvención o el previsto en la legislación aplicable, se verifique el incumplimiento de las condiciones establecidas en esta orden o en el acto de concesión, y en los demás supuestos establecidos legalmente, se podrá revocar total o parcialmente la subvención, previa audiencia del interesado, acordando en su caso, el reintegro de las cantidades percibidas.</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b/>
          <w:b/>
          <w:sz w:val="24"/>
          <w:u w:val="single"/>
        </w:rPr>
      </w:pPr>
      <w:r>
        <w:rPr>
          <w:rFonts w:ascii="Arial" w:hAnsi="Arial"/>
          <w:b/>
          <w:sz w:val="24"/>
          <w:u w:val="single"/>
        </w:rPr>
        <w:t>DECIMOCUARTA.- CONTROL Y SEGUIMIENTO.</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
        <w:spacing w:lineRule="auto" w:line="360"/>
        <w:ind w:firstLine="851"/>
        <w:jc w:val="both"/>
        <w:rPr>
          <w:rFonts w:ascii="Arial" w:hAnsi="Arial" w:cs="Arial"/>
          <w:sz w:val="22"/>
          <w:szCs w:val="22"/>
        </w:rPr>
      </w:pPr>
      <w:r>
        <w:rPr>
          <w:rFonts w:cs="Arial" w:ascii="Arial" w:hAnsi="Arial"/>
          <w:sz w:val="22"/>
          <w:szCs w:val="22"/>
        </w:rPr>
        <w:t>El órgano administrativo competente para otorgar la subvención lo es también para inspeccionar directa o indirectamente los recursos objeto de subvención, con la finalidad de comprobar su adecuación a los recursos presentados y a las condiciones establecidas para el reconocimiento de la subvención.</w:t>
      </w:r>
    </w:p>
    <w:p>
      <w:pPr>
        <w:pStyle w:val="NormalWeb"/>
        <w:shd w:val="clear" w:color="auto" w:fill="FFFFFF"/>
        <w:ind w:left="0" w:right="71" w:firstLine="851"/>
        <w:rPr>
          <w:rFonts w:ascii="Arial" w:hAnsi="Arial"/>
          <w:sz w:val="22"/>
          <w:szCs w:val="22"/>
          <w:u w:val="single"/>
        </w:rPr>
      </w:pPr>
      <w:r>
        <w:rPr>
          <w:rFonts w:ascii="Arial" w:hAnsi="Arial"/>
          <w:sz w:val="22"/>
          <w:szCs w:val="22"/>
          <w:u w:val="single"/>
        </w:rPr>
      </w:r>
    </w:p>
    <w:p>
      <w:pPr>
        <w:pStyle w:val="NormalWeb"/>
        <w:shd w:val="clear" w:color="auto" w:fill="FFFFFF"/>
        <w:ind w:left="0" w:right="71" w:firstLine="851"/>
        <w:rPr>
          <w:rFonts w:ascii="Arial" w:hAnsi="Arial"/>
          <w:b/>
          <w:b/>
          <w:sz w:val="24"/>
          <w:u w:val="single"/>
        </w:rPr>
      </w:pPr>
      <w:r>
        <w:rPr>
          <w:rFonts w:ascii="Arial" w:hAnsi="Arial"/>
          <w:b/>
          <w:sz w:val="24"/>
          <w:u w:val="single"/>
        </w:rPr>
        <w:t>DECIMOQUINTA.-.</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
        <w:spacing w:lineRule="auto" w:line="360"/>
        <w:ind w:firstLine="851"/>
        <w:jc w:val="both"/>
        <w:rPr>
          <w:rFonts w:ascii="Arial" w:hAnsi="Arial" w:cs="Arial"/>
          <w:sz w:val="22"/>
          <w:szCs w:val="22"/>
        </w:rPr>
      </w:pPr>
      <w:r>
        <w:rPr>
          <w:rFonts w:cs="Arial" w:ascii="Arial" w:hAnsi="Arial"/>
          <w:sz w:val="22"/>
          <w:szCs w:val="22"/>
        </w:rPr>
        <w:t>La resolución por la que se aprueban las siguientes bases pone fin a la vía administrativa, pudiendo interponer contra la misma de acuerdo con lo dispuesto en la Ley 39/2015, Régimen Jurídico de las Administraciones Públicas y del Procedimiento Administrativo Común y en la Ley 29/88,de 13 de julio, reguladora de la Jurisdicción contencioso-administrativo, alternativamente, o recurso de reposición potestativo, en el plazo de un mes ante el mismo órgano que dictó el acto, o recurso contencioso administrativo, ante la Sala de lo contencioso administrativo del Tribunal Superior de Justicia de Aragón, en el plazo de dos meses a contar desde el día siguiente a la publicación de esta resolución. Si se optara por interponer el recurso de reposición potestativo no podrá interponerse recurso contencioso administrativo hasta que aquel sea resuelto expresamente o haya producido desestimación por silencio. Todo ello sin perjuicio de que se pueda ejercitar cualquier otro recurso que se estime pertinente.</w:t>
      </w:r>
    </w:p>
    <w:p>
      <w:pPr>
        <w:pStyle w:val="Normal"/>
        <w:spacing w:lineRule="auto" w:line="360"/>
        <w:ind w:firstLine="851"/>
        <w:jc w:val="both"/>
        <w:rPr>
          <w:rFonts w:ascii="Arial" w:hAnsi="Arial" w:cs="Arial"/>
          <w:sz w:val="22"/>
          <w:szCs w:val="22"/>
        </w:rPr>
      </w:pPr>
      <w:r>
        <w:rPr>
          <w:rFonts w:cs="Arial" w:ascii="Arial" w:hAnsi="Arial"/>
          <w:sz w:val="22"/>
          <w:szCs w:val="22"/>
        </w:rPr>
      </w:r>
    </w:p>
    <w:p>
      <w:pPr>
        <w:pStyle w:val="Normal"/>
        <w:spacing w:lineRule="auto" w:line="360"/>
        <w:ind w:firstLine="851"/>
        <w:jc w:val="both"/>
        <w:rPr>
          <w:rFonts w:ascii="Arial" w:hAnsi="Arial" w:cs="Arial"/>
          <w:spacing w:val="3"/>
          <w:sz w:val="22"/>
          <w:szCs w:val="22"/>
        </w:rPr>
      </w:pPr>
      <w:r>
        <w:rPr>
          <w:rFonts w:cs="Arial" w:ascii="Arial" w:hAnsi="Arial"/>
          <w:sz w:val="22"/>
          <w:szCs w:val="22"/>
        </w:rPr>
        <w:t xml:space="preserve">De acuerdo con la LO 3/2018, de 5 de diciembre, de Protección de Datos Personales y garantía de los derechos digitales, se informa a todos los solicitantes de estas subvenciones que sus datos y demás documentación aportada a los efectos, serán almacenados el fichero de </w:t>
      </w:r>
      <w:r>
        <w:rPr>
          <w:rFonts w:cs="Arial" w:ascii="Arial" w:hAnsi="Arial"/>
          <w:i/>
          <w:iCs/>
          <w:sz w:val="22"/>
          <w:szCs w:val="22"/>
        </w:rPr>
        <w:t xml:space="preserve">Gestión Comarcal </w:t>
      </w:r>
      <w:r>
        <w:rPr>
          <w:rFonts w:cs="Arial" w:ascii="Arial" w:hAnsi="Arial"/>
          <w:sz w:val="22"/>
          <w:szCs w:val="22"/>
        </w:rPr>
        <w:t>, titularidad de la Comarca del Jiloca , con la única finalidad de gestionar la adjudicación de las mismas.</w:t>
      </w:r>
    </w:p>
    <w:p>
      <w:pPr>
        <w:pStyle w:val="Normal"/>
        <w:spacing w:lineRule="auto" w:line="360"/>
        <w:ind w:firstLine="851"/>
        <w:jc w:val="both"/>
        <w:rPr>
          <w:rFonts w:ascii="Arial" w:hAnsi="Arial" w:cs="Arial"/>
          <w:spacing w:val="3"/>
          <w:sz w:val="22"/>
          <w:szCs w:val="22"/>
        </w:rPr>
      </w:pPr>
      <w:r>
        <w:rPr>
          <w:rFonts w:cs="Arial" w:ascii="Arial" w:hAnsi="Arial"/>
          <w:spacing w:val="3"/>
          <w:sz w:val="22"/>
          <w:szCs w:val="22"/>
        </w:rPr>
      </w:r>
    </w:p>
    <w:p>
      <w:pPr>
        <w:pStyle w:val="Normal"/>
        <w:spacing w:lineRule="auto" w:line="360"/>
        <w:ind w:firstLine="851"/>
        <w:jc w:val="both"/>
        <w:rPr>
          <w:rFonts w:ascii="Arial" w:hAnsi="Arial" w:cs="Arial"/>
          <w:sz w:val="22"/>
          <w:szCs w:val="22"/>
        </w:rPr>
      </w:pPr>
      <w:r>
        <w:rPr>
          <w:rFonts w:cs="Arial" w:ascii="Arial" w:hAnsi="Arial"/>
          <w:spacing w:val="3"/>
          <w:sz w:val="22"/>
          <w:szCs w:val="22"/>
        </w:rPr>
        <w:t xml:space="preserve">Asimismo, se informa de la posibilidad que tiene el solicitante de ejercitar los derechos de acceso, rectificación y cancelación, en relación a sus datos personales, en los términos establecidos por la Agencia Española de Protección de Datos Personales, y dirigiéndose a la Comarca del Jiloca, </w:t>
      </w:r>
      <w:r>
        <w:rPr>
          <w:rFonts w:cs="Arial" w:ascii="Arial" w:hAnsi="Arial"/>
          <w:sz w:val="22"/>
          <w:szCs w:val="22"/>
        </w:rPr>
        <w:t>C/ Corona de Aragón nº 43 de Calamocha (Teruel)</w:t>
      </w:r>
      <w:r>
        <w:rPr>
          <w:rFonts w:cs="Arial" w:ascii="Arial" w:hAnsi="Arial"/>
          <w:spacing w:val="3"/>
          <w:sz w:val="22"/>
          <w:szCs w:val="22"/>
        </w:rPr>
        <w:t>. Sus datos no serán cedidos a terceros salvo que la Ley lo permita o lo exija expresamente.</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Web"/>
        <w:shd w:val="clear" w:color="auto" w:fill="FFFFFF"/>
        <w:ind w:left="0" w:right="71" w:firstLine="851"/>
        <w:rPr>
          <w:rFonts w:ascii="Arial" w:hAnsi="Arial"/>
          <w:b/>
          <w:b/>
          <w:sz w:val="24"/>
          <w:u w:val="single"/>
        </w:rPr>
      </w:pPr>
      <w:r>
        <w:rPr>
          <w:rFonts w:ascii="Arial" w:hAnsi="Arial"/>
          <w:b/>
          <w:sz w:val="24"/>
          <w:u w:val="single"/>
        </w:rPr>
        <w:t>DECIMOSÉXTA-.</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
        <w:spacing w:lineRule="auto" w:line="360"/>
        <w:ind w:firstLine="851"/>
        <w:jc w:val="both"/>
        <w:rPr>
          <w:rFonts w:ascii="Arial" w:hAnsi="Arial" w:cs="Arial"/>
          <w:sz w:val="22"/>
          <w:szCs w:val="22"/>
        </w:rPr>
      </w:pPr>
      <w:r>
        <w:rPr>
          <w:rFonts w:cs="Arial" w:ascii="Arial" w:hAnsi="Arial"/>
          <w:sz w:val="22"/>
          <w:szCs w:val="22"/>
        </w:rPr>
        <w:t>En todo lo no previsto en la presente convocatoria, se estará a lo dispuesto en la ley 38/2003 de 17 de noviembre, Ley General de Subvenciones y a la ley 5/2015 de 5 de marzo de 2015 de Subvenciones de Aragón, así como sus disposiciones desarrolladas correspondientemente y demás normativa administrativa que pueda resultar de su aplicación.</w:t>
      </w:r>
    </w:p>
    <w:p>
      <w:pPr>
        <w:pStyle w:val="Normal"/>
        <w:spacing w:lineRule="auto" w:line="360"/>
        <w:ind w:firstLine="851"/>
        <w:rPr>
          <w:rFonts w:ascii="Arial" w:hAnsi="Arial" w:cs="Arial"/>
          <w:sz w:val="22"/>
          <w:szCs w:val="22"/>
        </w:rPr>
      </w:pPr>
      <w:r>
        <w:rPr>
          <w:rFonts w:cs="Arial" w:ascii="Arial" w:hAnsi="Arial"/>
          <w:sz w:val="22"/>
          <w:szCs w:val="22"/>
        </w:rPr>
      </w:r>
    </w:p>
    <w:p>
      <w:pPr>
        <w:pStyle w:val="Normal"/>
        <w:spacing w:lineRule="auto" w:line="360"/>
        <w:ind w:firstLine="851"/>
        <w:jc w:val="center"/>
        <w:rPr>
          <w:rFonts w:ascii="Arial" w:hAnsi="Arial" w:cs="Arial"/>
          <w:sz w:val="22"/>
          <w:szCs w:val="22"/>
        </w:rPr>
      </w:pPr>
      <w:r>
        <w:rPr>
          <w:rFonts w:cs="Arial" w:ascii="Arial" w:hAnsi="Arial"/>
          <w:sz w:val="22"/>
          <w:szCs w:val="22"/>
        </w:rPr>
        <w:t>En Calamocha,</w:t>
      </w:r>
    </w:p>
    <w:p>
      <w:pPr>
        <w:pStyle w:val="Normal"/>
        <w:spacing w:lineRule="auto" w:line="360"/>
        <w:ind w:firstLine="851"/>
        <w:jc w:val="center"/>
        <w:rPr>
          <w:rFonts w:ascii="Arial" w:hAnsi="Arial" w:cs="Arial"/>
          <w:sz w:val="22"/>
          <w:szCs w:val="22"/>
        </w:rPr>
      </w:pPr>
      <w:r>
        <w:rPr>
          <w:rFonts w:cs="Arial" w:ascii="Arial" w:hAnsi="Arial"/>
          <w:sz w:val="22"/>
          <w:szCs w:val="22"/>
        </w:rPr>
        <w:t>LA PRESIDENTA DE LA COMARCA DEL JILOCA</w:t>
      </w:r>
    </w:p>
    <w:p>
      <w:pPr>
        <w:pStyle w:val="Normal"/>
        <w:widowControl w:val="false"/>
        <w:suppressAutoHyphens w:val="true"/>
        <w:spacing w:lineRule="auto" w:line="360"/>
        <w:ind w:right="-496" w:hanging="0"/>
        <w:jc w:val="center"/>
        <w:rPr>
          <w:rFonts w:ascii="Arial" w:hAnsi="Arial" w:cs="Arial"/>
          <w:b/>
          <w:b/>
          <w:bCs/>
          <w:kern w:val="2"/>
          <w:sz w:val="20"/>
          <w:szCs w:val="20"/>
          <w:lang w:eastAsia="ar-SA"/>
        </w:rPr>
      </w:pPr>
      <w:r>
        <w:rPr>
          <w:rFonts w:cs="Arial" w:ascii="Arial" w:hAnsi="Arial"/>
          <w:b/>
          <w:bCs/>
          <w:kern w:val="2"/>
          <w:sz w:val="20"/>
          <w:szCs w:val="20"/>
          <w:lang w:eastAsia="ar-SA"/>
        </w:rPr>
      </w:r>
    </w:p>
    <w:p>
      <w:pPr>
        <w:pStyle w:val="Normal"/>
        <w:rPr/>
      </w:pPr>
      <w:r>
        <w:rPr/>
      </w:r>
    </w:p>
    <w:sectPr>
      <w:headerReference w:type="default" r:id="rId3"/>
      <w:type w:val="nextPage"/>
      <w:pgSz w:w="11906" w:h="16838"/>
      <w:pgMar w:left="1701" w:right="1701" w:header="708" w:top="1417" w:footer="0"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Verdana">
    <w:charset w:val="00"/>
    <w:family w:val="roman"/>
    <w:pitch w:val="variable"/>
  </w:font>
  <w:font w:name="Arial">
    <w:charset w:val="00"/>
    <w:family w:val="roman"/>
    <w:pitch w:val="variable"/>
  </w:font>
  <w:font w:name="Arial">
    <w:charset w:val="01"/>
    <w:family w:val="swiss"/>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1744345" cy="697865"/>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1"/>
                  <a:srcRect l="-170" t="-425" r="-170" b="-425"/>
                  <a:stretch>
                    <a:fillRect/>
                  </a:stretch>
                </pic:blipFill>
                <pic:spPr bwMode="auto">
                  <a:xfrm>
                    <a:off x="0" y="0"/>
                    <a:ext cx="1744345" cy="697865"/>
                  </a:xfrm>
                  <a:prstGeom prst="rect">
                    <a:avLst/>
                  </a:prstGeom>
                </pic:spPr>
              </pic:pic>
            </a:graphicData>
          </a:graphic>
        </wp:inline>
      </w:drawing>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Letter"/>
      <w:lvlText w:val="%1."/>
      <w:lvlJc w:val="left"/>
      <w:pPr>
        <w:tabs>
          <w:tab w:val="num" w:pos="644"/>
        </w:tabs>
        <w:ind w:left="644" w:hanging="360"/>
      </w:p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2">
    <w:lvl w:ilvl="0">
      <w:start w:val="1"/>
      <w:numFmt w:val="bullet"/>
      <w:lvlText w:val="-"/>
      <w:lvlJc w:val="left"/>
      <w:pPr>
        <w:tabs>
          <w:tab w:val="num" w:pos="428"/>
        </w:tabs>
        <w:ind w:left="428" w:hanging="360"/>
      </w:pPr>
      <w:rPr>
        <w:rFonts w:ascii="Arial" w:hAnsi="Arial" w:cs="Arial" w:hint="default"/>
        <w:szCs w:val="22"/>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lowerLetter"/>
      <w:lvlText w:val="%1)"/>
      <w:lvlJc w:val="left"/>
      <w:pPr>
        <w:tabs>
          <w:tab w:val="num" w:pos="1080"/>
        </w:tabs>
        <w:ind w:left="576" w:hanging="360"/>
      </w:pPr>
      <w:rPr>
        <w:sz w:val="20"/>
        <w:szCs w:val="20"/>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bullet"/>
      <w:lvlText w:val=""/>
      <w:lvlJc w:val="left"/>
      <w:pPr>
        <w:tabs>
          <w:tab w:val="num" w:pos="720"/>
        </w:tabs>
        <w:ind w:left="720" w:hanging="360"/>
      </w:pPr>
      <w:rPr>
        <w:rFonts w:ascii="Symbol" w:hAnsi="Symbol" w:cs="Symbol" w:hint="default"/>
        <w:rFonts w:cs="Times New Roman"/>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5">
    <w:lvl w:ilvl="0">
      <w:start w:val="1"/>
      <w:numFmt w:val="lowerLetter"/>
      <w:lvlText w:val="%1)"/>
      <w:lvlJc w:val="left"/>
      <w:pPr>
        <w:tabs>
          <w:tab w:val="num" w:pos="792"/>
        </w:tabs>
        <w:ind w:left="792" w:hanging="360"/>
      </w:pPr>
      <w:rPr>
        <w:sz w:val="20"/>
        <w:b w:val="false"/>
        <w:szCs w:val="20"/>
        <w:rFonts w:cs="Arial"/>
      </w:rPr>
    </w:lvl>
    <w:lvl w:ilvl="1">
      <w:start w:val="1"/>
      <w:numFmt w:val="decimal"/>
      <w:lvlText w:val="%2."/>
      <w:lvlJc w:val="left"/>
      <w:pPr>
        <w:tabs>
          <w:tab w:val="num" w:pos="1080"/>
        </w:tabs>
        <w:ind w:left="1080" w:hanging="360"/>
      </w:pPr>
    </w:lvl>
    <w:lvl w:ilvl="2">
      <w:start w:val="1"/>
      <w:numFmt w:val="lowerLetter"/>
      <w:lvlText w:val="%3."/>
      <w:lvlJc w:val="left"/>
      <w:pPr>
        <w:tabs>
          <w:tab w:val="num" w:pos="1440"/>
        </w:tabs>
        <w:ind w:left="1440" w:hanging="360"/>
      </w:pPr>
      <w:rPr>
        <w:sz w:val="20"/>
        <w:b w:val="false"/>
        <w:szCs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E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Normal (Web)" w:uiPriority="0"/>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708c1"/>
    <w:pPr>
      <w:widowControl/>
      <w:bidi w:val="0"/>
      <w:spacing w:lineRule="auto" w:line="240" w:before="0" w:after="0"/>
      <w:jc w:val="left"/>
    </w:pPr>
    <w:rPr>
      <w:rFonts w:ascii="Times New Roman" w:hAnsi="Times New Roman" w:eastAsia="Times New Roman" w:cs="Times New Roman"/>
      <w:color w:val="auto"/>
      <w:kern w:val="0"/>
      <w:sz w:val="24"/>
      <w:szCs w:val="24"/>
      <w:lang w:val="es-ES" w:eastAsia="es-ES" w:bidi="ar-SA"/>
    </w:rPr>
  </w:style>
  <w:style w:type="character" w:styleId="DefaultParagraphFont" w:default="1">
    <w:name w:val="Default Paragraph Font"/>
    <w:uiPriority w:val="1"/>
    <w:semiHidden/>
    <w:unhideWhenUsed/>
    <w:qFormat/>
    <w:rPr/>
  </w:style>
  <w:style w:type="character" w:styleId="EnlacedeInternet">
    <w:name w:val="Enlace de Internet"/>
    <w:uiPriority w:val="99"/>
    <w:semiHidden/>
    <w:unhideWhenUsed/>
    <w:rsid w:val="001708c1"/>
    <w:rPr>
      <w:strike w:val="false"/>
      <w:dstrike w:val="false"/>
      <w:color w:val="4C6F99"/>
      <w:u w:val="none"/>
      <w:effect w:val="none"/>
    </w:rPr>
  </w:style>
  <w:style w:type="character" w:styleId="EncabezadoCar" w:customStyle="1">
    <w:name w:val="Encabezado Car"/>
    <w:basedOn w:val="DefaultParagraphFont"/>
    <w:link w:val="Encabezado"/>
    <w:uiPriority w:val="99"/>
    <w:qFormat/>
    <w:rsid w:val="00900473"/>
    <w:rPr>
      <w:rFonts w:ascii="Times New Roman" w:hAnsi="Times New Roman" w:eastAsia="Times New Roman" w:cs="Times New Roman"/>
      <w:sz w:val="24"/>
      <w:szCs w:val="24"/>
      <w:lang w:eastAsia="es-ES"/>
    </w:rPr>
  </w:style>
  <w:style w:type="character" w:styleId="PiedepginaCar" w:customStyle="1">
    <w:name w:val="Pie de página Car"/>
    <w:basedOn w:val="DefaultParagraphFont"/>
    <w:link w:val="Piedepgina"/>
    <w:uiPriority w:val="99"/>
    <w:qFormat/>
    <w:rsid w:val="00900473"/>
    <w:rPr>
      <w:rFonts w:ascii="Times New Roman" w:hAnsi="Times New Roman" w:eastAsia="Times New Roman" w:cs="Times New Roman"/>
      <w:sz w:val="24"/>
      <w:szCs w:val="24"/>
      <w:lang w:eastAsia="es-ES"/>
    </w:rPr>
  </w:style>
  <w:style w:type="character" w:styleId="TextodegloboCar" w:customStyle="1">
    <w:name w:val="Texto de globo Car"/>
    <w:basedOn w:val="DefaultParagraphFont"/>
    <w:link w:val="Textodeglobo"/>
    <w:uiPriority w:val="99"/>
    <w:semiHidden/>
    <w:qFormat/>
    <w:rsid w:val="00900473"/>
    <w:rPr>
      <w:rFonts w:ascii="Tahoma" w:hAnsi="Tahoma" w:eastAsia="Times New Roman" w:cs="Tahoma"/>
      <w:sz w:val="16"/>
      <w:szCs w:val="16"/>
      <w:lang w:eastAsia="es-ES"/>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Web">
    <w:name w:val="Normal (Web)"/>
    <w:basedOn w:val="Normal"/>
    <w:semiHidden/>
    <w:unhideWhenUsed/>
    <w:qFormat/>
    <w:rsid w:val="001708c1"/>
    <w:pPr>
      <w:spacing w:lineRule="auto" w:line="360"/>
      <w:ind w:left="528" w:right="71" w:firstLine="600"/>
      <w:jc w:val="both"/>
    </w:pPr>
    <w:rPr>
      <w:rFonts w:ascii="Verdana" w:hAnsi="Verdana" w:cs="Arial"/>
      <w:sz w:val="20"/>
    </w:rPr>
  </w:style>
  <w:style w:type="paragraph" w:styleId="Cabeceraypie">
    <w:name w:val="Cabecera y pie"/>
    <w:basedOn w:val="Normal"/>
    <w:qFormat/>
    <w:pPr/>
    <w:rPr/>
  </w:style>
  <w:style w:type="paragraph" w:styleId="Cabecera">
    <w:name w:val="Header"/>
    <w:basedOn w:val="Normal"/>
    <w:link w:val="EncabezadoCar"/>
    <w:uiPriority w:val="99"/>
    <w:unhideWhenUsed/>
    <w:rsid w:val="00900473"/>
    <w:pPr>
      <w:tabs>
        <w:tab w:val="clear" w:pos="708"/>
        <w:tab w:val="center" w:pos="4252" w:leader="none"/>
        <w:tab w:val="right" w:pos="8504" w:leader="none"/>
      </w:tabs>
    </w:pPr>
    <w:rPr/>
  </w:style>
  <w:style w:type="paragraph" w:styleId="Piedepgina">
    <w:name w:val="Footer"/>
    <w:basedOn w:val="Normal"/>
    <w:link w:val="PiedepginaCar"/>
    <w:uiPriority w:val="99"/>
    <w:unhideWhenUsed/>
    <w:rsid w:val="00900473"/>
    <w:pPr>
      <w:tabs>
        <w:tab w:val="clear" w:pos="708"/>
        <w:tab w:val="center" w:pos="4252" w:leader="none"/>
        <w:tab w:val="right" w:pos="8504" w:leader="none"/>
      </w:tabs>
    </w:pPr>
    <w:rPr/>
  </w:style>
  <w:style w:type="paragraph" w:styleId="BalloonText">
    <w:name w:val="Balloon Text"/>
    <w:basedOn w:val="Normal"/>
    <w:link w:val="TextodegloboCar"/>
    <w:uiPriority w:val="99"/>
    <w:semiHidden/>
    <w:unhideWhenUsed/>
    <w:qFormat/>
    <w:rsid w:val="00900473"/>
    <w:pPr/>
    <w:rPr>
      <w:rFonts w:ascii="Tahoma" w:hAnsi="Tahoma" w:cs="Tahoma"/>
      <w:sz w:val="16"/>
      <w:szCs w:val="16"/>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iloca.es/" TargetMode="External"/><Relationship Id="rId3" Type="http://schemas.openxmlformats.org/officeDocument/2006/relationships/header" Target="head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Application>LibreOffice/6.4.1.2$Windows_X86_64 LibreOffice_project/4d224e95b98b138af42a64d84056446d09082932</Application>
  <Pages>9</Pages>
  <Words>2194</Words>
  <Characters>12055</Characters>
  <CharactersWithSpaces>14128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2020-09-16T07:56:00Z</dcterms:created>
  <dc:creator>Ribera Ríos S.L. Fotografía</dc:creator>
  <dc:description/>
  <dc:language>es-ES</dc:language>
  <cp:lastModifiedBy/>
  <dcterms:modified xsi:type="dcterms:W3CDTF">2020-09-17T08:43:59Z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