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79D" w:rsidRPr="003258D5" w:rsidRDefault="003258D5" w:rsidP="00B2279D">
      <w:pPr>
        <w:jc w:val="both"/>
        <w:rPr>
          <w:rFonts w:ascii="Arial" w:hAnsi="Arial" w:cs="Arial"/>
          <w:b/>
        </w:rPr>
      </w:pPr>
      <w:r w:rsidRPr="003258D5">
        <w:rPr>
          <w:rFonts w:ascii="Arial" w:hAnsi="Arial" w:cs="Arial"/>
          <w:b/>
        </w:rPr>
        <w:t>Resolución del titular de la Dirección General de Diálogo Social y Bienestar Laboral, por la que se convocan las subvenciones para compensación económica de árbitros en relaciones laborales para el ejercicio 2020</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 xml:space="preserve">Cumpliendo las exigencias contenidas en la Ley 7/2005, de 18 de noviembre, de Subvenciones de la Comunidad Autónoma de la Región de Murcia y en la Ley 38/2003, de 17 de noviembre, General de Subvenciones, la presente Orden establece las </w:t>
      </w:r>
      <w:r w:rsidR="003258D5">
        <w:rPr>
          <w:rFonts w:ascii="Arial" w:hAnsi="Arial" w:cs="Arial"/>
        </w:rPr>
        <w:t>reglas</w:t>
      </w:r>
      <w:r w:rsidRPr="00B2279D">
        <w:rPr>
          <w:rFonts w:ascii="Arial" w:hAnsi="Arial" w:cs="Arial"/>
        </w:rPr>
        <w:t xml:space="preserve"> </w:t>
      </w:r>
      <w:r w:rsidR="003258D5">
        <w:rPr>
          <w:rFonts w:ascii="Arial" w:hAnsi="Arial" w:cs="Arial"/>
        </w:rPr>
        <w:t>que han de regir</w:t>
      </w:r>
      <w:r w:rsidRPr="00B2279D">
        <w:rPr>
          <w:rFonts w:ascii="Arial" w:hAnsi="Arial" w:cs="Arial"/>
        </w:rPr>
        <w:t xml:space="preserve"> las compensaciones económicas a árbitros</w:t>
      </w:r>
      <w:r w:rsidR="003258D5">
        <w:rPr>
          <w:rFonts w:ascii="Arial" w:hAnsi="Arial" w:cs="Arial"/>
        </w:rPr>
        <w:t xml:space="preserve"> en las siguientes clases de relaciones laborales</w:t>
      </w:r>
      <w:r w:rsidRPr="00B2279D">
        <w:rPr>
          <w:rFonts w:ascii="Arial" w:hAnsi="Arial" w:cs="Arial"/>
        </w:rPr>
        <w:t>:</w:t>
      </w:r>
    </w:p>
    <w:p w:rsidR="00B2279D" w:rsidRPr="00B2279D" w:rsidRDefault="00B2279D" w:rsidP="00B2279D">
      <w:pPr>
        <w:jc w:val="both"/>
        <w:rPr>
          <w:rFonts w:ascii="Arial" w:hAnsi="Arial" w:cs="Arial"/>
        </w:rPr>
      </w:pPr>
      <w:r w:rsidRPr="00B2279D">
        <w:rPr>
          <w:rFonts w:ascii="Arial" w:hAnsi="Arial" w:cs="Arial"/>
        </w:rPr>
        <w:t>a)</w:t>
      </w:r>
      <w:r w:rsidRPr="00B2279D">
        <w:rPr>
          <w:rFonts w:ascii="Arial" w:hAnsi="Arial" w:cs="Arial"/>
        </w:rPr>
        <w:tab/>
        <w:t>Que se tramiten conforme a un procedimiento arbitral, compensando económicamente la Administración a los árbitros que realicen esas funciones, según lo establecido en el artículo 76 del Estatuto de los Trabajadores, aprobado por Real Decreto Legislativo 2/2015, de 23 de octubre.</w:t>
      </w:r>
    </w:p>
    <w:p w:rsidR="00B2279D" w:rsidRPr="00B2279D" w:rsidRDefault="00B2279D" w:rsidP="00B2279D">
      <w:pPr>
        <w:jc w:val="both"/>
        <w:rPr>
          <w:rFonts w:ascii="Arial" w:hAnsi="Arial" w:cs="Arial"/>
        </w:rPr>
      </w:pPr>
      <w:r w:rsidRPr="00B2279D">
        <w:rPr>
          <w:rFonts w:ascii="Arial" w:hAnsi="Arial" w:cs="Arial"/>
        </w:rPr>
        <w:t>b)</w:t>
      </w:r>
      <w:r w:rsidRPr="00B2279D">
        <w:rPr>
          <w:rFonts w:ascii="Arial" w:hAnsi="Arial" w:cs="Arial"/>
        </w:rPr>
        <w:tab/>
        <w:t>Que se tramiten conforme a un procedimiento arbitral en materia de elecciones a los órganos de representación del personal al servicio de las Administraciones Públicas, según lo establecido en el artículo 29 de la Ley 9/1987, de 12 de junio, de Órganos de Representación, Determinación de las Condiciones de Trabajo y Participación del Personal al Servicio de las Administraciones Públicas.</w:t>
      </w:r>
    </w:p>
    <w:p w:rsidR="00B2279D" w:rsidRPr="00B2279D" w:rsidRDefault="00B2279D" w:rsidP="00B2279D">
      <w:pPr>
        <w:jc w:val="both"/>
        <w:rPr>
          <w:rFonts w:ascii="Arial" w:hAnsi="Arial" w:cs="Arial"/>
        </w:rPr>
      </w:pPr>
      <w:r w:rsidRPr="00B2279D">
        <w:rPr>
          <w:rFonts w:ascii="Arial" w:hAnsi="Arial" w:cs="Arial"/>
        </w:rPr>
        <w:t>c)</w:t>
      </w:r>
      <w:r w:rsidRPr="00B2279D">
        <w:rPr>
          <w:rFonts w:ascii="Arial" w:hAnsi="Arial" w:cs="Arial"/>
        </w:rPr>
        <w:tab/>
        <w:t>Que se tramiten para resolver las discrepancias en los procedimientos de inaplicación de las condiciones de trabajo de un convenio colectivo, cuando afecte a empresas con centros de trabajo situados exclusivamente en el territorio de la Comunidad Autónoma de la Región de Murcia, de acuerdo con el artículo 82.3 del Estatuto de los Trabajadores.</w:t>
      </w:r>
    </w:p>
    <w:p w:rsidR="00B2279D" w:rsidRPr="00B2279D" w:rsidRDefault="00B2279D" w:rsidP="00B2279D">
      <w:pPr>
        <w:jc w:val="both"/>
        <w:rPr>
          <w:rFonts w:ascii="Arial" w:hAnsi="Arial" w:cs="Arial"/>
        </w:rPr>
      </w:pPr>
    </w:p>
    <w:p w:rsidR="008855A3" w:rsidRPr="00B2279D" w:rsidRDefault="00B2279D" w:rsidP="00B2279D">
      <w:pPr>
        <w:jc w:val="both"/>
        <w:rPr>
          <w:rFonts w:ascii="Arial" w:hAnsi="Arial" w:cs="Arial"/>
        </w:rPr>
      </w:pPr>
      <w:r w:rsidRPr="00B2279D">
        <w:rPr>
          <w:rFonts w:ascii="Arial" w:hAnsi="Arial" w:cs="Arial"/>
        </w:rPr>
        <w:t>La Comunidad Autónoma de la Región de Murcia tiene la función ejecutiva en materia laboral según lo establecido en el artículo 12.1.10 de su Estatuto de Autonomía, y en el Real Decreto 375/1995, de 10 de marzo, sobre traspaso de funciones y servicios de la Administración del Estado a la Comunidad Autónoma de la Región de Murcia en materia de trabajo (BOE nº 92, de 18.04.1995).</w:t>
      </w:r>
    </w:p>
    <w:p w:rsidR="00B2279D" w:rsidRPr="00B2279D" w:rsidRDefault="00B2279D" w:rsidP="000A19D8">
      <w:pPr>
        <w:jc w:val="both"/>
        <w:rPr>
          <w:rFonts w:ascii="Arial" w:hAnsi="Arial" w:cs="Arial"/>
        </w:rPr>
      </w:pPr>
      <w:r w:rsidRPr="000A19D8">
        <w:rPr>
          <w:rFonts w:ascii="Arial" w:hAnsi="Arial" w:cs="Arial"/>
        </w:rPr>
        <w:t>Siendo de aplicación la Orden de 4 de septiembre de 2013, de la Consejería de Educación, Universidades y Empleo, por la que se establecen las bases reguladoras de las subvenciones destinadas a la compensación económica de árbitros en relaciones laborales (BORM nº 213, de 13 de septiembre de 2013).</w:t>
      </w:r>
    </w:p>
    <w:p w:rsidR="00B2279D" w:rsidRPr="00B2279D" w:rsidRDefault="00B2279D" w:rsidP="00B2279D">
      <w:pPr>
        <w:spacing w:line="250" w:lineRule="exact"/>
        <w:jc w:val="both"/>
        <w:rPr>
          <w:rFonts w:ascii="Arial" w:hAnsi="Arial" w:cs="Arial"/>
        </w:rPr>
      </w:pPr>
    </w:p>
    <w:p w:rsidR="00B2279D" w:rsidRPr="00B2279D" w:rsidRDefault="00B2279D" w:rsidP="00B2279D">
      <w:pPr>
        <w:ind w:left="3420"/>
        <w:jc w:val="both"/>
        <w:rPr>
          <w:rFonts w:ascii="Arial" w:hAnsi="Arial" w:cs="Arial"/>
        </w:rPr>
      </w:pPr>
      <w:r w:rsidRPr="00B2279D">
        <w:rPr>
          <w:rFonts w:ascii="Arial" w:eastAsia="Arial" w:hAnsi="Arial" w:cs="Arial"/>
          <w:b/>
          <w:bCs/>
        </w:rPr>
        <w:t>Dispongo:</w:t>
      </w:r>
    </w:p>
    <w:p w:rsidR="00B2279D" w:rsidRPr="00B2279D" w:rsidRDefault="00B2279D" w:rsidP="00B2279D">
      <w:pPr>
        <w:spacing w:line="227" w:lineRule="exact"/>
        <w:jc w:val="both"/>
        <w:rPr>
          <w:rFonts w:ascii="Arial" w:hAnsi="Arial" w:cs="Arial"/>
        </w:rPr>
      </w:pPr>
    </w:p>
    <w:p w:rsidR="00B2279D" w:rsidRPr="00B2279D" w:rsidRDefault="00B2279D" w:rsidP="00B2279D">
      <w:pPr>
        <w:jc w:val="both"/>
        <w:rPr>
          <w:rFonts w:ascii="Arial" w:hAnsi="Arial" w:cs="Arial"/>
        </w:rPr>
      </w:pPr>
      <w:r w:rsidRPr="00B2279D">
        <w:rPr>
          <w:rFonts w:ascii="Arial" w:eastAsia="Arial" w:hAnsi="Arial" w:cs="Arial"/>
          <w:b/>
          <w:bCs/>
        </w:rPr>
        <w:t xml:space="preserve">Artículo 1. </w:t>
      </w:r>
      <w:r w:rsidRPr="00B2279D">
        <w:rPr>
          <w:rFonts w:ascii="Arial" w:eastAsia="Arial" w:hAnsi="Arial" w:cs="Arial"/>
          <w:b/>
          <w:bCs/>
          <w:i/>
          <w:iCs/>
        </w:rPr>
        <w:t>Objeto</w:t>
      </w:r>
      <w:r w:rsidRPr="00B2279D">
        <w:rPr>
          <w:rFonts w:ascii="Arial" w:eastAsia="Arial" w:hAnsi="Arial" w:cs="Arial"/>
          <w:b/>
          <w:bCs/>
        </w:rPr>
        <w:t>.</w:t>
      </w:r>
    </w:p>
    <w:p w:rsidR="00B2279D" w:rsidRPr="00B2279D" w:rsidRDefault="00B2279D" w:rsidP="00B2279D">
      <w:pPr>
        <w:numPr>
          <w:ilvl w:val="0"/>
          <w:numId w:val="1"/>
        </w:numPr>
        <w:tabs>
          <w:tab w:val="left" w:pos="1022"/>
        </w:tabs>
        <w:spacing w:after="0" w:line="228" w:lineRule="auto"/>
        <w:ind w:firstLine="700"/>
        <w:jc w:val="both"/>
        <w:rPr>
          <w:rFonts w:ascii="Arial" w:eastAsia="Arial" w:hAnsi="Arial" w:cs="Arial"/>
        </w:rPr>
      </w:pPr>
      <w:r w:rsidRPr="00B2279D">
        <w:rPr>
          <w:rFonts w:ascii="Arial" w:eastAsia="Arial" w:hAnsi="Arial" w:cs="Arial"/>
        </w:rPr>
        <w:t xml:space="preserve">La presente </w:t>
      </w:r>
      <w:r w:rsidR="003258D5">
        <w:rPr>
          <w:rFonts w:ascii="Arial" w:eastAsia="Arial" w:hAnsi="Arial" w:cs="Arial"/>
        </w:rPr>
        <w:t>Resolución</w:t>
      </w:r>
      <w:r w:rsidRPr="00B2279D">
        <w:rPr>
          <w:rFonts w:ascii="Arial" w:eastAsia="Arial" w:hAnsi="Arial" w:cs="Arial"/>
        </w:rPr>
        <w:t xml:space="preserve"> tiene por objeto convocar las subvenciones a conceder por la Consejería de Empleo, Universidades, Empresa y Medio Ambiente a través del programa presupuestario 315A “Administración de las Relaciones Laborales y Condiciones de Trabajo”, en los siguientes supuestos:</w:t>
      </w:r>
    </w:p>
    <w:p w:rsidR="00B2279D" w:rsidRPr="00B2279D" w:rsidRDefault="00B2279D" w:rsidP="00B2279D">
      <w:pPr>
        <w:numPr>
          <w:ilvl w:val="0"/>
          <w:numId w:val="2"/>
        </w:numPr>
        <w:tabs>
          <w:tab w:val="left" w:pos="1012"/>
        </w:tabs>
        <w:spacing w:after="0" w:line="229" w:lineRule="auto"/>
        <w:ind w:right="20" w:firstLine="700"/>
        <w:jc w:val="both"/>
        <w:rPr>
          <w:rFonts w:ascii="Arial" w:eastAsia="Arial" w:hAnsi="Arial" w:cs="Arial"/>
        </w:rPr>
      </w:pPr>
      <w:r w:rsidRPr="00B2279D">
        <w:rPr>
          <w:rFonts w:ascii="Arial" w:eastAsia="Arial" w:hAnsi="Arial" w:cs="Arial"/>
        </w:rPr>
        <w:lastRenderedPageBreak/>
        <w:t>Para compensar económicamente a los árbitros que intervienen en elecciones sindicales, y que han sido designados conforme a lo dispuesto:</w:t>
      </w:r>
    </w:p>
    <w:p w:rsidR="00B2279D" w:rsidRPr="00B2279D" w:rsidRDefault="00B2279D" w:rsidP="000A19D8">
      <w:pPr>
        <w:spacing w:line="228" w:lineRule="auto"/>
        <w:ind w:left="700" w:firstLine="708"/>
        <w:jc w:val="both"/>
        <w:rPr>
          <w:rFonts w:ascii="Arial" w:hAnsi="Arial" w:cs="Arial"/>
        </w:rPr>
      </w:pPr>
      <w:r w:rsidRPr="00B2279D">
        <w:rPr>
          <w:rFonts w:ascii="Arial" w:eastAsia="Arial" w:hAnsi="Arial" w:cs="Arial"/>
        </w:rPr>
        <w:t>1º En el artículo 76 del Texto Refundido de la Ley del Estatuto de los Trabajadores, aprobado por el Real Decreto Legislativo 2/2015, de 23 de octubre, y en el artículo 31 y siguientes del Real Decreto 1844/1994, de 9 de septiembre, que aprueba el Reglamento de elecciones a órganos de representación de los trabajadores en la empresa.</w:t>
      </w:r>
    </w:p>
    <w:p w:rsidR="00B2279D" w:rsidRPr="00B2279D" w:rsidRDefault="00B2279D" w:rsidP="000A19D8">
      <w:pPr>
        <w:spacing w:line="229" w:lineRule="auto"/>
        <w:ind w:left="700" w:right="20" w:firstLine="708"/>
        <w:jc w:val="both"/>
        <w:rPr>
          <w:rFonts w:ascii="Arial" w:hAnsi="Arial" w:cs="Arial"/>
        </w:rPr>
      </w:pPr>
      <w:r w:rsidRPr="00B2279D">
        <w:rPr>
          <w:rFonts w:ascii="Arial" w:eastAsia="Arial" w:hAnsi="Arial" w:cs="Arial"/>
        </w:rPr>
        <w:t>2º En el artículo 28 de la Ley 9/1987, de 12 de junio, de Órganos de Representación, Determinación de las Condiciones de Trabajo y Participación del Personal al Servicio de las Administraciones Públicas.</w:t>
      </w:r>
    </w:p>
    <w:p w:rsidR="00B2279D" w:rsidRPr="00B2279D" w:rsidRDefault="00B2279D" w:rsidP="00B2279D">
      <w:pPr>
        <w:numPr>
          <w:ilvl w:val="0"/>
          <w:numId w:val="3"/>
        </w:numPr>
        <w:tabs>
          <w:tab w:val="left" w:pos="986"/>
        </w:tabs>
        <w:spacing w:after="0" w:line="228" w:lineRule="auto"/>
        <w:ind w:right="20" w:firstLine="700"/>
        <w:jc w:val="both"/>
        <w:rPr>
          <w:rFonts w:ascii="Arial" w:eastAsia="Arial" w:hAnsi="Arial" w:cs="Arial"/>
        </w:rPr>
      </w:pPr>
      <w:r w:rsidRPr="00B2279D">
        <w:rPr>
          <w:rFonts w:ascii="Arial" w:eastAsia="Arial" w:hAnsi="Arial" w:cs="Arial"/>
        </w:rPr>
        <w:t>Para compensar económicamente a los árbitros que intervienen en la resolución de discrepancias en los procedimientos de inaplicación de las condiciones de trabajo de un convenio colectivo, cuando afecte a empresas con centros de trabajo situados exclusivamente en el territorio de la Comunidad Autónoma de la Región de Murcia, conforme a lo establecido en el Decreto n.º 33/2013, de 12 de abril, que crea el Consejo Autonómico de Relaciones Laborales de la Región de Murcia, y regula su funcionamiento.</w:t>
      </w:r>
    </w:p>
    <w:p w:rsidR="00B2279D" w:rsidRPr="00B2279D" w:rsidRDefault="00B2279D" w:rsidP="00B2279D">
      <w:pPr>
        <w:spacing w:line="117" w:lineRule="exact"/>
        <w:jc w:val="both"/>
        <w:rPr>
          <w:rFonts w:ascii="Arial" w:eastAsia="Arial" w:hAnsi="Arial" w:cs="Arial"/>
        </w:rPr>
      </w:pPr>
    </w:p>
    <w:p w:rsidR="00B2279D" w:rsidRPr="00B2279D" w:rsidRDefault="00B2279D" w:rsidP="00B2279D">
      <w:pPr>
        <w:numPr>
          <w:ilvl w:val="0"/>
          <w:numId w:val="3"/>
        </w:numPr>
        <w:tabs>
          <w:tab w:val="left" w:pos="1051"/>
        </w:tabs>
        <w:spacing w:after="0" w:line="228" w:lineRule="auto"/>
        <w:ind w:right="20" w:firstLine="700"/>
        <w:jc w:val="both"/>
        <w:rPr>
          <w:rFonts w:ascii="Arial" w:eastAsia="Arial" w:hAnsi="Arial" w:cs="Arial"/>
        </w:rPr>
      </w:pPr>
      <w:r w:rsidRPr="00B2279D">
        <w:rPr>
          <w:rFonts w:ascii="Arial" w:eastAsia="Arial" w:hAnsi="Arial" w:cs="Arial"/>
        </w:rPr>
        <w:t>Para compensar económicamente al Presidente de la Comisión Arbitral del mencionado Consejo Autonómico de Relaciones Laborales de la Región de Murcia, por cada una de las reuniones de la Comisión Arbitral que presida.</w:t>
      </w:r>
    </w:p>
    <w:p w:rsidR="00B2279D" w:rsidRPr="00B2279D" w:rsidRDefault="00B2279D" w:rsidP="00B2279D">
      <w:pPr>
        <w:spacing w:line="119" w:lineRule="exact"/>
        <w:jc w:val="both"/>
        <w:rPr>
          <w:rFonts w:ascii="Arial" w:hAnsi="Arial" w:cs="Arial"/>
        </w:rPr>
      </w:pPr>
    </w:p>
    <w:p w:rsidR="00B2279D" w:rsidRPr="00B2279D" w:rsidRDefault="00B2279D" w:rsidP="00B2279D">
      <w:pPr>
        <w:numPr>
          <w:ilvl w:val="0"/>
          <w:numId w:val="4"/>
        </w:numPr>
        <w:tabs>
          <w:tab w:val="left" w:pos="989"/>
        </w:tabs>
        <w:spacing w:after="0" w:line="228" w:lineRule="auto"/>
        <w:ind w:firstLine="700"/>
        <w:jc w:val="both"/>
        <w:rPr>
          <w:rFonts w:ascii="Arial" w:eastAsia="Arial" w:hAnsi="Arial" w:cs="Arial"/>
        </w:rPr>
      </w:pPr>
      <w:r w:rsidRPr="00B2279D">
        <w:rPr>
          <w:rFonts w:ascii="Arial" w:eastAsia="Arial" w:hAnsi="Arial" w:cs="Arial"/>
        </w:rPr>
        <w:t>Serán objeto de subvención las actuaciones llevadas a cabo por los árbitros en relaciones laborales y por el Presidente de la Comisión Arbitral en el período comprendido entre el día 1 de enero y el día 30 de noviembre del presente año.</w:t>
      </w:r>
    </w:p>
    <w:p w:rsidR="00B2279D" w:rsidRPr="00B2279D" w:rsidRDefault="00B2279D" w:rsidP="00B2279D">
      <w:pPr>
        <w:spacing w:line="231" w:lineRule="exact"/>
        <w:jc w:val="both"/>
        <w:rPr>
          <w:rFonts w:ascii="Arial" w:hAnsi="Arial" w:cs="Arial"/>
        </w:rPr>
      </w:pPr>
    </w:p>
    <w:p w:rsidR="00B2279D" w:rsidRPr="00B2279D" w:rsidRDefault="00B2279D" w:rsidP="00B2279D">
      <w:pPr>
        <w:jc w:val="both"/>
        <w:rPr>
          <w:rFonts w:ascii="Arial" w:hAnsi="Arial" w:cs="Arial"/>
        </w:rPr>
      </w:pPr>
      <w:r w:rsidRPr="00B2279D">
        <w:rPr>
          <w:rFonts w:ascii="Arial" w:eastAsia="Arial" w:hAnsi="Arial" w:cs="Arial"/>
          <w:b/>
          <w:bCs/>
        </w:rPr>
        <w:t xml:space="preserve">Artículo 2. </w:t>
      </w:r>
      <w:r w:rsidRPr="00B2279D">
        <w:rPr>
          <w:rFonts w:ascii="Arial" w:eastAsia="Arial" w:hAnsi="Arial" w:cs="Arial"/>
          <w:b/>
          <w:bCs/>
          <w:i/>
          <w:iCs/>
        </w:rPr>
        <w:t>Normativa aplicable</w:t>
      </w:r>
      <w:r w:rsidRPr="00B2279D">
        <w:rPr>
          <w:rFonts w:ascii="Arial" w:eastAsia="Arial" w:hAnsi="Arial" w:cs="Arial"/>
          <w:b/>
          <w:bCs/>
        </w:rPr>
        <w:t>.</w:t>
      </w:r>
    </w:p>
    <w:p w:rsidR="00B2279D" w:rsidRPr="00B2279D" w:rsidRDefault="00B2279D" w:rsidP="00B2279D">
      <w:pPr>
        <w:spacing w:line="228" w:lineRule="auto"/>
        <w:ind w:firstLine="708"/>
        <w:jc w:val="both"/>
        <w:rPr>
          <w:rFonts w:ascii="Arial" w:hAnsi="Arial" w:cs="Arial"/>
        </w:rPr>
      </w:pPr>
      <w:r w:rsidRPr="00B2279D">
        <w:rPr>
          <w:rFonts w:ascii="Arial" w:eastAsia="Arial" w:hAnsi="Arial" w:cs="Arial"/>
        </w:rPr>
        <w:t>A la presente convocatoria de ayudas le es de aplicación la Orden de 4 de septiembre de 2013, de la Consejería de Educación, Universidades y Empleo, por la que se establecen las bases reguladoras de las subvenciones destinadas a la compensación económica de árbitros en relaciones laborales.</w:t>
      </w:r>
    </w:p>
    <w:p w:rsidR="00B2279D" w:rsidRPr="00B2279D" w:rsidRDefault="00B2279D" w:rsidP="00B2279D">
      <w:pPr>
        <w:spacing w:line="230" w:lineRule="exact"/>
        <w:jc w:val="both"/>
        <w:rPr>
          <w:rFonts w:ascii="Arial" w:hAnsi="Arial" w:cs="Arial"/>
        </w:rPr>
      </w:pPr>
    </w:p>
    <w:p w:rsidR="00B2279D" w:rsidRPr="00B2279D" w:rsidRDefault="00B2279D" w:rsidP="00B2279D">
      <w:pPr>
        <w:jc w:val="both"/>
        <w:rPr>
          <w:rFonts w:ascii="Arial" w:eastAsia="Arial" w:hAnsi="Arial" w:cs="Arial"/>
          <w:b/>
          <w:bCs/>
        </w:rPr>
      </w:pPr>
      <w:r w:rsidRPr="00B2279D">
        <w:rPr>
          <w:rFonts w:ascii="Arial" w:eastAsia="Arial" w:hAnsi="Arial" w:cs="Arial"/>
          <w:b/>
          <w:bCs/>
        </w:rPr>
        <w:t xml:space="preserve">Artículo 3. </w:t>
      </w:r>
      <w:r w:rsidRPr="00B2279D">
        <w:rPr>
          <w:rFonts w:ascii="Arial" w:eastAsia="Arial" w:hAnsi="Arial" w:cs="Arial"/>
          <w:b/>
          <w:bCs/>
          <w:i/>
          <w:iCs/>
        </w:rPr>
        <w:t>Procedimiento de concesión</w:t>
      </w:r>
      <w:r w:rsidRPr="00B2279D">
        <w:rPr>
          <w:rFonts w:ascii="Arial" w:eastAsia="Arial" w:hAnsi="Arial" w:cs="Arial"/>
          <w:b/>
          <w:bCs/>
        </w:rPr>
        <w:t>.</w:t>
      </w:r>
    </w:p>
    <w:p w:rsidR="00B2279D" w:rsidRPr="00B2279D" w:rsidRDefault="00B2279D" w:rsidP="00B2279D">
      <w:pPr>
        <w:spacing w:line="228" w:lineRule="auto"/>
        <w:ind w:firstLine="708"/>
        <w:jc w:val="both"/>
        <w:rPr>
          <w:rFonts w:ascii="Arial" w:hAnsi="Arial" w:cs="Arial"/>
        </w:rPr>
      </w:pPr>
      <w:r w:rsidRPr="00B2279D">
        <w:rPr>
          <w:rFonts w:ascii="Arial" w:eastAsia="Arial" w:hAnsi="Arial" w:cs="Arial"/>
        </w:rPr>
        <w:t>La concesión de ayudas reguladas en la presente Orden estará sometida al régimen de concurrencia especial establecido en el artículo 22 de la Ley 7/2005, de 18 de noviembre, de Subvenciones de la Comunidad Autónoma de la Región de Murcia, dado que las características especiales de las personas beneficiarias y de la actividad subvencionada</w:t>
      </w:r>
      <w:bookmarkStart w:id="0" w:name="_GoBack"/>
      <w:bookmarkEnd w:id="0"/>
      <w:r w:rsidRPr="00B2279D">
        <w:rPr>
          <w:rFonts w:ascii="Arial" w:eastAsia="Arial" w:hAnsi="Arial" w:cs="Arial"/>
        </w:rPr>
        <w:t xml:space="preserve"> excluyen la posibilidad de acceso a cualquier otro interesado que no cumpla con las mismas, y en atención a que la mera concurrencia en los perceptores de su condición de árbitros designados por la Dirección General de Relaciones Laborales y Economía Social hace innecesario establecer la comparación de las solicitudes ni la prelación de las mismas.</w:t>
      </w:r>
    </w:p>
    <w:p w:rsidR="00B2279D" w:rsidRPr="00B2279D" w:rsidRDefault="00B2279D" w:rsidP="00B2279D">
      <w:pPr>
        <w:spacing w:line="208" w:lineRule="exact"/>
        <w:jc w:val="both"/>
        <w:rPr>
          <w:rFonts w:ascii="Arial" w:hAnsi="Arial" w:cs="Arial"/>
        </w:rPr>
      </w:pPr>
    </w:p>
    <w:p w:rsidR="00B2279D" w:rsidRPr="00B2279D" w:rsidRDefault="00B2279D" w:rsidP="00B2279D">
      <w:pPr>
        <w:jc w:val="both"/>
        <w:rPr>
          <w:rFonts w:ascii="Arial" w:hAnsi="Arial" w:cs="Arial"/>
        </w:rPr>
      </w:pPr>
      <w:r w:rsidRPr="00B2279D">
        <w:rPr>
          <w:rFonts w:ascii="Arial" w:eastAsia="Arial" w:hAnsi="Arial" w:cs="Arial"/>
          <w:b/>
          <w:bCs/>
        </w:rPr>
        <w:t xml:space="preserve">Artículo 4. </w:t>
      </w:r>
      <w:r w:rsidRPr="00B2279D">
        <w:rPr>
          <w:rFonts w:ascii="Arial" w:eastAsia="Arial" w:hAnsi="Arial" w:cs="Arial"/>
          <w:b/>
          <w:bCs/>
          <w:i/>
          <w:iCs/>
        </w:rPr>
        <w:t>Datos presupuestarios</w:t>
      </w:r>
      <w:r w:rsidRPr="00B2279D">
        <w:rPr>
          <w:rFonts w:ascii="Arial" w:eastAsia="Arial" w:hAnsi="Arial" w:cs="Arial"/>
          <w:b/>
          <w:bCs/>
        </w:rPr>
        <w:t>.</w:t>
      </w:r>
    </w:p>
    <w:p w:rsidR="00B2279D" w:rsidRPr="00B2279D" w:rsidRDefault="00B2279D" w:rsidP="00B2279D">
      <w:pPr>
        <w:spacing w:line="228" w:lineRule="auto"/>
        <w:ind w:firstLine="708"/>
        <w:jc w:val="both"/>
        <w:rPr>
          <w:rFonts w:ascii="Arial" w:eastAsia="Arial" w:hAnsi="Arial" w:cs="Arial"/>
        </w:rPr>
      </w:pPr>
      <w:r w:rsidRPr="00B2279D">
        <w:rPr>
          <w:rFonts w:ascii="Arial" w:eastAsia="Arial" w:hAnsi="Arial" w:cs="Arial"/>
        </w:rPr>
        <w:t>Para atender la compensación económica de los árbitros en Relaciones Laborales, el crédito disponible es de 16.000,00 euros, siendo la aplicación presupuestaria la 16.05.00.315A.48503 y el código de proyecto el 12.212, de acuerdo con lo establecido en la Ley 14/2018, de 26 de diciembre, de Presupuestos Generales de la Comunidad Autónoma para el ejercicio 2019.</w:t>
      </w:r>
    </w:p>
    <w:tbl>
      <w:tblPr>
        <w:tblW w:w="8485" w:type="dxa"/>
        <w:tblInd w:w="14" w:type="dxa"/>
        <w:tblLayout w:type="fixed"/>
        <w:tblCellMar>
          <w:left w:w="0" w:type="dxa"/>
          <w:right w:w="0" w:type="dxa"/>
        </w:tblCellMar>
        <w:tblLook w:val="04A0" w:firstRow="1" w:lastRow="0" w:firstColumn="1" w:lastColumn="0" w:noHBand="0" w:noVBand="1"/>
      </w:tblPr>
      <w:tblGrid>
        <w:gridCol w:w="3099"/>
        <w:gridCol w:w="1134"/>
        <w:gridCol w:w="1843"/>
        <w:gridCol w:w="992"/>
        <w:gridCol w:w="1417"/>
      </w:tblGrid>
      <w:tr w:rsidR="00B2279D" w:rsidRPr="000E4BAC" w:rsidTr="00617089">
        <w:trPr>
          <w:trHeight w:hRule="exact" w:val="542"/>
        </w:trPr>
        <w:tc>
          <w:tcPr>
            <w:tcW w:w="3099" w:type="dxa"/>
            <w:tcBorders>
              <w:top w:val="single" w:sz="5" w:space="0" w:color="000000"/>
              <w:left w:val="single" w:sz="5" w:space="0" w:color="000000"/>
              <w:bottom w:val="single" w:sz="5" w:space="0" w:color="000000"/>
              <w:right w:val="single" w:sz="5" w:space="0" w:color="000000"/>
            </w:tcBorders>
          </w:tcPr>
          <w:p w:rsidR="00B2279D" w:rsidRPr="000E4BAC" w:rsidRDefault="00B2279D" w:rsidP="00B2279D">
            <w:pPr>
              <w:spacing w:after="311" w:line="211" w:lineRule="exact"/>
              <w:ind w:left="122"/>
              <w:jc w:val="both"/>
              <w:textAlignment w:val="baseline"/>
              <w:rPr>
                <w:rFonts w:ascii="Arial" w:eastAsia="Arial" w:hAnsi="Arial" w:cs="Arial"/>
                <w:b/>
                <w:color w:val="000000"/>
              </w:rPr>
            </w:pPr>
            <w:r w:rsidRPr="000E4BAC">
              <w:rPr>
                <w:rFonts w:ascii="Arial" w:eastAsia="Arial" w:hAnsi="Arial" w:cs="Arial"/>
                <w:b/>
                <w:color w:val="000000"/>
              </w:rPr>
              <w:t>Programa</w:t>
            </w:r>
          </w:p>
        </w:tc>
        <w:tc>
          <w:tcPr>
            <w:tcW w:w="1134" w:type="dxa"/>
            <w:tcBorders>
              <w:top w:val="single" w:sz="5" w:space="0" w:color="000000"/>
              <w:left w:val="single" w:sz="5" w:space="0" w:color="000000"/>
              <w:bottom w:val="single" w:sz="5" w:space="0" w:color="000000"/>
              <w:right w:val="single" w:sz="5" w:space="0" w:color="000000"/>
            </w:tcBorders>
          </w:tcPr>
          <w:p w:rsidR="00B2279D" w:rsidRPr="000E4BAC" w:rsidRDefault="00B2279D" w:rsidP="00B2279D">
            <w:pPr>
              <w:spacing w:after="39" w:line="251" w:lineRule="exact"/>
              <w:jc w:val="both"/>
              <w:textAlignment w:val="baseline"/>
              <w:rPr>
                <w:rFonts w:ascii="Arial" w:eastAsia="Arial" w:hAnsi="Arial" w:cs="Arial"/>
                <w:b/>
                <w:color w:val="000000"/>
              </w:rPr>
            </w:pPr>
            <w:r w:rsidRPr="000E4BAC">
              <w:rPr>
                <w:rFonts w:ascii="Arial" w:eastAsia="Arial" w:hAnsi="Arial" w:cs="Arial"/>
                <w:b/>
                <w:color w:val="000000"/>
              </w:rPr>
              <w:t xml:space="preserve">Crédito Total </w:t>
            </w:r>
            <w:r w:rsidRPr="000E4BAC">
              <w:rPr>
                <w:rFonts w:ascii="Arial" w:eastAsia="Arial" w:hAnsi="Arial" w:cs="Arial"/>
                <w:b/>
                <w:color w:val="000000"/>
              </w:rPr>
              <w:br/>
            </w:r>
          </w:p>
        </w:tc>
        <w:tc>
          <w:tcPr>
            <w:tcW w:w="1843" w:type="dxa"/>
            <w:tcBorders>
              <w:top w:val="single" w:sz="5" w:space="0" w:color="000000"/>
              <w:left w:val="single" w:sz="5" w:space="0" w:color="000000"/>
              <w:bottom w:val="single" w:sz="5" w:space="0" w:color="000000"/>
              <w:right w:val="single" w:sz="5" w:space="0" w:color="000000"/>
            </w:tcBorders>
          </w:tcPr>
          <w:p w:rsidR="00B2279D" w:rsidRPr="000E4BAC" w:rsidRDefault="00B2279D" w:rsidP="00B2279D">
            <w:pPr>
              <w:spacing w:after="41" w:line="250" w:lineRule="exact"/>
              <w:jc w:val="both"/>
              <w:textAlignment w:val="baseline"/>
              <w:rPr>
                <w:rFonts w:ascii="Arial" w:eastAsia="Arial" w:hAnsi="Arial" w:cs="Arial"/>
                <w:b/>
                <w:color w:val="000000"/>
              </w:rPr>
            </w:pPr>
            <w:r w:rsidRPr="000E4BAC">
              <w:rPr>
                <w:rFonts w:ascii="Arial" w:eastAsia="Arial" w:hAnsi="Arial" w:cs="Arial"/>
                <w:b/>
                <w:color w:val="000000"/>
              </w:rPr>
              <w:t xml:space="preserve">Aplicación </w:t>
            </w:r>
            <w:r w:rsidRPr="000E4BAC">
              <w:rPr>
                <w:rFonts w:ascii="Arial" w:eastAsia="Arial" w:hAnsi="Arial" w:cs="Arial"/>
                <w:b/>
                <w:color w:val="000000"/>
              </w:rPr>
              <w:br/>
              <w:t>presupuestaria</w:t>
            </w:r>
          </w:p>
        </w:tc>
        <w:tc>
          <w:tcPr>
            <w:tcW w:w="992" w:type="dxa"/>
            <w:tcBorders>
              <w:top w:val="single" w:sz="5" w:space="0" w:color="000000"/>
              <w:left w:val="single" w:sz="5" w:space="0" w:color="000000"/>
              <w:bottom w:val="single" w:sz="5" w:space="0" w:color="000000"/>
              <w:right w:val="single" w:sz="5" w:space="0" w:color="000000"/>
            </w:tcBorders>
          </w:tcPr>
          <w:p w:rsidR="00B2279D" w:rsidRPr="000E4BAC" w:rsidRDefault="00B2279D" w:rsidP="00B2279D">
            <w:pPr>
              <w:spacing w:after="42" w:line="250" w:lineRule="exact"/>
              <w:jc w:val="both"/>
              <w:textAlignment w:val="baseline"/>
              <w:rPr>
                <w:rFonts w:ascii="Arial" w:eastAsia="Arial" w:hAnsi="Arial" w:cs="Arial"/>
                <w:b/>
                <w:color w:val="000000"/>
              </w:rPr>
            </w:pPr>
            <w:r w:rsidRPr="000E4BAC">
              <w:rPr>
                <w:rFonts w:ascii="Arial" w:eastAsia="Arial" w:hAnsi="Arial" w:cs="Arial"/>
                <w:b/>
                <w:color w:val="000000"/>
              </w:rPr>
              <w:t xml:space="preserve">Código </w:t>
            </w:r>
            <w:r w:rsidRPr="000E4BAC">
              <w:rPr>
                <w:rFonts w:ascii="Arial" w:eastAsia="Arial" w:hAnsi="Arial" w:cs="Arial"/>
                <w:b/>
                <w:color w:val="000000"/>
              </w:rPr>
              <w:br/>
              <w:t>proyecto</w:t>
            </w:r>
          </w:p>
        </w:tc>
        <w:tc>
          <w:tcPr>
            <w:tcW w:w="1417" w:type="dxa"/>
            <w:tcBorders>
              <w:top w:val="single" w:sz="5" w:space="0" w:color="000000"/>
              <w:left w:val="single" w:sz="5" w:space="0" w:color="000000"/>
              <w:bottom w:val="single" w:sz="5" w:space="0" w:color="000000"/>
              <w:right w:val="single" w:sz="5" w:space="0" w:color="000000"/>
            </w:tcBorders>
          </w:tcPr>
          <w:p w:rsidR="00B2279D" w:rsidRPr="000E4BAC" w:rsidRDefault="00B2279D" w:rsidP="00B2279D">
            <w:pPr>
              <w:spacing w:after="42" w:line="250" w:lineRule="exact"/>
              <w:jc w:val="both"/>
              <w:textAlignment w:val="baseline"/>
              <w:rPr>
                <w:rFonts w:ascii="Arial" w:eastAsia="Arial" w:hAnsi="Arial" w:cs="Arial"/>
                <w:b/>
                <w:color w:val="000000"/>
              </w:rPr>
            </w:pPr>
            <w:r w:rsidRPr="000E4BAC">
              <w:rPr>
                <w:rFonts w:ascii="Arial" w:eastAsia="Arial" w:hAnsi="Arial" w:cs="Arial"/>
                <w:b/>
                <w:color w:val="000000"/>
              </w:rPr>
              <w:t xml:space="preserve">Código </w:t>
            </w:r>
            <w:r w:rsidRPr="000E4BAC">
              <w:rPr>
                <w:rFonts w:ascii="Arial" w:eastAsia="Arial" w:hAnsi="Arial" w:cs="Arial"/>
                <w:b/>
                <w:color w:val="000000"/>
              </w:rPr>
              <w:br/>
              <w:t>subproyecto</w:t>
            </w:r>
          </w:p>
        </w:tc>
      </w:tr>
      <w:tr w:rsidR="00B2279D" w:rsidRPr="000E4BAC" w:rsidTr="00617089">
        <w:trPr>
          <w:cantSplit/>
          <w:trHeight w:hRule="exact" w:val="284"/>
        </w:trPr>
        <w:tc>
          <w:tcPr>
            <w:tcW w:w="3099" w:type="dxa"/>
            <w:tcBorders>
              <w:top w:val="single" w:sz="5" w:space="0" w:color="000000"/>
              <w:left w:val="single" w:sz="5" w:space="0" w:color="000000"/>
              <w:bottom w:val="single" w:sz="5" w:space="0" w:color="000000"/>
              <w:right w:val="single" w:sz="5" w:space="0" w:color="000000"/>
            </w:tcBorders>
            <w:vAlign w:val="center"/>
          </w:tcPr>
          <w:p w:rsidR="00B2279D" w:rsidRPr="000E4BAC" w:rsidRDefault="00B2279D" w:rsidP="00617089">
            <w:pPr>
              <w:spacing w:after="27" w:line="214" w:lineRule="exact"/>
              <w:ind w:left="96"/>
              <w:textAlignment w:val="baseline"/>
              <w:rPr>
                <w:rFonts w:ascii="Arial" w:eastAsia="Arial" w:hAnsi="Arial" w:cs="Arial"/>
                <w:color w:val="000000"/>
                <w:sz w:val="20"/>
                <w:szCs w:val="20"/>
              </w:rPr>
            </w:pPr>
            <w:r w:rsidRPr="000E4BAC">
              <w:rPr>
                <w:rFonts w:ascii="Arial" w:eastAsia="Arial" w:hAnsi="Arial" w:cs="Arial"/>
                <w:color w:val="000000"/>
                <w:sz w:val="20"/>
                <w:szCs w:val="20"/>
              </w:rPr>
              <w:t>Árbitros en Relaciones Laborales</w:t>
            </w:r>
          </w:p>
        </w:tc>
        <w:tc>
          <w:tcPr>
            <w:tcW w:w="1134" w:type="dxa"/>
            <w:tcBorders>
              <w:top w:val="single" w:sz="5" w:space="0" w:color="000000"/>
              <w:left w:val="single" w:sz="5" w:space="0" w:color="000000"/>
              <w:bottom w:val="single" w:sz="5" w:space="0" w:color="000000"/>
              <w:right w:val="single" w:sz="5" w:space="0" w:color="000000"/>
            </w:tcBorders>
            <w:vAlign w:val="center"/>
          </w:tcPr>
          <w:p w:rsidR="00B2279D" w:rsidRPr="000E4BAC" w:rsidRDefault="00B2279D" w:rsidP="00617089">
            <w:pPr>
              <w:tabs>
                <w:tab w:val="decimal" w:pos="1080"/>
              </w:tabs>
              <w:spacing w:after="26" w:line="214" w:lineRule="exact"/>
              <w:jc w:val="center"/>
              <w:textAlignment w:val="baseline"/>
              <w:rPr>
                <w:rFonts w:ascii="Arial" w:eastAsia="Arial" w:hAnsi="Arial" w:cs="Arial"/>
                <w:color w:val="000000"/>
              </w:rPr>
            </w:pPr>
            <w:r w:rsidRPr="000E4BAC">
              <w:rPr>
                <w:rFonts w:ascii="Arial" w:eastAsia="Arial" w:hAnsi="Arial" w:cs="Arial"/>
                <w:color w:val="000000"/>
              </w:rPr>
              <w:t>20.000,00</w:t>
            </w:r>
          </w:p>
        </w:tc>
        <w:tc>
          <w:tcPr>
            <w:tcW w:w="1843" w:type="dxa"/>
            <w:tcBorders>
              <w:top w:val="single" w:sz="5" w:space="0" w:color="000000"/>
              <w:left w:val="single" w:sz="5" w:space="0" w:color="000000"/>
              <w:bottom w:val="single" w:sz="5" w:space="0" w:color="000000"/>
              <w:right w:val="single" w:sz="5" w:space="0" w:color="000000"/>
            </w:tcBorders>
            <w:vAlign w:val="center"/>
          </w:tcPr>
          <w:p w:rsidR="00B2279D" w:rsidRPr="000E4BAC" w:rsidRDefault="00B2279D" w:rsidP="00B2279D">
            <w:pPr>
              <w:spacing w:after="26" w:line="214" w:lineRule="exact"/>
              <w:jc w:val="both"/>
              <w:textAlignment w:val="baseline"/>
              <w:rPr>
                <w:rFonts w:ascii="Arial" w:eastAsia="Arial" w:hAnsi="Arial" w:cs="Arial"/>
                <w:color w:val="000000"/>
              </w:rPr>
            </w:pPr>
            <w:r w:rsidRPr="000E4BAC">
              <w:rPr>
                <w:rFonts w:ascii="Arial" w:eastAsia="Arial" w:hAnsi="Arial" w:cs="Arial"/>
                <w:color w:val="000000"/>
              </w:rPr>
              <w:t>13.03.315A.48503</w:t>
            </w:r>
          </w:p>
        </w:tc>
        <w:tc>
          <w:tcPr>
            <w:tcW w:w="992" w:type="dxa"/>
            <w:tcBorders>
              <w:top w:val="single" w:sz="5" w:space="0" w:color="000000"/>
              <w:left w:val="single" w:sz="5" w:space="0" w:color="000000"/>
              <w:bottom w:val="single" w:sz="5" w:space="0" w:color="000000"/>
              <w:right w:val="single" w:sz="5" w:space="0" w:color="000000"/>
            </w:tcBorders>
            <w:vAlign w:val="center"/>
          </w:tcPr>
          <w:p w:rsidR="00B2279D" w:rsidRPr="000E4BAC" w:rsidRDefault="00B2279D" w:rsidP="00617089">
            <w:pPr>
              <w:spacing w:after="31" w:line="214" w:lineRule="exact"/>
              <w:jc w:val="center"/>
              <w:textAlignment w:val="baseline"/>
              <w:rPr>
                <w:rFonts w:ascii="Arial" w:eastAsia="Arial" w:hAnsi="Arial" w:cs="Arial"/>
                <w:color w:val="000000"/>
              </w:rPr>
            </w:pPr>
            <w:r w:rsidRPr="000E4BAC">
              <w:rPr>
                <w:rFonts w:ascii="Arial" w:eastAsia="Arial" w:hAnsi="Arial" w:cs="Arial"/>
                <w:color w:val="000000"/>
              </w:rPr>
              <w:t>12212</w:t>
            </w:r>
          </w:p>
        </w:tc>
        <w:tc>
          <w:tcPr>
            <w:tcW w:w="1417" w:type="dxa"/>
            <w:tcBorders>
              <w:top w:val="single" w:sz="5" w:space="0" w:color="000000"/>
              <w:left w:val="single" w:sz="5" w:space="0" w:color="000000"/>
              <w:bottom w:val="single" w:sz="5" w:space="0" w:color="000000"/>
              <w:right w:val="single" w:sz="5" w:space="0" w:color="000000"/>
            </w:tcBorders>
            <w:vAlign w:val="center"/>
          </w:tcPr>
          <w:p w:rsidR="00B2279D" w:rsidRPr="000E4BAC" w:rsidRDefault="00B2279D" w:rsidP="00B2279D">
            <w:pPr>
              <w:spacing w:after="31" w:line="214" w:lineRule="exact"/>
              <w:jc w:val="both"/>
              <w:textAlignment w:val="baseline"/>
              <w:rPr>
                <w:rFonts w:ascii="Arial" w:eastAsia="Arial" w:hAnsi="Arial" w:cs="Arial"/>
                <w:color w:val="000000"/>
              </w:rPr>
            </w:pPr>
            <w:r w:rsidRPr="000E4BAC">
              <w:rPr>
                <w:rFonts w:ascii="Arial" w:eastAsia="Arial" w:hAnsi="Arial" w:cs="Arial"/>
                <w:color w:val="000000"/>
              </w:rPr>
              <w:t>1221209911</w:t>
            </w:r>
          </w:p>
        </w:tc>
      </w:tr>
    </w:tbl>
    <w:p w:rsidR="00B2279D" w:rsidRPr="00B2279D" w:rsidRDefault="00B2279D" w:rsidP="00B2279D">
      <w:pPr>
        <w:spacing w:line="228" w:lineRule="auto"/>
        <w:ind w:firstLine="708"/>
        <w:jc w:val="both"/>
        <w:rPr>
          <w:rFonts w:ascii="Arial" w:hAnsi="Arial" w:cs="Arial"/>
        </w:rPr>
      </w:pPr>
    </w:p>
    <w:p w:rsidR="00B2279D" w:rsidRPr="00B2279D" w:rsidRDefault="00B2279D" w:rsidP="00B2279D">
      <w:pPr>
        <w:spacing w:line="230" w:lineRule="exact"/>
        <w:jc w:val="both"/>
        <w:rPr>
          <w:rFonts w:ascii="Arial" w:hAnsi="Arial" w:cs="Arial"/>
        </w:rPr>
      </w:pPr>
    </w:p>
    <w:p w:rsidR="00B2279D" w:rsidRPr="00B2279D" w:rsidRDefault="00B2279D" w:rsidP="00B2279D">
      <w:pPr>
        <w:jc w:val="both"/>
        <w:rPr>
          <w:rFonts w:ascii="Arial" w:hAnsi="Arial" w:cs="Arial"/>
        </w:rPr>
      </w:pPr>
      <w:r w:rsidRPr="00B2279D">
        <w:rPr>
          <w:rFonts w:ascii="Arial" w:eastAsia="Arial" w:hAnsi="Arial" w:cs="Arial"/>
          <w:b/>
          <w:bCs/>
        </w:rPr>
        <w:t xml:space="preserve">Artículo 5. </w:t>
      </w:r>
      <w:r w:rsidRPr="00B2279D">
        <w:rPr>
          <w:rFonts w:ascii="Arial" w:eastAsia="Arial" w:hAnsi="Arial" w:cs="Arial"/>
          <w:b/>
          <w:bCs/>
          <w:i/>
          <w:iCs/>
        </w:rPr>
        <w:t>Cuantía de las subvenciones</w:t>
      </w:r>
      <w:r w:rsidRPr="00B2279D">
        <w:rPr>
          <w:rFonts w:ascii="Arial" w:eastAsia="Arial" w:hAnsi="Arial" w:cs="Arial"/>
          <w:b/>
          <w:bCs/>
        </w:rPr>
        <w:t>.</w:t>
      </w:r>
    </w:p>
    <w:p w:rsidR="00B2279D" w:rsidRPr="00B2279D" w:rsidRDefault="00B2279D" w:rsidP="00B2279D">
      <w:pPr>
        <w:spacing w:line="235" w:lineRule="exact"/>
        <w:jc w:val="both"/>
        <w:rPr>
          <w:rFonts w:ascii="Arial" w:hAnsi="Arial" w:cs="Arial"/>
        </w:rPr>
      </w:pPr>
    </w:p>
    <w:p w:rsidR="00B2279D" w:rsidRPr="00B2279D" w:rsidRDefault="00B2279D" w:rsidP="00B2279D">
      <w:pPr>
        <w:numPr>
          <w:ilvl w:val="1"/>
          <w:numId w:val="5"/>
        </w:numPr>
        <w:tabs>
          <w:tab w:val="left" w:pos="1414"/>
        </w:tabs>
        <w:spacing w:after="0" w:line="228" w:lineRule="auto"/>
        <w:ind w:left="140" w:firstLine="701"/>
        <w:jc w:val="both"/>
        <w:rPr>
          <w:rFonts w:ascii="Arial" w:eastAsia="Arial" w:hAnsi="Arial" w:cs="Arial"/>
        </w:rPr>
      </w:pPr>
      <w:r w:rsidRPr="00B2279D">
        <w:rPr>
          <w:rFonts w:ascii="Arial" w:eastAsia="Arial" w:hAnsi="Arial" w:cs="Arial"/>
        </w:rPr>
        <w:t>La cuantía de la compensación económica de los árbitros que intervienen en impugnaciones en elecciones sindicales; y la cuantía de la compensación económica de los árbitros que intervienen en la resolución de discrepancias en los procedimientos de inaplicación de las condiciones de trabajo de un convenio colectivo, se establece en los siguientes importes:</w:t>
      </w:r>
    </w:p>
    <w:p w:rsidR="00B2279D" w:rsidRPr="00B2279D" w:rsidRDefault="00B2279D" w:rsidP="00B2279D">
      <w:pPr>
        <w:spacing w:line="230" w:lineRule="exact"/>
        <w:jc w:val="both"/>
        <w:rPr>
          <w:rFonts w:ascii="Arial" w:eastAsia="Arial" w:hAnsi="Arial" w:cs="Arial"/>
        </w:rPr>
      </w:pPr>
    </w:p>
    <w:p w:rsidR="00B2279D" w:rsidRPr="00B2279D" w:rsidRDefault="00B2279D" w:rsidP="00B2279D">
      <w:pPr>
        <w:numPr>
          <w:ilvl w:val="0"/>
          <w:numId w:val="6"/>
        </w:numPr>
        <w:tabs>
          <w:tab w:val="left" w:pos="960"/>
        </w:tabs>
        <w:spacing w:after="0" w:line="240" w:lineRule="auto"/>
        <w:ind w:left="960" w:hanging="260"/>
        <w:jc w:val="both"/>
        <w:rPr>
          <w:rFonts w:ascii="Arial" w:eastAsia="Arial" w:hAnsi="Arial" w:cs="Arial"/>
        </w:rPr>
      </w:pPr>
      <w:r w:rsidRPr="00B2279D">
        <w:rPr>
          <w:rFonts w:ascii="Arial" w:eastAsia="Arial" w:hAnsi="Arial" w:cs="Arial"/>
        </w:rPr>
        <w:t>Si el número de trabajadores afectados es inferior a 50:</w:t>
      </w:r>
    </w:p>
    <w:p w:rsidR="00B2279D" w:rsidRPr="00B2279D" w:rsidRDefault="00B2279D" w:rsidP="00B2279D">
      <w:pPr>
        <w:spacing w:line="192" w:lineRule="exact"/>
        <w:jc w:val="both"/>
        <w:rPr>
          <w:rFonts w:ascii="Arial" w:hAnsi="Arial" w:cs="Arial"/>
        </w:rPr>
      </w:pPr>
    </w:p>
    <w:p w:rsidR="00B2279D" w:rsidRPr="00B2279D" w:rsidRDefault="00B2279D" w:rsidP="00B2279D">
      <w:pPr>
        <w:spacing w:line="195" w:lineRule="auto"/>
        <w:ind w:firstLine="708"/>
        <w:jc w:val="both"/>
        <w:rPr>
          <w:rFonts w:ascii="Arial" w:hAnsi="Arial" w:cs="Arial"/>
        </w:rPr>
      </w:pPr>
      <w:r w:rsidRPr="00B2279D">
        <w:rPr>
          <w:rFonts w:ascii="Arial" w:eastAsia="Arial" w:hAnsi="Arial" w:cs="Arial"/>
        </w:rPr>
        <w:t xml:space="preserve">1º De doscientos euros (200,00 </w:t>
      </w:r>
      <w:r w:rsidRPr="00B2279D">
        <w:rPr>
          <w:rFonts w:ascii="Arial" w:eastAsia="Lucida Sans Unicode" w:hAnsi="Arial" w:cs="Arial"/>
        </w:rPr>
        <w:t>euros</w:t>
      </w:r>
      <w:r w:rsidRPr="00B2279D">
        <w:rPr>
          <w:rFonts w:ascii="Arial" w:eastAsia="Arial" w:hAnsi="Arial" w:cs="Arial"/>
        </w:rPr>
        <w:t>) si las impugnaciones o las discrepancias finalizan mediante laudo arbitral.</w:t>
      </w:r>
    </w:p>
    <w:p w:rsidR="00B2279D" w:rsidRPr="00B2279D" w:rsidRDefault="00B2279D" w:rsidP="00B2279D">
      <w:pPr>
        <w:spacing w:line="2" w:lineRule="exact"/>
        <w:jc w:val="both"/>
        <w:rPr>
          <w:rFonts w:ascii="Arial" w:hAnsi="Arial" w:cs="Arial"/>
        </w:rPr>
      </w:pPr>
    </w:p>
    <w:p w:rsidR="00B2279D" w:rsidRPr="00B2279D" w:rsidRDefault="00B2279D" w:rsidP="00B2279D">
      <w:pPr>
        <w:spacing w:line="213" w:lineRule="auto"/>
        <w:ind w:firstLine="708"/>
        <w:jc w:val="both"/>
        <w:rPr>
          <w:rFonts w:ascii="Arial" w:hAnsi="Arial" w:cs="Arial"/>
        </w:rPr>
      </w:pPr>
      <w:r w:rsidRPr="00B2279D">
        <w:rPr>
          <w:rFonts w:ascii="Arial" w:eastAsia="Arial" w:hAnsi="Arial" w:cs="Arial"/>
        </w:rPr>
        <w:t xml:space="preserve">2º De ciento sesenta euros (160,00 </w:t>
      </w:r>
      <w:r w:rsidRPr="00B2279D">
        <w:rPr>
          <w:rFonts w:ascii="Arial" w:eastAsia="Lucida Sans Unicode" w:hAnsi="Arial" w:cs="Arial"/>
        </w:rPr>
        <w:t>euros</w:t>
      </w:r>
      <w:r w:rsidRPr="00B2279D">
        <w:rPr>
          <w:rFonts w:ascii="Arial" w:eastAsia="Arial" w:hAnsi="Arial" w:cs="Arial"/>
        </w:rPr>
        <w:t>) si las impugnaciones o las discrepancias no finalizan mediante laudo arbitral.</w:t>
      </w:r>
    </w:p>
    <w:p w:rsidR="00B2279D" w:rsidRPr="00B2279D" w:rsidRDefault="00B2279D" w:rsidP="00B2279D">
      <w:pPr>
        <w:spacing w:line="228" w:lineRule="exact"/>
        <w:jc w:val="both"/>
        <w:rPr>
          <w:rFonts w:ascii="Arial" w:hAnsi="Arial" w:cs="Arial"/>
        </w:rPr>
      </w:pPr>
    </w:p>
    <w:p w:rsidR="00B2279D" w:rsidRPr="00B2279D" w:rsidRDefault="00B2279D" w:rsidP="00B2279D">
      <w:pPr>
        <w:ind w:left="700"/>
        <w:jc w:val="both"/>
        <w:rPr>
          <w:rFonts w:ascii="Arial" w:hAnsi="Arial" w:cs="Arial"/>
        </w:rPr>
      </w:pPr>
      <w:r w:rsidRPr="00B2279D">
        <w:rPr>
          <w:rFonts w:ascii="Arial" w:eastAsia="Arial" w:hAnsi="Arial" w:cs="Arial"/>
        </w:rPr>
        <w:t>b) Si el número de trabajadores afectados es igual o superior a 50:</w:t>
      </w:r>
    </w:p>
    <w:p w:rsidR="00B2279D" w:rsidRPr="00B2279D" w:rsidRDefault="00B2279D" w:rsidP="00B2279D">
      <w:pPr>
        <w:spacing w:line="192" w:lineRule="exact"/>
        <w:jc w:val="both"/>
        <w:rPr>
          <w:rFonts w:ascii="Arial" w:hAnsi="Arial" w:cs="Arial"/>
        </w:rPr>
      </w:pPr>
    </w:p>
    <w:p w:rsidR="00B2279D" w:rsidRPr="00B2279D" w:rsidRDefault="00B2279D" w:rsidP="00B2279D">
      <w:pPr>
        <w:spacing w:line="195" w:lineRule="auto"/>
        <w:ind w:firstLine="708"/>
        <w:jc w:val="both"/>
        <w:rPr>
          <w:rFonts w:ascii="Arial" w:hAnsi="Arial" w:cs="Arial"/>
        </w:rPr>
      </w:pPr>
      <w:r w:rsidRPr="00B2279D">
        <w:rPr>
          <w:rFonts w:ascii="Arial" w:eastAsia="Arial" w:hAnsi="Arial" w:cs="Arial"/>
        </w:rPr>
        <w:t xml:space="preserve">1º De quinientos euros (500,00 </w:t>
      </w:r>
      <w:r w:rsidRPr="00B2279D">
        <w:rPr>
          <w:rFonts w:ascii="Arial" w:eastAsia="Lucida Sans Unicode" w:hAnsi="Arial" w:cs="Arial"/>
        </w:rPr>
        <w:t>euros</w:t>
      </w:r>
      <w:r w:rsidRPr="00B2279D">
        <w:rPr>
          <w:rFonts w:ascii="Arial" w:eastAsia="Arial" w:hAnsi="Arial" w:cs="Arial"/>
        </w:rPr>
        <w:t>) si las impugnaciones o las discrepancias finalizan mediante laudo arbitral.</w:t>
      </w:r>
    </w:p>
    <w:p w:rsidR="00B2279D" w:rsidRPr="00B2279D" w:rsidRDefault="00B2279D" w:rsidP="00B2279D">
      <w:pPr>
        <w:spacing w:line="2" w:lineRule="exact"/>
        <w:jc w:val="both"/>
        <w:rPr>
          <w:rFonts w:ascii="Arial" w:hAnsi="Arial" w:cs="Arial"/>
        </w:rPr>
      </w:pPr>
    </w:p>
    <w:p w:rsidR="00B2279D" w:rsidRPr="00B2279D" w:rsidRDefault="00B2279D" w:rsidP="00B2279D">
      <w:pPr>
        <w:spacing w:line="213" w:lineRule="auto"/>
        <w:ind w:firstLine="708"/>
        <w:jc w:val="both"/>
        <w:rPr>
          <w:rFonts w:ascii="Arial" w:hAnsi="Arial" w:cs="Arial"/>
        </w:rPr>
      </w:pPr>
      <w:r w:rsidRPr="00B2279D">
        <w:rPr>
          <w:rFonts w:ascii="Arial" w:eastAsia="Arial" w:hAnsi="Arial" w:cs="Arial"/>
        </w:rPr>
        <w:t xml:space="preserve">2º De cuatrocientos sesenta euros (460,00 </w:t>
      </w:r>
      <w:r w:rsidRPr="00B2279D">
        <w:rPr>
          <w:rFonts w:ascii="Arial" w:eastAsia="Lucida Sans Unicode" w:hAnsi="Arial" w:cs="Arial"/>
        </w:rPr>
        <w:t>euros</w:t>
      </w:r>
      <w:r w:rsidRPr="00B2279D">
        <w:rPr>
          <w:rFonts w:ascii="Arial" w:eastAsia="Arial" w:hAnsi="Arial" w:cs="Arial"/>
        </w:rPr>
        <w:t>) si las impugnaciones o las discrepancias no finalizan mediante laudo arbitral.</w:t>
      </w:r>
    </w:p>
    <w:p w:rsidR="00B2279D" w:rsidRPr="00B2279D" w:rsidRDefault="00B2279D" w:rsidP="00B2279D">
      <w:pPr>
        <w:spacing w:line="237" w:lineRule="exact"/>
        <w:jc w:val="both"/>
        <w:rPr>
          <w:rFonts w:ascii="Arial" w:hAnsi="Arial" w:cs="Arial"/>
        </w:rPr>
      </w:pPr>
    </w:p>
    <w:p w:rsidR="00B2279D" w:rsidRPr="00B2279D" w:rsidRDefault="00B2279D" w:rsidP="00B2279D">
      <w:pPr>
        <w:numPr>
          <w:ilvl w:val="1"/>
          <w:numId w:val="7"/>
        </w:numPr>
        <w:tabs>
          <w:tab w:val="left" w:pos="1416"/>
        </w:tabs>
        <w:spacing w:after="0" w:line="229" w:lineRule="auto"/>
        <w:ind w:right="20" w:firstLine="844"/>
        <w:jc w:val="both"/>
        <w:rPr>
          <w:rFonts w:ascii="Arial" w:eastAsia="Arial" w:hAnsi="Arial" w:cs="Arial"/>
        </w:rPr>
      </w:pPr>
      <w:r w:rsidRPr="00B2279D">
        <w:rPr>
          <w:rFonts w:ascii="Arial" w:eastAsia="Arial" w:hAnsi="Arial" w:cs="Arial"/>
        </w:rPr>
        <w:t>La cuantía de la compensación económica al Presidente de la Comisión Arbitral, por cada una de las reuniones decisorias que presida, y con un máximo de dos reuniones por procedimiento, será:</w:t>
      </w:r>
    </w:p>
    <w:p w:rsidR="00B2279D" w:rsidRPr="00B2279D" w:rsidRDefault="00B2279D" w:rsidP="00B2279D">
      <w:pPr>
        <w:spacing w:line="192" w:lineRule="exact"/>
        <w:jc w:val="both"/>
        <w:rPr>
          <w:rFonts w:ascii="Arial" w:eastAsia="Arial" w:hAnsi="Arial" w:cs="Arial"/>
        </w:rPr>
      </w:pPr>
    </w:p>
    <w:p w:rsidR="00B2279D" w:rsidRPr="00B2279D" w:rsidRDefault="00B2279D" w:rsidP="00B2279D">
      <w:pPr>
        <w:numPr>
          <w:ilvl w:val="0"/>
          <w:numId w:val="8"/>
        </w:numPr>
        <w:tabs>
          <w:tab w:val="left" w:pos="1017"/>
        </w:tabs>
        <w:spacing w:after="0" w:line="214" w:lineRule="auto"/>
        <w:ind w:left="720" w:right="20" w:hanging="360"/>
        <w:jc w:val="both"/>
        <w:rPr>
          <w:rFonts w:ascii="Arial" w:eastAsia="Arial" w:hAnsi="Arial" w:cs="Arial"/>
        </w:rPr>
      </w:pPr>
      <w:r w:rsidRPr="00B2279D">
        <w:rPr>
          <w:rFonts w:ascii="Arial" w:eastAsia="Arial" w:hAnsi="Arial" w:cs="Arial"/>
        </w:rPr>
        <w:t xml:space="preserve">De doscientos euros (200,00 </w:t>
      </w:r>
      <w:r w:rsidRPr="00B2279D">
        <w:rPr>
          <w:rFonts w:ascii="Arial" w:eastAsia="Lucida Sans Unicode" w:hAnsi="Arial" w:cs="Arial"/>
        </w:rPr>
        <w:t>euros</w:t>
      </w:r>
      <w:r w:rsidRPr="00B2279D">
        <w:rPr>
          <w:rFonts w:ascii="Arial" w:eastAsia="Arial" w:hAnsi="Arial" w:cs="Arial"/>
        </w:rPr>
        <w:t>), si el número de trabajadores afectados es inferior a 50.</w:t>
      </w:r>
    </w:p>
    <w:p w:rsidR="00B2279D" w:rsidRPr="00B2279D" w:rsidRDefault="00B2279D" w:rsidP="00B2279D">
      <w:pPr>
        <w:spacing w:line="1" w:lineRule="exact"/>
        <w:jc w:val="both"/>
        <w:rPr>
          <w:rFonts w:ascii="Arial" w:eastAsia="Arial" w:hAnsi="Arial" w:cs="Arial"/>
        </w:rPr>
      </w:pPr>
    </w:p>
    <w:p w:rsidR="00B2279D" w:rsidRPr="00B2279D" w:rsidRDefault="00B2279D" w:rsidP="00B2279D">
      <w:pPr>
        <w:numPr>
          <w:ilvl w:val="0"/>
          <w:numId w:val="8"/>
        </w:numPr>
        <w:tabs>
          <w:tab w:val="left" w:pos="1022"/>
        </w:tabs>
        <w:spacing w:after="0" w:line="194" w:lineRule="auto"/>
        <w:ind w:left="720" w:right="20" w:hanging="360"/>
        <w:jc w:val="both"/>
        <w:rPr>
          <w:rFonts w:ascii="Arial" w:eastAsia="Arial" w:hAnsi="Arial" w:cs="Arial"/>
        </w:rPr>
      </w:pPr>
      <w:r w:rsidRPr="00B2279D">
        <w:rPr>
          <w:rFonts w:ascii="Arial" w:eastAsia="Arial" w:hAnsi="Arial" w:cs="Arial"/>
        </w:rPr>
        <w:t xml:space="preserve">De quinientos euros (500,00 </w:t>
      </w:r>
      <w:r w:rsidRPr="00B2279D">
        <w:rPr>
          <w:rFonts w:ascii="Arial" w:eastAsia="Lucida Sans Unicode" w:hAnsi="Arial" w:cs="Arial"/>
        </w:rPr>
        <w:t>euros</w:t>
      </w:r>
      <w:r w:rsidRPr="00B2279D">
        <w:rPr>
          <w:rFonts w:ascii="Arial" w:eastAsia="Arial" w:hAnsi="Arial" w:cs="Arial"/>
        </w:rPr>
        <w:t>), si el número de trabajadores afectados es igual o superior a 50.</w:t>
      </w:r>
    </w:p>
    <w:p w:rsidR="00B2279D" w:rsidRPr="00B2279D" w:rsidRDefault="00B2279D" w:rsidP="00B2279D">
      <w:pPr>
        <w:spacing w:line="229" w:lineRule="exact"/>
        <w:jc w:val="both"/>
        <w:rPr>
          <w:rFonts w:ascii="Arial" w:hAnsi="Arial" w:cs="Arial"/>
        </w:rPr>
      </w:pPr>
    </w:p>
    <w:p w:rsidR="00B2279D" w:rsidRPr="00B2279D" w:rsidRDefault="00B2279D" w:rsidP="00B2279D">
      <w:pPr>
        <w:jc w:val="both"/>
        <w:rPr>
          <w:rFonts w:ascii="Arial" w:hAnsi="Arial" w:cs="Arial"/>
        </w:rPr>
      </w:pPr>
      <w:r w:rsidRPr="00B2279D">
        <w:rPr>
          <w:rFonts w:ascii="Arial" w:eastAsia="Arial" w:hAnsi="Arial" w:cs="Arial"/>
          <w:b/>
          <w:bCs/>
        </w:rPr>
        <w:t xml:space="preserve">Artículo 6. </w:t>
      </w:r>
      <w:r w:rsidRPr="00B2279D">
        <w:rPr>
          <w:rFonts w:ascii="Arial" w:eastAsia="Arial" w:hAnsi="Arial" w:cs="Arial"/>
          <w:b/>
          <w:bCs/>
          <w:i/>
          <w:iCs/>
        </w:rPr>
        <w:t>Beneficiarios</w:t>
      </w:r>
      <w:r w:rsidRPr="00B2279D">
        <w:rPr>
          <w:rFonts w:ascii="Arial" w:eastAsia="Arial" w:hAnsi="Arial" w:cs="Arial"/>
          <w:b/>
          <w:bCs/>
        </w:rPr>
        <w:t>.</w:t>
      </w:r>
    </w:p>
    <w:p w:rsidR="00B2279D" w:rsidRPr="00B2279D" w:rsidRDefault="00B2279D" w:rsidP="00B2279D">
      <w:pPr>
        <w:ind w:left="700"/>
        <w:jc w:val="both"/>
        <w:rPr>
          <w:rFonts w:ascii="Arial" w:hAnsi="Arial" w:cs="Arial"/>
        </w:rPr>
      </w:pPr>
      <w:r w:rsidRPr="00B2279D">
        <w:rPr>
          <w:rFonts w:ascii="Arial" w:eastAsia="Arial" w:hAnsi="Arial" w:cs="Arial"/>
        </w:rPr>
        <w:t>Podrán ser beneficiarios de las subvenciones previstas en esta Orden:</w:t>
      </w:r>
    </w:p>
    <w:p w:rsidR="00B2279D" w:rsidRPr="00B2279D" w:rsidRDefault="00B2279D" w:rsidP="00B2279D">
      <w:pPr>
        <w:jc w:val="both"/>
        <w:rPr>
          <w:rFonts w:ascii="Arial" w:hAnsi="Arial" w:cs="Arial"/>
        </w:rPr>
      </w:pPr>
      <w:r w:rsidRPr="00B2279D">
        <w:rPr>
          <w:rFonts w:ascii="Arial" w:hAnsi="Arial" w:cs="Arial"/>
        </w:rPr>
        <w:t>a)</w:t>
      </w:r>
      <w:r w:rsidRPr="00B2279D">
        <w:rPr>
          <w:rFonts w:ascii="Arial" w:hAnsi="Arial" w:cs="Arial"/>
        </w:rPr>
        <w:tab/>
        <w:t>Los árbitros que hayan sido designados de acuerdo con lo dispuesto en el artículo 31 apartados 2 y 3 del Reglamento de elecciones a órganos de representación de los trabajadores en la empresa, e intervengan en los procedimientos arbitrales obligatorios previstos en el artículo 76 del Estatuto de los Trabajadores, y el artículo 28 de la Ley 9/1987, de 12 de junio, de Órganos de Representación, Determinación de las Condiciones de Trabajo y Participación del Personal al Servicio de las Administraciones Públicas.</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b)</w:t>
      </w:r>
      <w:r w:rsidRPr="00B2279D">
        <w:rPr>
          <w:rFonts w:ascii="Arial" w:hAnsi="Arial" w:cs="Arial"/>
        </w:rPr>
        <w:tab/>
        <w:t>Los árbitros que hayan sido designados de acuerdo con lo previsto el artículo 27 del Decreto 33/2013, de 12 de abril, que crea el Consejo Autonómico de Relaciones Laborales de la Región de Murcia, y regula su funcionamiento.</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c)</w:t>
      </w:r>
      <w:r w:rsidRPr="00B2279D">
        <w:rPr>
          <w:rFonts w:ascii="Arial" w:hAnsi="Arial" w:cs="Arial"/>
        </w:rPr>
        <w:tab/>
        <w:t>El Presidente de la Comisión Arbitral del Consejo Autonómico de Relaciones Laborales de la Región de Murcia designado conforme a la previsto en el artículo 16 del Decreto nº 33/2013.</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7. Solicitudes y autorización.</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1.</w:t>
      </w:r>
      <w:r w:rsidRPr="00B2279D">
        <w:rPr>
          <w:rFonts w:ascii="Arial" w:hAnsi="Arial" w:cs="Arial"/>
        </w:rPr>
        <w:tab/>
        <w:t>Las solicitudes de subvención se formularán mediante instancia según modelo oficial que figura como Anexo I de Solicitud de la presente Orden, dirigidas al titular de la Consejería de Empleo, Universidades, Empresa y Medio Ambiente y se presentarán en el Registro electrónico de la Comunidad, portal único de la CARM (</w:t>
      </w:r>
      <w:proofErr w:type="spellStart"/>
      <w:r w:rsidRPr="00B2279D">
        <w:rPr>
          <w:rFonts w:ascii="Arial" w:hAnsi="Arial" w:cs="Arial"/>
        </w:rPr>
        <w:t>htpps</w:t>
      </w:r>
      <w:proofErr w:type="spellEnd"/>
      <w:r w:rsidRPr="00B2279D">
        <w:rPr>
          <w:rFonts w:ascii="Arial" w:hAnsi="Arial" w:cs="Arial"/>
        </w:rPr>
        <w:t>//sede.carm.es) o en las Oficinas Corporativas de Atención al Ciudadano de la Región de Murcia, o por cualquier medio de los previstos en la Ley 39/2015, de 1 de octubre, de Régimen Jurídico de las Administraciones Públicas y del Procedimiento Administrativo Común.</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2.</w:t>
      </w:r>
      <w:r w:rsidRPr="00B2279D">
        <w:rPr>
          <w:rFonts w:ascii="Arial" w:hAnsi="Arial" w:cs="Arial"/>
        </w:rPr>
        <w:tab/>
        <w:t>La presente Orden y la solicitud de subvención estarán disponibles en la página Web de la Comunidad Autónoma de la Región de Murcia, Consejería de Empleo, Universidades, Empresa y Medio Ambiente: www.carm.es</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3.</w:t>
      </w:r>
      <w:r w:rsidRPr="00B2279D">
        <w:rPr>
          <w:rFonts w:ascii="Arial" w:hAnsi="Arial" w:cs="Arial"/>
        </w:rPr>
        <w:tab/>
        <w:t>Los solicitantes podrán autorizar de forma expresa a la Dirección General de Relaciones Laborales y Economía Social para que requiera a los órganos competentes los certificados que acrediten que se encuentran al corriente de sus obligaciones Tributarias, de Seguridad Social, consulte el Registro de la Base de Datos Nacional de Subvenciones o para verificar los datos personales requeridos para la tramitación del expediente de subvención. En caso de oponerse al acceso de la administración deberán aportar junto a la solicitud la citada documentación acreditativa, así como declaración responsable sobre su autenticidad.</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8. Plazo de presentación de solicitudes.</w:t>
      </w:r>
    </w:p>
    <w:p w:rsidR="00B2279D" w:rsidRPr="00B2279D" w:rsidRDefault="00B2279D" w:rsidP="00B2279D">
      <w:pPr>
        <w:jc w:val="both"/>
        <w:rPr>
          <w:rFonts w:ascii="Arial" w:hAnsi="Arial" w:cs="Arial"/>
        </w:rPr>
      </w:pPr>
      <w:r w:rsidRPr="00B2279D">
        <w:rPr>
          <w:rFonts w:ascii="Arial" w:hAnsi="Arial" w:cs="Arial"/>
        </w:rPr>
        <w:t>El plazo para la presentación de solicitudes correspondientes a laudos arbitrales del año 2019 se iniciará el día de la entrada en vigor de la presente Orden y terminará el día 10 de diciembre del presente año.</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9. Documentación a presentar.</w:t>
      </w:r>
    </w:p>
    <w:p w:rsidR="00B2279D" w:rsidRPr="00B2279D" w:rsidRDefault="00B2279D" w:rsidP="00B2279D">
      <w:pPr>
        <w:jc w:val="both"/>
        <w:rPr>
          <w:rFonts w:ascii="Arial" w:hAnsi="Arial" w:cs="Arial"/>
        </w:rPr>
      </w:pPr>
      <w:r w:rsidRPr="00B2279D">
        <w:rPr>
          <w:rFonts w:ascii="Arial" w:hAnsi="Arial" w:cs="Arial"/>
        </w:rPr>
        <w:t>1.</w:t>
      </w:r>
      <w:r w:rsidRPr="00B2279D">
        <w:rPr>
          <w:rFonts w:ascii="Arial" w:hAnsi="Arial" w:cs="Arial"/>
        </w:rPr>
        <w:tab/>
        <w:t>A la solicitud de subvención, cumplimentada y firmada por el solicitante, se acompañará en original o en copias auténticas la documentación indicada en el Anexo II de la presente convocatoria.</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2.</w:t>
      </w:r>
      <w:r w:rsidRPr="00B2279D">
        <w:rPr>
          <w:rFonts w:ascii="Arial" w:hAnsi="Arial" w:cs="Arial"/>
        </w:rPr>
        <w:tab/>
        <w:t>La autenticación de las copias se llevará a cabo por los órganos correspondientes de la Administración Regional, o ser autentificada por notario.</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10. Instrucción de los expedientes.</w:t>
      </w:r>
    </w:p>
    <w:p w:rsidR="00B2279D" w:rsidRPr="00B2279D" w:rsidRDefault="00B2279D" w:rsidP="00B2279D">
      <w:pPr>
        <w:jc w:val="both"/>
        <w:rPr>
          <w:rFonts w:ascii="Arial" w:hAnsi="Arial" w:cs="Arial"/>
        </w:rPr>
      </w:pPr>
      <w:r w:rsidRPr="00B2279D">
        <w:rPr>
          <w:rFonts w:ascii="Arial" w:hAnsi="Arial" w:cs="Arial"/>
        </w:rPr>
        <w:t>1.</w:t>
      </w:r>
      <w:r w:rsidRPr="00B2279D">
        <w:rPr>
          <w:rFonts w:ascii="Arial" w:hAnsi="Arial" w:cs="Arial"/>
        </w:rPr>
        <w:tab/>
        <w:t>La competencia para la instrucción de los expedientes de subvención corresponderá a la Dirección General de Relaciones Laborales y Economía Social, siendo la unidad instructora el Servicio de Relaciones Laborales.</w:t>
      </w:r>
    </w:p>
    <w:p w:rsidR="00B2279D" w:rsidRPr="00B2279D" w:rsidRDefault="00B2279D" w:rsidP="00B2279D">
      <w:pPr>
        <w:jc w:val="both"/>
        <w:rPr>
          <w:rFonts w:ascii="Arial" w:hAnsi="Arial" w:cs="Arial"/>
        </w:rPr>
      </w:pPr>
      <w:r w:rsidRPr="00B2279D">
        <w:rPr>
          <w:rFonts w:ascii="Arial" w:hAnsi="Arial" w:cs="Arial"/>
        </w:rPr>
        <w:t>2.</w:t>
      </w:r>
      <w:r w:rsidRPr="00B2279D">
        <w:rPr>
          <w:rFonts w:ascii="Arial" w:hAnsi="Arial" w:cs="Arial"/>
        </w:rPr>
        <w:tab/>
        <w:t>A las solicitudes presentadas se les otorgará un número de referencia.</w:t>
      </w:r>
    </w:p>
    <w:p w:rsidR="00B2279D" w:rsidRPr="00B2279D" w:rsidRDefault="00B2279D" w:rsidP="00B2279D">
      <w:pPr>
        <w:jc w:val="both"/>
        <w:rPr>
          <w:rFonts w:ascii="Arial" w:hAnsi="Arial" w:cs="Arial"/>
        </w:rPr>
      </w:pPr>
      <w:r w:rsidRPr="00B2279D">
        <w:rPr>
          <w:rFonts w:ascii="Arial" w:hAnsi="Arial" w:cs="Arial"/>
        </w:rPr>
        <w:t>3.</w:t>
      </w:r>
      <w:r w:rsidRPr="00B2279D">
        <w:rPr>
          <w:rFonts w:ascii="Arial" w:hAnsi="Arial" w:cs="Arial"/>
        </w:rPr>
        <w:tab/>
        <w:t>Si la documentación recibida con la solicitud fuese defectuosa o faltase alguno de los documentos preceptivos, se requerirá al interesado para que, en un plazo de diez días hábiles, subsane los defectos o faltas observados, con apercibimiento de que, de no hacerlo así, se le tendrá por desistido de su solicitud de acuerdo con lo establecido en el artículo 68 de la Ley 39/2015, de 1 de octubre.</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11. Propuesta sobre los expedientes.</w:t>
      </w:r>
    </w:p>
    <w:p w:rsidR="00B2279D" w:rsidRPr="00B2279D" w:rsidRDefault="00B2279D" w:rsidP="00B2279D">
      <w:pPr>
        <w:jc w:val="both"/>
        <w:rPr>
          <w:rFonts w:ascii="Arial" w:hAnsi="Arial" w:cs="Arial"/>
        </w:rPr>
      </w:pPr>
      <w:r w:rsidRPr="00B2279D">
        <w:rPr>
          <w:rFonts w:ascii="Arial" w:hAnsi="Arial" w:cs="Arial"/>
        </w:rPr>
        <w:t>Una vez cumplimentada la instrucción de los expedientes, por el titular de la Dirección General de Relaciones Laborales y Economía Social se elevará al titular de la Consejería de Empleo, Universidades, Empresa y Medio Ambiente propuesta motivada de Orden de concesión o denegación de las solicitudes, conteniendo, en caso de concesión, el importe económico concedido. La propuesta de Orden debe ser fiscalizada por el titular de la Intervención Delegada de la Consejería.</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Artículo 12. Resolución de expedientes.</w:t>
      </w:r>
    </w:p>
    <w:p w:rsidR="00B2279D" w:rsidRPr="000A19D8" w:rsidRDefault="00B2279D" w:rsidP="000A19D8">
      <w:pPr>
        <w:pStyle w:val="Prrafodelista"/>
        <w:numPr>
          <w:ilvl w:val="0"/>
          <w:numId w:val="10"/>
        </w:numPr>
        <w:jc w:val="both"/>
        <w:rPr>
          <w:rFonts w:ascii="Arial" w:hAnsi="Arial" w:cs="Arial"/>
        </w:rPr>
      </w:pPr>
      <w:r w:rsidRPr="000A19D8">
        <w:rPr>
          <w:rFonts w:ascii="Arial" w:hAnsi="Arial" w:cs="Arial"/>
        </w:rPr>
        <w:t>El plazo máximo para resolver y notificar las resoluciones de otorgamiento o denegación de las subvenciones será de seis meses contados a partir de la publicación del extracto de la convocatoria en el Boletín Oficial de la Región de Murcia.</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Transcurrido dicho plazo sin haberse notificado resolución expresa, la solicitud se entenderá desestimada por silencio administrativo de conformidad con lo dispuesto en el artículo 19.5 de la citada Ley 7/2005, sin que ello exima a la Administración de la obligación de resolver.</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La resolución se notificará individualmente al solicitante en la dirección que éste haya señalado a tal efecto en la solicitud.</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2.</w:t>
      </w:r>
      <w:r w:rsidRPr="00B2279D">
        <w:rPr>
          <w:rFonts w:ascii="Arial" w:hAnsi="Arial" w:cs="Arial"/>
        </w:rPr>
        <w:tab/>
        <w:t>Contra la Orden Resolutoria de concesión o denegación de las subvenciones, que agota la vía administrativa, el interesado podrá:</w:t>
      </w:r>
    </w:p>
    <w:p w:rsidR="00B2279D" w:rsidRPr="00B2279D" w:rsidRDefault="00B2279D" w:rsidP="00B2279D">
      <w:pPr>
        <w:jc w:val="both"/>
        <w:rPr>
          <w:rFonts w:ascii="Arial" w:hAnsi="Arial" w:cs="Arial"/>
        </w:rPr>
      </w:pPr>
    </w:p>
    <w:p w:rsidR="00B2279D" w:rsidRPr="00B2279D" w:rsidRDefault="00B2279D" w:rsidP="00B2279D">
      <w:pPr>
        <w:jc w:val="both"/>
        <w:rPr>
          <w:rFonts w:ascii="Arial" w:hAnsi="Arial" w:cs="Arial"/>
        </w:rPr>
      </w:pPr>
      <w:r w:rsidRPr="00B2279D">
        <w:rPr>
          <w:rFonts w:ascii="Arial" w:hAnsi="Arial" w:cs="Arial"/>
        </w:rPr>
        <w:t>a) Interponer potestativamente Recurso de Reposición ante el titular de la Consejería de Empleo, Universidades, Empresa y Medio Ambiente, en el plazo de un mes contado desde el día siguiente de notificación de la misma, conforme al artículo 123 de la Ley 39/2015, de 1 de octubre, del Procedimiento Administrativo Común de las Administraciones Públicas</w:t>
      </w:r>
    </w:p>
    <w:p w:rsidR="00B2279D" w:rsidRPr="00B2279D" w:rsidRDefault="00B2279D" w:rsidP="00B2279D">
      <w:pPr>
        <w:jc w:val="both"/>
        <w:rPr>
          <w:rFonts w:ascii="Arial" w:hAnsi="Arial" w:cs="Arial"/>
        </w:rPr>
      </w:pPr>
      <w:r w:rsidRPr="00B2279D">
        <w:rPr>
          <w:rFonts w:ascii="Arial" w:hAnsi="Arial" w:cs="Arial"/>
        </w:rPr>
        <w:t>b) Impugnarla directamente mediante recurso contencioso-administrativo ante la Sala de lo Contencioso-Administrativo del Tribunal Superior de Justicia de la Región de Murcia, en el plazo de dos meses contados desde el día siguiente de notificación de la misma, conforme al artículo 46 de la Ley 29/1998, de 13 de julio, reguladora de la Jurisdicción Contencioso-Administrativa.</w:t>
      </w:r>
    </w:p>
    <w:p w:rsidR="00B2279D" w:rsidRPr="000A19D8" w:rsidRDefault="00B2279D" w:rsidP="00B2279D">
      <w:pPr>
        <w:jc w:val="both"/>
        <w:rPr>
          <w:rFonts w:ascii="Arial" w:hAnsi="Arial" w:cs="Arial"/>
          <w:b/>
        </w:rPr>
      </w:pPr>
      <w:r w:rsidRPr="000A19D8">
        <w:rPr>
          <w:rFonts w:ascii="Arial" w:hAnsi="Arial" w:cs="Arial"/>
          <w:b/>
        </w:rPr>
        <w:t>Disposición final única. Entrada en vigor.</w:t>
      </w:r>
    </w:p>
    <w:p w:rsidR="00B2279D" w:rsidRPr="00B2279D" w:rsidRDefault="00B2279D" w:rsidP="00B2279D">
      <w:pPr>
        <w:jc w:val="both"/>
        <w:rPr>
          <w:rFonts w:ascii="Arial" w:hAnsi="Arial" w:cs="Arial"/>
        </w:rPr>
      </w:pPr>
      <w:r w:rsidRPr="00B2279D">
        <w:rPr>
          <w:rFonts w:ascii="Arial" w:hAnsi="Arial" w:cs="Arial"/>
        </w:rPr>
        <w:t>La presente Orden entrará en vigor el día siguiente al de su publicación en el Boletín Oficial de la Región de Murcia.</w:t>
      </w:r>
    </w:p>
    <w:p w:rsidR="00B2279D" w:rsidRPr="00B2279D" w:rsidRDefault="000A19D8" w:rsidP="000A19D8">
      <w:pPr>
        <w:ind w:firstLine="708"/>
        <w:jc w:val="both"/>
        <w:rPr>
          <w:rFonts w:ascii="Arial" w:hAnsi="Arial" w:cs="Arial"/>
        </w:rPr>
      </w:pPr>
      <w:r>
        <w:rPr>
          <w:rFonts w:ascii="Arial" w:hAnsi="Arial" w:cs="Arial"/>
        </w:rPr>
        <w:t xml:space="preserve">En </w:t>
      </w:r>
      <w:r w:rsidR="00B2279D" w:rsidRPr="00B2279D">
        <w:rPr>
          <w:rFonts w:ascii="Arial" w:hAnsi="Arial" w:cs="Arial"/>
        </w:rPr>
        <w:t>Murcia, documento firmado electrónicamente en la fecha indicada al margen</w:t>
      </w:r>
      <w:r>
        <w:rPr>
          <w:rFonts w:ascii="Arial" w:hAnsi="Arial" w:cs="Arial"/>
        </w:rPr>
        <w:t>.</w:t>
      </w:r>
    </w:p>
    <w:p w:rsidR="000A19D8" w:rsidRPr="000A19D8" w:rsidRDefault="000A19D8" w:rsidP="000A19D8">
      <w:pPr>
        <w:jc w:val="both"/>
        <w:rPr>
          <w:rFonts w:ascii="Arial" w:hAnsi="Arial" w:cs="Arial"/>
        </w:rPr>
      </w:pPr>
      <w:r w:rsidRPr="000A19D8">
        <w:rPr>
          <w:rFonts w:ascii="Arial" w:hAnsi="Arial" w:cs="Arial"/>
        </w:rPr>
        <w:tab/>
        <w:t>La Directora General de Diálogo Social y Bienestar Laboral.</w:t>
      </w:r>
    </w:p>
    <w:p w:rsidR="00B2279D" w:rsidRPr="00B2279D" w:rsidRDefault="000A19D8" w:rsidP="000A19D8">
      <w:pPr>
        <w:jc w:val="both"/>
        <w:rPr>
          <w:rFonts w:ascii="Arial" w:hAnsi="Arial" w:cs="Arial"/>
        </w:rPr>
      </w:pPr>
      <w:r w:rsidRPr="000A19D8">
        <w:rPr>
          <w:rFonts w:ascii="Arial" w:hAnsi="Arial" w:cs="Arial"/>
        </w:rPr>
        <w:tab/>
        <w:t>Purificación Cuadrupani Bosqued.</w:t>
      </w:r>
    </w:p>
    <w:sectPr w:rsidR="00B2279D" w:rsidRPr="00B2279D" w:rsidSect="003258D5">
      <w:headerReference w:type="default" r:id="rId7"/>
      <w:footerReference w:type="default" r:id="rId8"/>
      <w:pgSz w:w="11906" w:h="16838"/>
      <w:pgMar w:top="2127" w:right="1701" w:bottom="1417" w:left="1701" w:header="567" w:footer="3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79D" w:rsidRDefault="00B2279D" w:rsidP="00B2279D">
      <w:pPr>
        <w:spacing w:after="0" w:line="240" w:lineRule="auto"/>
      </w:pPr>
      <w:r>
        <w:separator/>
      </w:r>
    </w:p>
  </w:endnote>
  <w:endnote w:type="continuationSeparator" w:id="0">
    <w:p w:rsidR="00B2279D" w:rsidRDefault="00B2279D" w:rsidP="00B22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79D" w:rsidRDefault="00B2279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A19D8">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A19D8">
      <w:rPr>
        <w:noProof/>
        <w:color w:val="323E4F" w:themeColor="text2" w:themeShade="BF"/>
        <w:sz w:val="24"/>
        <w:szCs w:val="24"/>
      </w:rPr>
      <w:t>6</w:t>
    </w:r>
    <w:r>
      <w:rPr>
        <w:color w:val="323E4F" w:themeColor="text2" w:themeShade="BF"/>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79D" w:rsidRDefault="00B2279D" w:rsidP="00B2279D">
      <w:pPr>
        <w:spacing w:after="0" w:line="240" w:lineRule="auto"/>
      </w:pPr>
      <w:r>
        <w:separator/>
      </w:r>
    </w:p>
  </w:footnote>
  <w:footnote w:type="continuationSeparator" w:id="0">
    <w:p w:rsidR="00B2279D" w:rsidRDefault="00B2279D" w:rsidP="00B227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79D" w:rsidRDefault="00B2279D">
    <w:pPr>
      <w:pStyle w:val="Encabezado"/>
    </w:pPr>
    <w:r>
      <w:rPr>
        <w:noProof/>
        <w:lang w:eastAsia="es-ES"/>
      </w:rPr>
      <w:drawing>
        <wp:inline distT="0" distB="0" distL="0" distR="0">
          <wp:extent cx="2090057" cy="804672"/>
          <wp:effectExtent l="0" t="0" r="571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ía Empleo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0057" cy="80467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6231B"/>
    <w:multiLevelType w:val="hybridMultilevel"/>
    <w:tmpl w:val="2BE69DC8"/>
    <w:lvl w:ilvl="0" w:tplc="6C9CFE00">
      <w:start w:val="1"/>
      <w:numFmt w:val="lowerLetter"/>
      <w:lvlText w:val="%1"/>
      <w:lvlJc w:val="left"/>
    </w:lvl>
    <w:lvl w:ilvl="1" w:tplc="DE74921C">
      <w:start w:val="1"/>
      <w:numFmt w:val="decimal"/>
      <w:lvlText w:val="%2."/>
      <w:lvlJc w:val="left"/>
    </w:lvl>
    <w:lvl w:ilvl="2" w:tplc="B8F42230">
      <w:numFmt w:val="decimal"/>
      <w:lvlText w:val=""/>
      <w:lvlJc w:val="left"/>
    </w:lvl>
    <w:lvl w:ilvl="3" w:tplc="DA90739A">
      <w:numFmt w:val="decimal"/>
      <w:lvlText w:val=""/>
      <w:lvlJc w:val="left"/>
    </w:lvl>
    <w:lvl w:ilvl="4" w:tplc="6306686A">
      <w:numFmt w:val="decimal"/>
      <w:lvlText w:val=""/>
      <w:lvlJc w:val="left"/>
    </w:lvl>
    <w:lvl w:ilvl="5" w:tplc="20328516">
      <w:numFmt w:val="decimal"/>
      <w:lvlText w:val=""/>
      <w:lvlJc w:val="left"/>
    </w:lvl>
    <w:lvl w:ilvl="6" w:tplc="3DA09A2C">
      <w:numFmt w:val="decimal"/>
      <w:lvlText w:val=""/>
      <w:lvlJc w:val="left"/>
    </w:lvl>
    <w:lvl w:ilvl="7" w:tplc="0B3EC0AE">
      <w:numFmt w:val="decimal"/>
      <w:lvlText w:val=""/>
      <w:lvlJc w:val="left"/>
    </w:lvl>
    <w:lvl w:ilvl="8" w:tplc="6EEA7D7E">
      <w:numFmt w:val="decimal"/>
      <w:lvlText w:val=""/>
      <w:lvlJc w:val="left"/>
    </w:lvl>
  </w:abstractNum>
  <w:abstractNum w:abstractNumId="1" w15:restartNumberingAfterBreak="0">
    <w:nsid w:val="1190CDE7"/>
    <w:multiLevelType w:val="hybridMultilevel"/>
    <w:tmpl w:val="1E201306"/>
    <w:lvl w:ilvl="0" w:tplc="14A6813A">
      <w:start w:val="1"/>
      <w:numFmt w:val="lowerLetter"/>
      <w:lvlText w:val="%1"/>
      <w:lvlJc w:val="left"/>
    </w:lvl>
    <w:lvl w:ilvl="1" w:tplc="224C1BF6">
      <w:start w:val="2"/>
      <w:numFmt w:val="decimal"/>
      <w:lvlText w:val="%2."/>
      <w:lvlJc w:val="left"/>
    </w:lvl>
    <w:lvl w:ilvl="2" w:tplc="325095D6">
      <w:numFmt w:val="decimal"/>
      <w:lvlText w:val=""/>
      <w:lvlJc w:val="left"/>
    </w:lvl>
    <w:lvl w:ilvl="3" w:tplc="DF0A323E">
      <w:numFmt w:val="decimal"/>
      <w:lvlText w:val=""/>
      <w:lvlJc w:val="left"/>
    </w:lvl>
    <w:lvl w:ilvl="4" w:tplc="F14C8FAA">
      <w:numFmt w:val="decimal"/>
      <w:lvlText w:val=""/>
      <w:lvlJc w:val="left"/>
    </w:lvl>
    <w:lvl w:ilvl="5" w:tplc="FAF0713C">
      <w:numFmt w:val="decimal"/>
      <w:lvlText w:val=""/>
      <w:lvlJc w:val="left"/>
    </w:lvl>
    <w:lvl w:ilvl="6" w:tplc="9B4A13EA">
      <w:numFmt w:val="decimal"/>
      <w:lvlText w:val=""/>
      <w:lvlJc w:val="left"/>
    </w:lvl>
    <w:lvl w:ilvl="7" w:tplc="5FE8BFA0">
      <w:numFmt w:val="decimal"/>
      <w:lvlText w:val=""/>
      <w:lvlJc w:val="left"/>
    </w:lvl>
    <w:lvl w:ilvl="8" w:tplc="D69E01F8">
      <w:numFmt w:val="decimal"/>
      <w:lvlText w:val=""/>
      <w:lvlJc w:val="left"/>
    </w:lvl>
  </w:abstractNum>
  <w:abstractNum w:abstractNumId="2" w15:restartNumberingAfterBreak="0">
    <w:nsid w:val="12200854"/>
    <w:multiLevelType w:val="hybridMultilevel"/>
    <w:tmpl w:val="AFF0174A"/>
    <w:lvl w:ilvl="0" w:tplc="C332F9DE">
      <w:start w:val="2"/>
      <w:numFmt w:val="lowerLetter"/>
      <w:lvlText w:val="%1)"/>
      <w:lvlJc w:val="left"/>
    </w:lvl>
    <w:lvl w:ilvl="1" w:tplc="74B48016">
      <w:numFmt w:val="decimal"/>
      <w:lvlText w:val=""/>
      <w:lvlJc w:val="left"/>
    </w:lvl>
    <w:lvl w:ilvl="2" w:tplc="31C84CFC">
      <w:numFmt w:val="decimal"/>
      <w:lvlText w:val=""/>
      <w:lvlJc w:val="left"/>
    </w:lvl>
    <w:lvl w:ilvl="3" w:tplc="B7082C02">
      <w:numFmt w:val="decimal"/>
      <w:lvlText w:val=""/>
      <w:lvlJc w:val="left"/>
    </w:lvl>
    <w:lvl w:ilvl="4" w:tplc="B3C41AD0">
      <w:numFmt w:val="decimal"/>
      <w:lvlText w:val=""/>
      <w:lvlJc w:val="left"/>
    </w:lvl>
    <w:lvl w:ilvl="5" w:tplc="240AF10E">
      <w:numFmt w:val="decimal"/>
      <w:lvlText w:val=""/>
      <w:lvlJc w:val="left"/>
    </w:lvl>
    <w:lvl w:ilvl="6" w:tplc="2DC6555A">
      <w:numFmt w:val="decimal"/>
      <w:lvlText w:val=""/>
      <w:lvlJc w:val="left"/>
    </w:lvl>
    <w:lvl w:ilvl="7" w:tplc="C0122E04">
      <w:numFmt w:val="decimal"/>
      <w:lvlText w:val=""/>
      <w:lvlJc w:val="left"/>
    </w:lvl>
    <w:lvl w:ilvl="8" w:tplc="D3F4D9B0">
      <w:numFmt w:val="decimal"/>
      <w:lvlText w:val=""/>
      <w:lvlJc w:val="left"/>
    </w:lvl>
  </w:abstractNum>
  <w:abstractNum w:abstractNumId="3" w15:restartNumberingAfterBreak="0">
    <w:nsid w:val="1F16E9E8"/>
    <w:multiLevelType w:val="hybridMultilevel"/>
    <w:tmpl w:val="AE8CC962"/>
    <w:lvl w:ilvl="0" w:tplc="35E4FE8E">
      <w:start w:val="1"/>
      <w:numFmt w:val="lowerLetter"/>
      <w:lvlText w:val="%1)"/>
      <w:lvlJc w:val="left"/>
    </w:lvl>
    <w:lvl w:ilvl="1" w:tplc="14428658">
      <w:start w:val="1"/>
      <w:numFmt w:val="decimal"/>
      <w:lvlText w:val="%2"/>
      <w:lvlJc w:val="left"/>
    </w:lvl>
    <w:lvl w:ilvl="2" w:tplc="4EF47D46">
      <w:numFmt w:val="decimal"/>
      <w:lvlText w:val=""/>
      <w:lvlJc w:val="left"/>
    </w:lvl>
    <w:lvl w:ilvl="3" w:tplc="687260C4">
      <w:numFmt w:val="decimal"/>
      <w:lvlText w:val=""/>
      <w:lvlJc w:val="left"/>
    </w:lvl>
    <w:lvl w:ilvl="4" w:tplc="9BEE974C">
      <w:numFmt w:val="decimal"/>
      <w:lvlText w:val=""/>
      <w:lvlJc w:val="left"/>
    </w:lvl>
    <w:lvl w:ilvl="5" w:tplc="B4A499C2">
      <w:numFmt w:val="decimal"/>
      <w:lvlText w:val=""/>
      <w:lvlJc w:val="left"/>
    </w:lvl>
    <w:lvl w:ilvl="6" w:tplc="294A446E">
      <w:numFmt w:val="decimal"/>
      <w:lvlText w:val=""/>
      <w:lvlJc w:val="left"/>
    </w:lvl>
    <w:lvl w:ilvl="7" w:tplc="AF1C6642">
      <w:numFmt w:val="decimal"/>
      <w:lvlText w:val=""/>
      <w:lvlJc w:val="left"/>
    </w:lvl>
    <w:lvl w:ilvl="8" w:tplc="89E21CEE">
      <w:numFmt w:val="decimal"/>
      <w:lvlText w:val=""/>
      <w:lvlJc w:val="left"/>
    </w:lvl>
  </w:abstractNum>
  <w:abstractNum w:abstractNumId="4" w15:restartNumberingAfterBreak="0">
    <w:nsid w:val="23192C09"/>
    <w:multiLevelType w:val="hybridMultilevel"/>
    <w:tmpl w:val="CE90FC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DB127F8"/>
    <w:multiLevelType w:val="hybridMultilevel"/>
    <w:tmpl w:val="C6D43396"/>
    <w:lvl w:ilvl="0" w:tplc="52003FE2">
      <w:start w:val="2"/>
      <w:numFmt w:val="decimal"/>
      <w:lvlText w:val="%1."/>
      <w:lvlJc w:val="left"/>
    </w:lvl>
    <w:lvl w:ilvl="1" w:tplc="3F3A012A">
      <w:numFmt w:val="decimal"/>
      <w:lvlText w:val=""/>
      <w:lvlJc w:val="left"/>
    </w:lvl>
    <w:lvl w:ilvl="2" w:tplc="1BBA074C">
      <w:numFmt w:val="decimal"/>
      <w:lvlText w:val=""/>
      <w:lvlJc w:val="left"/>
    </w:lvl>
    <w:lvl w:ilvl="3" w:tplc="3918C41A">
      <w:numFmt w:val="decimal"/>
      <w:lvlText w:val=""/>
      <w:lvlJc w:val="left"/>
    </w:lvl>
    <w:lvl w:ilvl="4" w:tplc="AE18560E">
      <w:numFmt w:val="decimal"/>
      <w:lvlText w:val=""/>
      <w:lvlJc w:val="left"/>
    </w:lvl>
    <w:lvl w:ilvl="5" w:tplc="EB5835E0">
      <w:numFmt w:val="decimal"/>
      <w:lvlText w:val=""/>
      <w:lvlJc w:val="left"/>
    </w:lvl>
    <w:lvl w:ilvl="6" w:tplc="259A02EA">
      <w:numFmt w:val="decimal"/>
      <w:lvlText w:val=""/>
      <w:lvlJc w:val="left"/>
    </w:lvl>
    <w:lvl w:ilvl="7" w:tplc="4CB89370">
      <w:numFmt w:val="decimal"/>
      <w:lvlText w:val=""/>
      <w:lvlJc w:val="left"/>
    </w:lvl>
    <w:lvl w:ilvl="8" w:tplc="9672194E">
      <w:numFmt w:val="decimal"/>
      <w:lvlText w:val=""/>
      <w:lvlJc w:val="left"/>
    </w:lvl>
  </w:abstractNum>
  <w:abstractNum w:abstractNumId="6" w15:restartNumberingAfterBreak="0">
    <w:nsid w:val="515F007C"/>
    <w:multiLevelType w:val="hybridMultilevel"/>
    <w:tmpl w:val="10F85F5C"/>
    <w:lvl w:ilvl="0" w:tplc="B3A2FACE">
      <w:start w:val="1"/>
      <w:numFmt w:val="decimal"/>
      <w:lvlText w:val="%1."/>
      <w:lvlJc w:val="left"/>
    </w:lvl>
    <w:lvl w:ilvl="1" w:tplc="4D2CE390">
      <w:numFmt w:val="decimal"/>
      <w:lvlText w:val=""/>
      <w:lvlJc w:val="left"/>
    </w:lvl>
    <w:lvl w:ilvl="2" w:tplc="A8CE7F70">
      <w:numFmt w:val="decimal"/>
      <w:lvlText w:val=""/>
      <w:lvlJc w:val="left"/>
    </w:lvl>
    <w:lvl w:ilvl="3" w:tplc="910603B6">
      <w:numFmt w:val="decimal"/>
      <w:lvlText w:val=""/>
      <w:lvlJc w:val="left"/>
    </w:lvl>
    <w:lvl w:ilvl="4" w:tplc="A2B8064E">
      <w:numFmt w:val="decimal"/>
      <w:lvlText w:val=""/>
      <w:lvlJc w:val="left"/>
    </w:lvl>
    <w:lvl w:ilvl="5" w:tplc="3170E602">
      <w:numFmt w:val="decimal"/>
      <w:lvlText w:val=""/>
      <w:lvlJc w:val="left"/>
    </w:lvl>
    <w:lvl w:ilvl="6" w:tplc="A0EC1EEC">
      <w:numFmt w:val="decimal"/>
      <w:lvlText w:val=""/>
      <w:lvlJc w:val="left"/>
    </w:lvl>
    <w:lvl w:ilvl="7" w:tplc="CC0EE1BE">
      <w:numFmt w:val="decimal"/>
      <w:lvlText w:val=""/>
      <w:lvlJc w:val="left"/>
    </w:lvl>
    <w:lvl w:ilvl="8" w:tplc="C7E2C472">
      <w:numFmt w:val="decimal"/>
      <w:lvlText w:val=""/>
      <w:lvlJc w:val="left"/>
    </w:lvl>
  </w:abstractNum>
  <w:abstractNum w:abstractNumId="7" w15:restartNumberingAfterBreak="0">
    <w:nsid w:val="5BD062C2"/>
    <w:multiLevelType w:val="hybridMultilevel"/>
    <w:tmpl w:val="C432533E"/>
    <w:lvl w:ilvl="0" w:tplc="FC808254">
      <w:start w:val="1"/>
      <w:numFmt w:val="lowerLetter"/>
      <w:lvlText w:val="%1)"/>
      <w:lvlJc w:val="left"/>
    </w:lvl>
    <w:lvl w:ilvl="1" w:tplc="5310082C">
      <w:numFmt w:val="decimal"/>
      <w:lvlText w:val=""/>
      <w:lvlJc w:val="left"/>
    </w:lvl>
    <w:lvl w:ilvl="2" w:tplc="EB107578">
      <w:numFmt w:val="decimal"/>
      <w:lvlText w:val=""/>
      <w:lvlJc w:val="left"/>
    </w:lvl>
    <w:lvl w:ilvl="3" w:tplc="09823742">
      <w:numFmt w:val="decimal"/>
      <w:lvlText w:val=""/>
      <w:lvlJc w:val="left"/>
    </w:lvl>
    <w:lvl w:ilvl="4" w:tplc="5986E8BC">
      <w:numFmt w:val="decimal"/>
      <w:lvlText w:val=""/>
      <w:lvlJc w:val="left"/>
    </w:lvl>
    <w:lvl w:ilvl="5" w:tplc="0C58E3D6">
      <w:numFmt w:val="decimal"/>
      <w:lvlText w:val=""/>
      <w:lvlJc w:val="left"/>
    </w:lvl>
    <w:lvl w:ilvl="6" w:tplc="35C43146">
      <w:numFmt w:val="decimal"/>
      <w:lvlText w:val=""/>
      <w:lvlJc w:val="left"/>
    </w:lvl>
    <w:lvl w:ilvl="7" w:tplc="D43E0A20">
      <w:numFmt w:val="decimal"/>
      <w:lvlText w:val=""/>
      <w:lvlJc w:val="left"/>
    </w:lvl>
    <w:lvl w:ilvl="8" w:tplc="D9087FA8">
      <w:numFmt w:val="decimal"/>
      <w:lvlText w:val=""/>
      <w:lvlJc w:val="left"/>
    </w:lvl>
  </w:abstractNum>
  <w:abstractNum w:abstractNumId="8" w15:restartNumberingAfterBreak="0">
    <w:nsid w:val="66EF438D"/>
    <w:multiLevelType w:val="hybridMultilevel"/>
    <w:tmpl w:val="0A748012"/>
    <w:lvl w:ilvl="0" w:tplc="C2BACDD0">
      <w:start w:val="1"/>
      <w:numFmt w:val="lowerLetter"/>
      <w:lvlText w:val="%1)"/>
      <w:lvlJc w:val="left"/>
    </w:lvl>
    <w:lvl w:ilvl="1" w:tplc="32904FFE">
      <w:start w:val="1"/>
      <w:numFmt w:val="decimal"/>
      <w:lvlText w:val="%2"/>
      <w:lvlJc w:val="left"/>
    </w:lvl>
    <w:lvl w:ilvl="2" w:tplc="29AAAAAE">
      <w:numFmt w:val="decimal"/>
      <w:lvlText w:val=""/>
      <w:lvlJc w:val="left"/>
    </w:lvl>
    <w:lvl w:ilvl="3" w:tplc="4474ABF0">
      <w:numFmt w:val="decimal"/>
      <w:lvlText w:val=""/>
      <w:lvlJc w:val="left"/>
    </w:lvl>
    <w:lvl w:ilvl="4" w:tplc="AE8238C6">
      <w:numFmt w:val="decimal"/>
      <w:lvlText w:val=""/>
      <w:lvlJc w:val="left"/>
    </w:lvl>
    <w:lvl w:ilvl="5" w:tplc="8BEC7DD0">
      <w:numFmt w:val="decimal"/>
      <w:lvlText w:val=""/>
      <w:lvlJc w:val="left"/>
    </w:lvl>
    <w:lvl w:ilvl="6" w:tplc="F6A6E336">
      <w:numFmt w:val="decimal"/>
      <w:lvlText w:val=""/>
      <w:lvlJc w:val="left"/>
    </w:lvl>
    <w:lvl w:ilvl="7" w:tplc="4C3E3B2C">
      <w:numFmt w:val="decimal"/>
      <w:lvlText w:val=""/>
      <w:lvlJc w:val="left"/>
    </w:lvl>
    <w:lvl w:ilvl="8" w:tplc="69FA1BAA">
      <w:numFmt w:val="decimal"/>
      <w:lvlText w:val=""/>
      <w:lvlJc w:val="left"/>
    </w:lvl>
  </w:abstractNum>
  <w:abstractNum w:abstractNumId="9" w15:restartNumberingAfterBreak="0">
    <w:nsid w:val="7C203318"/>
    <w:multiLevelType w:val="hybridMultilevel"/>
    <w:tmpl w:val="0204907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7"/>
  </w:num>
  <w:num w:numId="3">
    <w:abstractNumId w:val="2"/>
  </w:num>
  <w:num w:numId="4">
    <w:abstractNumId w:val="5"/>
  </w:num>
  <w:num w:numId="5">
    <w:abstractNumId w:val="0"/>
  </w:num>
  <w:num w:numId="6">
    <w:abstractNumId w:val="3"/>
  </w:num>
  <w:num w:numId="7">
    <w:abstractNumId w:val="1"/>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79D"/>
    <w:rsid w:val="000A19D8"/>
    <w:rsid w:val="003258D5"/>
    <w:rsid w:val="00617089"/>
    <w:rsid w:val="008855A3"/>
    <w:rsid w:val="00B227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05AFA3-9EE1-4649-80C8-79AC9FF7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27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279D"/>
  </w:style>
  <w:style w:type="paragraph" w:styleId="Piedepgina">
    <w:name w:val="footer"/>
    <w:basedOn w:val="Normal"/>
    <w:link w:val="PiedepginaCar"/>
    <w:uiPriority w:val="99"/>
    <w:unhideWhenUsed/>
    <w:rsid w:val="00B227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279D"/>
  </w:style>
  <w:style w:type="paragraph" w:styleId="Prrafodelista">
    <w:name w:val="List Paragraph"/>
    <w:basedOn w:val="Normal"/>
    <w:uiPriority w:val="34"/>
    <w:qFormat/>
    <w:rsid w:val="000A1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2085</Words>
  <Characters>11472</Characters>
  <Application>Microsoft Office Word</Application>
  <DocSecurity>0</DocSecurity>
  <Lines>95</Lines>
  <Paragraphs>27</Paragraphs>
  <ScaleCrop>false</ScaleCrop>
  <Company>C.A.R.M.</Company>
  <LinksUpToDate>false</LinksUpToDate>
  <CharactersWithSpaces>13530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TORRECILLAS MARTINEZ, FRANCISCO J.</dc:creator>
  <cp:keywords/>
  <dc:description/>
  <cp:lastModifiedBy>TORRECILLAS MARTINEZ, FRANCISCO J.</cp:lastModifiedBy>
  <cp:revision>4</cp:revision>
  <dcterms:created xsi:type="dcterms:W3CDTF">2020-08-05T12:05:00Z</dcterms:created>
  <dcterms:modified xsi:type="dcterms:W3CDTF">2020-08-05T12:27:00Z</dcterms:modified>
</cp:coreProperties>
</file>