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sdeltext"/>
        <w:spacing w:before="0" w:after="120"/>
        <w:rPr/>
      </w:pPr>
      <w:r>
        <w:rPr/>
        <w:t xml:space="preserve">CONVOCATORIA PARA LA CONCESIÓN DE SUBVENCIONES EN MATERIA DE MEJORA ENERGÉTICA DE LOS EDIFICIOS A NÚCLEOS RESIDENCIALES DE PERAFORT </w:t>
      </w:r>
      <w:r>
        <w:rPr>
          <w:rFonts w:eastAsia="Lucida Sans Unicode" w:cs="Tahoma"/>
          <w:color w:val="auto"/>
          <w:kern w:val="2"/>
          <w:sz w:val="22"/>
          <w:szCs w:val="24"/>
          <w:lang w:val="es-ES" w:eastAsia="zxx" w:bidi="zxx"/>
        </w:rPr>
        <w:t>Y PUIGDELFÍ</w:t>
      </w:r>
      <w:r>
        <w:rPr/>
        <w:t xml:space="preserve">- </w:t>
      </w:r>
      <w:r>
        <w:rPr>
          <w:rFonts w:eastAsia="Lucida Sans Unicode" w:cs="Tahoma"/>
          <w:color w:val="auto"/>
          <w:kern w:val="2"/>
          <w:sz w:val="22"/>
          <w:szCs w:val="24"/>
          <w:lang w:val="es-ES" w:eastAsia="zxx" w:bidi="zxx"/>
        </w:rPr>
        <w:t>AÑO</w:t>
      </w:r>
      <w:r>
        <w:rPr/>
        <w:t xml:space="preserve"> 2020</w:t>
      </w:r>
    </w:p>
    <w:p>
      <w:pPr>
        <w:pStyle w:val="Cosdeltext"/>
        <w:spacing w:before="0" w:after="120"/>
        <w:rPr/>
      </w:pPr>
      <w:r>
        <w:rPr/>
      </w:r>
    </w:p>
    <w:p>
      <w:pPr>
        <w:pStyle w:val="Cosdeltext"/>
        <w:spacing w:before="0" w:after="120"/>
        <w:rPr/>
      </w:pPr>
      <w:r>
        <w:rPr/>
      </w:r>
    </w:p>
    <w:p>
      <w:pPr>
        <w:pStyle w:val="Cosdeltext"/>
        <w:spacing w:before="0" w:after="120"/>
        <w:jc w:val="both"/>
        <w:rPr/>
      </w:pPr>
      <w:r>
        <w:rPr/>
        <w:t>PRIMERA. Objeto y finalidad</w:t>
      </w:r>
    </w:p>
    <w:p>
      <w:pPr>
        <w:pStyle w:val="Cosdeltext"/>
        <w:spacing w:before="0" w:after="120"/>
        <w:jc w:val="both"/>
        <w:rPr/>
      </w:pPr>
      <w:r>
        <w:rPr/>
      </w:r>
    </w:p>
    <w:p>
      <w:pPr>
        <w:pStyle w:val="Cosdeltext"/>
        <w:spacing w:before="0" w:after="120"/>
        <w:jc w:val="both"/>
        <w:rPr/>
      </w:pPr>
      <w:r>
        <w:rPr/>
        <w:t>1.1 El objetivo que se pretende conseguir una mejora energética de los edificios, a la vez que se contribuye a la reducción de las emisiones de CO2, además del ahorro económico que supondrá para el futuro a los habitantes de los municipios de Perafort y Puigdelfí .</w:t>
      </w:r>
    </w:p>
    <w:p>
      <w:pPr>
        <w:pStyle w:val="Cosdeltext"/>
        <w:spacing w:before="0" w:after="120"/>
        <w:jc w:val="both"/>
        <w:rPr/>
      </w:pPr>
      <w:r>
        <w:rPr/>
        <w:t>1.2 Constituye el objeto de estas bases regular y fijar los criterios y el procedimiento para la concesión de una subvención para la mejora energética de las viviendas en los núcleos de Perafort y Puigdelfí.</w:t>
      </w:r>
    </w:p>
    <w:p>
      <w:pPr>
        <w:pStyle w:val="Cosdeltext"/>
        <w:spacing w:before="0" w:after="120"/>
        <w:jc w:val="both"/>
        <w:rPr/>
      </w:pPr>
      <w:r>
        <w:rPr/>
      </w:r>
    </w:p>
    <w:p>
      <w:pPr>
        <w:pStyle w:val="Cosdeltext"/>
        <w:spacing w:before="0" w:after="120"/>
        <w:jc w:val="both"/>
        <w:rPr/>
      </w:pPr>
      <w:r>
        <w:rPr/>
      </w:r>
    </w:p>
    <w:p>
      <w:pPr>
        <w:pStyle w:val="Cosdeltext"/>
        <w:spacing w:before="0" w:after="120"/>
        <w:jc w:val="both"/>
        <w:rPr/>
      </w:pPr>
      <w:r>
        <w:rPr/>
        <w:t>SEGUNDA. Requisitos de los beneficiarios</w:t>
      </w:r>
    </w:p>
    <w:p>
      <w:pPr>
        <w:pStyle w:val="Cosdeltext"/>
        <w:spacing w:before="0" w:after="120"/>
        <w:jc w:val="both"/>
        <w:rPr/>
      </w:pPr>
      <w:r>
        <w:rPr/>
      </w:r>
    </w:p>
    <w:p>
      <w:pPr>
        <w:pStyle w:val="Cosdeltext"/>
        <w:spacing w:before="0" w:after="120"/>
        <w:jc w:val="both"/>
        <w:rPr/>
      </w:pPr>
      <w:r>
        <w:rPr/>
        <w:t>2.1 Las ayudas o subvenciones se otorgarán a los propietarios de los inmuebles comprendidos en el ámbito de los núcleos residenciales de Perafort y Puigdelfí que reúnan los requisitos establecidos en las presentes Bases.</w:t>
      </w:r>
    </w:p>
    <w:p>
      <w:pPr>
        <w:pStyle w:val="Cosdeltext"/>
        <w:spacing w:before="0" w:after="120"/>
        <w:jc w:val="both"/>
        <w:rPr/>
      </w:pPr>
      <w:r>
        <w:rPr/>
      </w:r>
    </w:p>
    <w:p>
      <w:pPr>
        <w:pStyle w:val="Cosdeltext"/>
        <w:spacing w:before="0" w:after="120"/>
        <w:jc w:val="both"/>
        <w:rPr/>
      </w:pPr>
      <w:r>
        <w:rPr/>
        <w:t>2.2 Para cuantificar estas mejoras se considera necesario partir de un certificado energético de estado inicial de la vivienda, donde se indique la clase energética de este, (A, B, C, D, E, F, G ) con los correspondientes datos de consumo energético y de emisiones.</w:t>
      </w:r>
    </w:p>
    <w:p>
      <w:pPr>
        <w:pStyle w:val="Cosdeltext"/>
        <w:spacing w:before="0" w:after="120"/>
        <w:jc w:val="both"/>
        <w:rPr/>
      </w:pPr>
      <w:r>
        <w:rPr/>
      </w:r>
    </w:p>
    <w:p>
      <w:pPr>
        <w:pStyle w:val="Cosdeltext"/>
        <w:spacing w:before="0" w:after="120"/>
        <w:jc w:val="both"/>
        <w:rPr/>
      </w:pPr>
      <w:r>
        <w:rPr/>
        <w:t>2.3 El ayuntamiento podrá comprobar en cualquier momento la veracidad de los datos declarados. En caso de incumplimiento por parte de los perceptores / as de cualquiera de las obligaciones previstas en estas bases, el Ayuntamiento de Perafort procederá, previo trámite de audiencia, a la anulación o revocación total o parcial de la ayuda, con la obligación inherente de las personas beneficiarias de devolver las cantidades percibidas más los intereses correspondientes, sin perjuicio de las responsabilidades en que hayan podido incurrir por la falsedad en su declaración.</w:t>
      </w:r>
    </w:p>
    <w:p>
      <w:pPr>
        <w:pStyle w:val="Cosdeltext"/>
        <w:spacing w:before="0" w:after="120"/>
        <w:jc w:val="both"/>
        <w:rPr/>
      </w:pPr>
      <w:r>
        <w:rPr/>
      </w:r>
    </w:p>
    <w:p>
      <w:pPr>
        <w:pStyle w:val="Cosdeltext"/>
        <w:spacing w:before="0" w:after="120"/>
        <w:jc w:val="both"/>
        <w:rPr/>
      </w:pPr>
      <w:r>
        <w:rPr/>
        <w:t>2.4 Para tener derecho a percibir la subvención:</w:t>
      </w:r>
    </w:p>
    <w:p>
      <w:pPr>
        <w:pStyle w:val="Cosdeltext"/>
        <w:spacing w:before="0" w:after="120"/>
        <w:jc w:val="both"/>
        <w:rPr/>
      </w:pPr>
      <w:r>
        <w:rPr/>
        <w:t>-el beneficiario no podrá ser deudor, por ningún concepto, con el Ayuntamiento de Perafort.</w:t>
      </w:r>
    </w:p>
    <w:p>
      <w:pPr>
        <w:pStyle w:val="Cosdeltext"/>
        <w:spacing w:before="0" w:after="120"/>
        <w:jc w:val="both"/>
        <w:rPr/>
      </w:pPr>
      <w:r>
        <w:rPr/>
        <w:t>-el beneficiario deberá presentar un certificado del gestor referente a la cantidad y tipo de residuos entregados. Este requisito es indispensable también para la devolución de la fianza depositada.</w:t>
      </w:r>
    </w:p>
    <w:p>
      <w:pPr>
        <w:pStyle w:val="Cosdeltext"/>
        <w:spacing w:before="0" w:after="120"/>
        <w:jc w:val="both"/>
        <w:rPr/>
      </w:pPr>
      <w:r>
        <w:rPr/>
      </w:r>
    </w:p>
    <w:p>
      <w:pPr>
        <w:pStyle w:val="Cosdeltext"/>
        <w:spacing w:before="0" w:after="120"/>
        <w:jc w:val="both"/>
        <w:rPr/>
      </w:pPr>
      <w:r>
        <w:rPr/>
        <w:t>TERCERA. Régimen de concesión</w:t>
      </w:r>
    </w:p>
    <w:p>
      <w:pPr>
        <w:pStyle w:val="Cosdeltext"/>
        <w:spacing w:before="0" w:after="120"/>
        <w:jc w:val="both"/>
        <w:rPr/>
      </w:pPr>
      <w:r>
        <w:rPr/>
        <w:t>El régimen de concesión es el de concurrencia competitiva.</w:t>
      </w:r>
    </w:p>
    <w:p>
      <w:pPr>
        <w:pStyle w:val="Cosdeltext"/>
        <w:spacing w:before="0" w:after="120"/>
        <w:jc w:val="both"/>
        <w:rPr/>
      </w:pPr>
      <w:r>
        <w:rPr/>
      </w:r>
    </w:p>
    <w:p>
      <w:pPr>
        <w:pStyle w:val="Cosdeltext"/>
        <w:spacing w:before="0" w:after="120"/>
        <w:jc w:val="both"/>
        <w:rPr/>
      </w:pPr>
      <w:r>
        <w:rPr/>
        <w:t>CUARTO. Forma y plazo de presentación de solicitudes</w:t>
      </w:r>
    </w:p>
    <w:p>
      <w:pPr>
        <w:pStyle w:val="Cosdeltext"/>
        <w:spacing w:before="0" w:after="120"/>
        <w:jc w:val="both"/>
        <w:rPr/>
      </w:pPr>
      <w:r>
        <w:rPr/>
        <w:t>4.1 Se pueden presentar solicitudes desde el día siguiente a la publicación en el BOP de la convocatoria y hasta el 31 de diciembre de 2020.</w:t>
      </w:r>
    </w:p>
    <w:p>
      <w:pPr>
        <w:pStyle w:val="Cosdeltext"/>
        <w:spacing w:before="0" w:after="120"/>
        <w:jc w:val="both"/>
        <w:rPr/>
      </w:pPr>
      <w:r>
        <w:rPr/>
        <w:t>4.2 Las solicitudes de licencia y de concesión de subvención para las obras de rehabilitación que se interesen se presentarán, según el modelo que se facilitará, en las Oficinas del Ayuntamiento.</w:t>
      </w:r>
    </w:p>
    <w:p>
      <w:pPr>
        <w:pStyle w:val="Cosdeltext"/>
        <w:spacing w:before="0" w:after="120"/>
        <w:jc w:val="both"/>
        <w:rPr/>
      </w:pPr>
      <w:r>
        <w:rPr/>
        <w:t>4.3 La documentación que deberá acompañar la solicitud es la siguiente:</w:t>
      </w:r>
    </w:p>
    <w:p>
      <w:pPr>
        <w:pStyle w:val="Cosdeltext"/>
        <w:spacing w:before="0" w:after="120"/>
        <w:jc w:val="both"/>
        <w:rPr/>
      </w:pPr>
      <w:r>
        <w:rPr/>
        <w:t>--El técnico redactor en este certificado deberá indicar las mejoras que se pueden llevar a cabo.</w:t>
      </w:r>
    </w:p>
    <w:p>
      <w:pPr>
        <w:pStyle w:val="Cosdeltext"/>
        <w:spacing w:before="0" w:after="120"/>
        <w:jc w:val="both"/>
        <w:rPr/>
      </w:pPr>
      <w:r>
        <w:rPr/>
        <w:t>-Para que esta mejora sea cuantificable, será necesario que el técnico tramite el certificado energético incorporando las modificaciones, ante el ICAEN.</w:t>
      </w:r>
    </w:p>
    <w:p>
      <w:pPr>
        <w:pStyle w:val="Cosdeltext"/>
        <w:spacing w:before="0" w:after="120"/>
        <w:jc w:val="both"/>
        <w:rPr/>
      </w:pPr>
      <w:r>
        <w:rPr/>
      </w:r>
    </w:p>
    <w:p>
      <w:pPr>
        <w:pStyle w:val="Cosdeltext"/>
        <w:spacing w:before="0" w:after="120"/>
        <w:jc w:val="both"/>
        <w:rPr/>
      </w:pPr>
      <w:r>
        <w:rPr/>
        <w:t>4.4 La presentación de la solicitud implica la aceptación plena de las bases reguladoras de la subvención.</w:t>
      </w:r>
    </w:p>
    <w:p>
      <w:pPr>
        <w:pStyle w:val="Cosdeltext"/>
        <w:spacing w:before="0" w:after="120"/>
        <w:jc w:val="both"/>
        <w:rPr/>
      </w:pPr>
      <w:r>
        <w:rPr/>
      </w:r>
    </w:p>
    <w:p>
      <w:pPr>
        <w:pStyle w:val="Cosdeltext"/>
        <w:spacing w:before="0" w:after="120"/>
        <w:jc w:val="both"/>
        <w:rPr/>
      </w:pPr>
      <w:r>
        <w:rPr/>
        <w:t>4.5 Sólo se podrá solicitar una subvención por inmueble.</w:t>
      </w:r>
    </w:p>
    <w:p>
      <w:pPr>
        <w:pStyle w:val="Cosdeltext"/>
        <w:spacing w:before="0" w:after="120"/>
        <w:jc w:val="both"/>
        <w:rPr/>
      </w:pPr>
      <w:r>
        <w:rPr/>
      </w:r>
    </w:p>
    <w:p>
      <w:pPr>
        <w:pStyle w:val="Cosdeltext"/>
        <w:spacing w:before="0" w:after="120"/>
        <w:jc w:val="both"/>
        <w:rPr/>
      </w:pPr>
      <w:r>
        <w:rPr/>
        <w:t>QUINTA. Forma y plazo de otorgamiento</w:t>
      </w:r>
    </w:p>
    <w:p>
      <w:pPr>
        <w:pStyle w:val="Cosdeltext"/>
        <w:spacing w:before="0" w:after="120"/>
        <w:jc w:val="both"/>
        <w:rPr/>
      </w:pPr>
      <w:r>
        <w:rPr/>
        <w:t>5.1 Lo que marca la base 8ª de las Bases Reguladoras para la concesión de una subvención destinada a la mejora energética de los edificios en los núcleos residenciales de Perafort y Puigdelfí.</w:t>
      </w:r>
    </w:p>
    <w:p>
      <w:pPr>
        <w:pStyle w:val="Cosdeltext"/>
        <w:spacing w:before="0" w:after="120"/>
        <w:jc w:val="both"/>
        <w:rPr/>
      </w:pPr>
      <w:r>
        <w:rPr/>
        <w:t>5.2 Será obligado presentar copia de la factura de los trabajos por los que se solicita subvención.</w:t>
      </w:r>
    </w:p>
    <w:p>
      <w:pPr>
        <w:pStyle w:val="Cosdeltext"/>
        <w:spacing w:before="0" w:after="120"/>
        <w:jc w:val="both"/>
        <w:rPr/>
      </w:pPr>
      <w:r>
        <w:rPr/>
      </w:r>
    </w:p>
    <w:p>
      <w:pPr>
        <w:pStyle w:val="Cosdeltext"/>
        <w:spacing w:before="0" w:after="120"/>
        <w:jc w:val="both"/>
        <w:rPr/>
      </w:pPr>
      <w:r>
        <w:rPr/>
        <w:t>SEXTA. Financiación de la actuación</w:t>
      </w:r>
    </w:p>
    <w:p>
      <w:pPr>
        <w:pStyle w:val="Cosdeltext"/>
        <w:spacing w:before="0" w:after="120"/>
        <w:jc w:val="both"/>
        <w:rPr/>
      </w:pPr>
      <w:r>
        <w:rPr/>
        <w:t>6.1 La cuantía de la subvención será la aplicación de los baremos que marca la base 7ª de las Bases Reguladoras para la concesión de una subvención destinada a la mejora energética de los edificios en los núcleos residenciales de Perafort y Puigdelfí.</w:t>
      </w:r>
    </w:p>
    <w:p>
      <w:pPr>
        <w:pStyle w:val="Cosdeltext"/>
        <w:spacing w:before="0" w:after="120"/>
        <w:jc w:val="both"/>
        <w:rPr/>
      </w:pPr>
      <w:r>
        <w:rPr/>
        <w:t>6.2. El Ayuntamiento financiará como máximo un 50% del coste de intervención.</w:t>
      </w:r>
    </w:p>
    <w:p>
      <w:pPr>
        <w:pStyle w:val="Cosdeltext"/>
        <w:spacing w:before="0" w:after="120"/>
        <w:jc w:val="both"/>
        <w:rPr/>
      </w:pPr>
      <w:r>
        <w:rPr/>
        <w:t>SÉPTIMA. Crédito presupuestario e importe máximo</w:t>
      </w:r>
    </w:p>
    <w:p>
      <w:pPr>
        <w:pStyle w:val="Cosdeltext"/>
        <w:spacing w:before="0" w:after="120"/>
        <w:jc w:val="both"/>
        <w:rPr/>
      </w:pPr>
      <w:r>
        <w:rPr/>
        <w:t>7.1 Los créditos presupuestarios a los que se imputan la convocatoria son los siguientes:</w:t>
      </w:r>
    </w:p>
    <w:p>
      <w:pPr>
        <w:pStyle w:val="Cosdeltext"/>
        <w:spacing w:before="0" w:after="120"/>
        <w:jc w:val="both"/>
        <w:rPr/>
      </w:pPr>
      <w:r>
        <w:rPr/>
        <w:t>1721.4800 - Subvenciones EFICIENCIA ENERGÉTICA</w:t>
      </w:r>
    </w:p>
    <w:p>
      <w:pPr>
        <w:pStyle w:val="Cosdeltext"/>
        <w:spacing w:before="0" w:after="120"/>
        <w:jc w:val="both"/>
        <w:rPr/>
      </w:pPr>
      <w:r>
        <w:rPr/>
        <w:t>7.2 La cuantía total máxima de las subvenciones convocadas es de 5.000 €.</w:t>
      </w:r>
    </w:p>
    <w:p>
      <w:pPr>
        <w:pStyle w:val="Cosdeltext"/>
        <w:spacing w:before="0" w:after="120"/>
        <w:jc w:val="both"/>
        <w:rPr/>
      </w:pPr>
      <w:r>
        <w:rPr/>
        <w:t>OCTAVA. órganos competentes</w:t>
      </w:r>
    </w:p>
    <w:p>
      <w:pPr>
        <w:pStyle w:val="Cosdeltext"/>
        <w:spacing w:before="0" w:after="120"/>
        <w:jc w:val="both"/>
        <w:rPr/>
      </w:pPr>
      <w:r>
        <w:rPr/>
        <w:t>8.1 El órgano competente para la evaluación de las solicitudes serán los Servicios Técnicos municipales.</w:t>
      </w:r>
    </w:p>
    <w:p>
      <w:pPr>
        <w:pStyle w:val="Cosdeltext"/>
        <w:spacing w:before="0" w:after="120"/>
        <w:jc w:val="both"/>
        <w:rPr/>
      </w:pPr>
      <w:r>
        <w:rPr/>
        <w:t>8.2 El órgano competente para la resolución de concesión de la subvención es el Alcalde-Presidente o el órgano en quien delegue expresamente.</w:t>
      </w:r>
    </w:p>
    <w:p>
      <w:pPr>
        <w:pStyle w:val="Cosdeltext"/>
        <w:spacing w:before="0" w:after="120"/>
        <w:jc w:val="both"/>
        <w:rPr/>
      </w:pPr>
      <w:r>
        <w:rPr/>
        <w:t>NOVENA. Compatibilidad de la ayuda</w:t>
      </w:r>
    </w:p>
    <w:p>
      <w:pPr>
        <w:pStyle w:val="Cosdeltext"/>
        <w:spacing w:before="0" w:after="120"/>
        <w:jc w:val="both"/>
        <w:rPr/>
      </w:pPr>
      <w:r>
        <w:rPr/>
        <w:t>9.1 Sin perjuicio de lo que pueda establecerse por otras administraciones públicas, la ayuda tendrá la condición de compatible con las que puedan entregar otros organismos.</w:t>
      </w:r>
    </w:p>
    <w:p>
      <w:pPr>
        <w:pStyle w:val="Cosdeltext"/>
        <w:spacing w:before="0" w:after="120"/>
        <w:jc w:val="both"/>
        <w:rPr/>
      </w:pPr>
      <w:r>
        <w:rPr/>
      </w:r>
    </w:p>
    <w:p>
      <w:pPr>
        <w:pStyle w:val="Cosdeltext"/>
        <w:spacing w:before="0" w:after="120"/>
        <w:jc w:val="both"/>
        <w:rPr/>
      </w:pPr>
      <w:r>
        <w:rPr/>
        <w:t>DÉCIMA. Régimen sancionador.</w:t>
      </w:r>
    </w:p>
    <w:p>
      <w:pPr>
        <w:pStyle w:val="Cosdeltext"/>
        <w:spacing w:before="0" w:after="120"/>
        <w:jc w:val="both"/>
        <w:rPr/>
      </w:pPr>
      <w:r>
        <w:rPr/>
        <w:t>10.1 Las personas beneficiarias estarán sometidas a las responsabilidades y régimen sancionador que sobre sanciones administrativas establece la normativa aplicable en materia de subvenciones, la Ley General Presupuestaria y la Ley General Tributaria.</w:t>
      </w:r>
    </w:p>
    <w:p>
      <w:pPr>
        <w:pStyle w:val="Cosdeltext"/>
        <w:spacing w:before="0" w:after="120"/>
        <w:jc w:val="both"/>
        <w:rPr/>
      </w:pPr>
      <w:r>
        <w:rPr/>
        <w:t>10.2 El Ayuntamiento iniciará un procedimiento de reintegro de la subvención concedida y abonada indebidamente de conformidad con la legislación vigente y las presentes bases.</w:t>
      </w:r>
    </w:p>
    <w:p>
      <w:pPr>
        <w:pStyle w:val="Cosdeltext"/>
        <w:spacing w:before="0" w:after="120"/>
        <w:jc w:val="both"/>
        <w:rPr/>
      </w:pPr>
      <w:r>
        <w:rPr/>
        <w:t>UNDÉCIMA. Publicación de la convocatoria</w:t>
      </w:r>
    </w:p>
    <w:p>
      <w:pPr>
        <w:pStyle w:val="Cosdeltext"/>
        <w:spacing w:before="0" w:after="120"/>
        <w:jc w:val="both"/>
        <w:rPr/>
      </w:pPr>
      <w:r>
        <w:rPr/>
        <w:t>La convocatoria de subvenciones deberá publicarse en la Base de Datos Nacional de Subvenciones (en adelante BDNS). Posteriormente, la BDNS transmitirá el extracto en el Boletín Oficial del Estado para su publicación. Asimismo, se dará publicidad de la convocatoria en el Tablón de Anuncios de la sede electrónica de este Ayuntamiento.</w:t>
      </w:r>
    </w:p>
    <w:p>
      <w:pPr>
        <w:pStyle w:val="Cosdeltext"/>
        <w:spacing w:before="0" w:after="120"/>
        <w:jc w:val="both"/>
        <w:rPr/>
      </w:pPr>
      <w:r>
        <w:rPr/>
      </w:r>
    </w:p>
    <w:p>
      <w:pPr>
        <w:pStyle w:val="Cosdeltext"/>
        <w:spacing w:before="0" w:after="120"/>
        <w:jc w:val="both"/>
        <w:rPr/>
      </w:pPr>
      <w:r>
        <w:rPr/>
      </w:r>
    </w:p>
    <w:p>
      <w:pPr>
        <w:pStyle w:val="Cosdeltext"/>
        <w:spacing w:before="0" w:after="120"/>
        <w:jc w:val="center"/>
        <w:rPr>
          <w:b/>
          <w:b/>
          <w:bCs/>
        </w:rPr>
      </w:pPr>
      <w:r>
        <w:rPr>
          <w:b/>
          <w:bCs/>
        </w:rPr>
        <w:t>DOCUMENTO FIRMADO ELECTRÓNICAMENTE</w:t>
      </w:r>
    </w:p>
    <w:sectPr>
      <w:headerReference w:type="default" r:id="rId2"/>
      <w:footerReference w:type="default" r:id="rId3"/>
      <w:type w:val="nextPage"/>
      <w:pgSz w:w="11906" w:h="16838"/>
      <w:pgMar w:left="1701" w:right="1701" w:header="709" w:top="2782"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pBdr>
        <w:top w:val="single" w:sz="4" w:space="5" w:color="000000"/>
      </w:pBdr>
      <w:jc w:val="center"/>
      <w:rPr>
        <w:b/>
        <w:b/>
      </w:rPr>
    </w:pPr>
    <w:r>
      <w:rPr>
        <w:b/>
      </w:rPr>
      <w:t>Ajuntament de Perafort</w:t>
    </w:r>
  </w:p>
  <w:p>
    <w:pPr>
      <w:pStyle w:val="Cosdeltext"/>
      <w:spacing w:before="0" w:after="120"/>
      <w:jc w:val="center"/>
      <w:rPr>
        <w:b w:val="false"/>
        <w:b w:val="false"/>
        <w:bCs w:val="false"/>
        <w:sz w:val="16"/>
      </w:rPr>
    </w:pPr>
    <w:r>
      <w:rPr>
        <w:b w:val="false"/>
        <w:bCs w:val="false"/>
        <w:sz w:val="16"/>
      </w:rPr>
      <w:t>C/ Nou , 7-11, Perafort. 43152 (Tarragona). Tel. 977625006. Fax: 977610027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pBdr/>
      <w:rPr/>
    </w:pPr>
    <w:r>
      <w:rPr/>
      <w:drawing>
        <wp:inline distT="0" distB="0" distL="0" distR="0">
          <wp:extent cx="697230" cy="697230"/>
          <wp:effectExtent l="0" t="0" r="0" b="0"/>
          <wp:docPr id="1" name="Imat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descr=""/>
                  <pic:cNvPicPr>
                    <a:picLocks noChangeAspect="1" noChangeArrowheads="1"/>
                  </pic:cNvPicPr>
                </pic:nvPicPr>
                <pic:blipFill>
                  <a:blip r:embed="rId1"/>
                  <a:srcRect l="-62" t="-62" r="-62" b="-62"/>
                  <a:stretch>
                    <a:fillRect/>
                  </a:stretch>
                </pic:blipFill>
                <pic:spPr bwMode="auto">
                  <a:xfrm>
                    <a:off x="0" y="0"/>
                    <a:ext cx="697230" cy="697230"/>
                  </a:xfrm>
                  <a:prstGeom prst="rect">
                    <a:avLst/>
                  </a:prstGeom>
                </pic:spPr>
              </pic:pic>
            </a:graphicData>
          </a:graphic>
        </wp:inline>
      </w:drawing>
    </w:r>
    <w:r>
      <w:rPr>
        <w:rFonts w:eastAsia="Arial" w:cs="Arial"/>
      </w:rPr>
      <w:t xml:space="preserve"> </w:t>
    </w:r>
  </w:p>
  <w:p>
    <w:pPr>
      <w:pStyle w:val="Header2"/>
      <w:pBdr>
        <w:bottom w:val="single" w:sz="4" w:space="5" w:color="000000"/>
      </w:pBdr>
      <w:jc w:val="center"/>
      <w:rPr>
        <w:b/>
        <w:b/>
        <w:bCs/>
        <w:sz w:val="28"/>
        <w:szCs w:val="28"/>
      </w:rPr>
    </w:pPr>
    <w:r>
      <w:rPr>
        <w:b/>
        <w:bCs/>
        <w:sz w:val="28"/>
        <w:szCs w:val="28"/>
      </w:rPr>
      <w:t>Ajuntament de Perafort</w:t>
    </w:r>
  </w:p>
</w:hdr>
</file>

<file path=word/settings.xml><?xml version="1.0" encoding="utf-8"?>
<w:settings xmlns:w="http://schemas.openxmlformats.org/wordprocessingml/2006/main">
  <w:zoom w:percent="11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ca-ES"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Lucida Sans Unicode" w:cs="Tahoma"/>
      <w:color w:val="auto"/>
      <w:kern w:val="2"/>
      <w:sz w:val="22"/>
      <w:szCs w:val="24"/>
      <w:lang w:val="es-ES" w:eastAsia="zxx" w:bidi="zxx"/>
    </w:rPr>
  </w:style>
  <w:style w:type="paragraph" w:styleId="Encapalament">
    <w:name w:val="Encapçalament"/>
    <w:basedOn w:val="Normal"/>
    <w:next w:val="Cosdeltext"/>
    <w:qFormat/>
    <w:pPr>
      <w:keepNext w:val="true"/>
      <w:spacing w:before="240" w:after="120"/>
    </w:pPr>
    <w:rPr>
      <w:rFonts w:ascii="Liberation Sans;Arial" w:hAnsi="Liberation Sans;Arial" w:eastAsia="Microsoft YaHei" w:cs="Arial"/>
      <w:sz w:val="28"/>
      <w:szCs w:val="28"/>
    </w:rPr>
  </w:style>
  <w:style w:type="paragraph" w:styleId="Cosdeltext">
    <w:name w:val="Body Text"/>
    <w:basedOn w:val="Normal"/>
    <w:pPr>
      <w:spacing w:before="0" w:after="120"/>
    </w:pPr>
    <w:rPr/>
  </w:style>
  <w:style w:type="paragraph" w:styleId="Llista">
    <w:name w:val="List"/>
    <w:basedOn w:val="Cosdeltext"/>
    <w:pPr/>
    <w:rPr>
      <w:rFonts w:cs="Tahoma"/>
      <w:sz w:val="22"/>
    </w:rPr>
  </w:style>
  <w:style w:type="paragraph" w:styleId="Llegenda">
    <w:name w:val="Caption"/>
    <w:basedOn w:val="Normal"/>
    <w:qFormat/>
    <w:pPr>
      <w:suppressLineNumbers/>
      <w:spacing w:before="120" w:after="120"/>
    </w:pPr>
    <w:rPr>
      <w:rFonts w:ascii="Arial" w:hAnsi="Arial" w:cs="Arial"/>
      <w:i/>
      <w:iCs/>
      <w:sz w:val="24"/>
      <w:szCs w:val="24"/>
    </w:rPr>
  </w:style>
  <w:style w:type="paragraph" w:styleId="Ndex">
    <w:name w:val="Índex"/>
    <w:basedOn w:val="Normal"/>
    <w:qFormat/>
    <w:pPr>
      <w:suppressLineNumbers/>
    </w:pPr>
    <w:rPr>
      <w:rFonts w:ascii="Arial" w:hAnsi="Arial" w:cs="Arial"/>
    </w:rPr>
  </w:style>
  <w:style w:type="paragraph" w:styleId="Heading">
    <w:name w:val="Heading"/>
    <w:basedOn w:val="Normal"/>
    <w:next w:val="Cosdeltext"/>
    <w:qFormat/>
    <w:pPr>
      <w:keepNext w:val="true"/>
      <w:spacing w:before="240" w:after="120"/>
    </w:pPr>
    <w:rPr>
      <w:rFonts w:ascii="Arial" w:hAnsi="Arial" w:eastAsia="MS Mincho"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paleraipeu">
    <w:name w:val="Capçalera i peu"/>
    <w:basedOn w:val="Normal"/>
    <w:qFormat/>
    <w:pPr>
      <w:suppressLineNumbers/>
      <w:tabs>
        <w:tab w:val="center" w:pos="4819" w:leader="none"/>
        <w:tab w:val="right" w:pos="9638" w:leader="none"/>
      </w:tabs>
    </w:pPr>
    <w:rPr/>
  </w:style>
  <w:style w:type="paragraph" w:styleId="Capalera">
    <w:name w:val="Header"/>
    <w:basedOn w:val="Normal"/>
    <w:pPr>
      <w:suppressLineNumbers/>
      <w:tabs>
        <w:tab w:val="center" w:pos="5386" w:leader="none"/>
        <w:tab w:val="right" w:pos="10772" w:leader="none"/>
      </w:tabs>
    </w:pPr>
    <w:rPr/>
  </w:style>
  <w:style w:type="paragraph" w:styleId="Peudepgina">
    <w:name w:val="Footer"/>
    <w:basedOn w:val="Normal"/>
    <w:pPr>
      <w:suppressLineNumbers/>
      <w:tabs>
        <w:tab w:val="center" w:pos="5386" w:leader="none"/>
        <w:tab w:val="right" w:pos="107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23</TotalTime>
  <Application>LibreOffice/6.0.4.2$Windows_x86 LibreOffice_project/9b0d9b32d5dcda91d2f1a96dc04c645c450872bf</Application>
  <Pages>3</Pages>
  <Words>846</Words>
  <Characters>4649</Characters>
  <CharactersWithSpaces>5450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ca-ES</dc:language>
  <cp:lastModifiedBy/>
  <cp:lastPrinted>1995-11-21T17:41:00Z</cp:lastPrinted>
  <dcterms:modified xsi:type="dcterms:W3CDTF">2020-07-14T22:56:40Z</dcterms:modified>
  <cp:revision>6</cp:revision>
  <dc:subject/>
  <dc:title/>
</cp:coreProperties>
</file>