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oindependiente2"/>
        <w:rPr>
          <w:rFonts w:ascii="Times New Roman" w:hAnsi="Times New Roman" w:cs="Times New Roman"/>
          <w:b/>
          <w:b/>
          <w:bCs/>
          <w:sz w:val="16"/>
          <w:szCs w:val="16"/>
          <w:lang w:val="es-ES"/>
        </w:rPr>
      </w:pPr>
      <w:r>
        <w:rPr>
          <w:rFonts w:cs="Times New Roman" w:ascii="Times New Roman" w:hAnsi="Times New Roman"/>
          <w:b/>
          <w:bCs/>
          <w:sz w:val="16"/>
          <w:szCs w:val="16"/>
          <w:lang w:val="es-ES"/>
        </w:rPr>
        <w:t>Extracto de las bases reguladoras que han de regir la convocatoria para la activación y mejora de la calidad comercial, destinadas a establecimientos de actividades no esenciales afectados por el real decreto 463/2020, de 14 de marzo, por el que se declara el estado de alarma tras el COVID-19</w:t>
      </w:r>
    </w:p>
    <w:p>
      <w:pPr>
        <w:pStyle w:val="Normal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</w:r>
    </w:p>
    <w:p>
      <w:pPr>
        <w:pStyle w:val="Normal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16"/>
          <w:szCs w:val="16"/>
          <w:lang w:val="es-ES"/>
        </w:rPr>
        <w:t xml:space="preserve">M. Carolina Marquès Portella, Alcaldesa del Ayuntamiento de Sant Lluís, hace público el Extracto del acuerdo de la Junta de Gobierno Local de día 2/07/2020, por el que se aprueban la convocatoria y las bases </w:t>
      </w:r>
      <w:r>
        <w:rPr>
          <w:rFonts w:cs="Times New Roman" w:ascii="Times New Roman" w:hAnsi="Times New Roman"/>
          <w:b w:val="false"/>
          <w:bCs w:val="false"/>
          <w:sz w:val="16"/>
          <w:szCs w:val="16"/>
          <w:lang w:val="es-ES"/>
        </w:rPr>
        <w:t>para la activación y mejora de la calidad comercial, destinadas a establecimientos de actividades no esenciales afectados por el real decreto 463/2020, de 14 de marzo, por el que se declara el estado de alarma tras el COVID-19.</w:t>
      </w:r>
    </w:p>
    <w:p>
      <w:pPr>
        <w:pStyle w:val="Normal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</w:r>
    </w:p>
    <w:p>
      <w:pPr>
        <w:pStyle w:val="Normal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  <w:t xml:space="preserve">De conformidad con lo previsto en los artículos 17.3 y 20.8 de la Ley 38/2003, de 17 de noviembre, General de Subvenciones, se publica el extracto de la convocatoria, el texto completo de la cual puede consultarse en la Base de Datos Nacional de Subvenciones: </w:t>
      </w:r>
    </w:p>
    <w:p>
      <w:pPr>
        <w:pStyle w:val="Normal"/>
        <w:jc w:val="both"/>
        <w:rPr>
          <w:rFonts w:ascii="Times New Roman" w:hAnsi="Times New Roman" w:cs="Times New Roman"/>
          <w:color w:val="CE181E"/>
          <w:sz w:val="16"/>
          <w:szCs w:val="16"/>
          <w:lang w:val="es-ES"/>
        </w:rPr>
      </w:pPr>
      <w:r>
        <w:rPr>
          <w:rFonts w:cs="Times New Roman" w:ascii="Times New Roman" w:hAnsi="Times New Roman"/>
          <w:color w:val="CE181E"/>
          <w:sz w:val="16"/>
          <w:szCs w:val="16"/>
          <w:lang w:val="es-ES"/>
        </w:rPr>
      </w:r>
    </w:p>
    <w:p>
      <w:pPr>
        <w:pStyle w:val="Normal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hyperlink r:id="rId2">
        <w:r>
          <w:rPr>
            <w:rStyle w:val="EnlacedeInternet"/>
            <w:rFonts w:cs="Times New Roman" w:ascii="Times New Roman" w:hAnsi="Times New Roman"/>
            <w:sz w:val="16"/>
            <w:szCs w:val="16"/>
            <w:lang w:val="es-ES"/>
          </w:rPr>
          <w:t>http://www.pap.hacienda.gob.es/bdnstrans/GE/es/convocatoria</w:t>
        </w:r>
      </w:hyperlink>
    </w:p>
    <w:p>
      <w:pPr>
        <w:pStyle w:val="Normal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bCs/>
          <w:sz w:val="16"/>
          <w:szCs w:val="16"/>
          <w:lang w:val="es-ES"/>
        </w:rPr>
        <w:t>Primero. Objeto de la convocatoria</w:t>
      </w:r>
      <w:r>
        <w:rPr>
          <w:rFonts w:cs="Times New Roman" w:ascii="Times New Roman" w:hAnsi="Times New Roman"/>
          <w:sz w:val="16"/>
          <w:szCs w:val="16"/>
          <w:lang w:val="es-ES"/>
        </w:rPr>
        <w:t xml:space="preserve">: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222222"/>
          <w:spacing w:val="0"/>
          <w:sz w:val="16"/>
          <w:szCs w:val="16"/>
          <w:lang w:val="es-ES"/>
        </w:rPr>
        <w:t>aportar recursos económicos a las personas titulares los establecimientos de actividades no esenciales, para contribuir a la re-activación de las empresas, el mantenimiento del tejido comercial y empresarial de San Luis, y en el impulso de la promoción y dinamización del sector.</w:t>
      </w:r>
    </w:p>
    <w:p>
      <w:pPr>
        <w:pStyle w:val="Normal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bCs/>
          <w:sz w:val="16"/>
          <w:szCs w:val="16"/>
          <w:lang w:val="es-ES"/>
        </w:rPr>
        <w:t>Segundo. Beneficiarios</w:t>
      </w:r>
      <w:r>
        <w:rPr>
          <w:rFonts w:cs="Times New Roman" w:ascii="Times New Roman" w:hAnsi="Times New Roman"/>
          <w:sz w:val="16"/>
          <w:szCs w:val="16"/>
          <w:lang w:val="es-ES"/>
        </w:rPr>
        <w:t xml:space="preserve">: Pueden participar en esta convocatoria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222222"/>
          <w:spacing w:val="0"/>
          <w:sz w:val="16"/>
          <w:szCs w:val="16"/>
          <w:lang w:val="es-ES"/>
        </w:rPr>
        <w:t>las personas físicas o jurídicas, en cualquiera de las formas reconocidas, titulares de establecimientos abiertos al público de actividades no esenciales, obligados a cesar la actividad o no iniciarla, en cumplimiento de lo establecido en el Real Decreto 463/2020, de 14 de marzo, por el que se declara el estado de alarma.</w:t>
      </w:r>
    </w:p>
    <w:p>
      <w:pPr>
        <w:pStyle w:val="Normal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bCs/>
          <w:sz w:val="16"/>
          <w:szCs w:val="16"/>
          <w:lang w:val="es-ES"/>
        </w:rPr>
        <w:t>Tercero. Bases Reguladoras</w:t>
      </w:r>
      <w:r>
        <w:rPr>
          <w:rFonts w:cs="Times New Roman" w:ascii="Times New Roman" w:hAnsi="Times New Roman"/>
          <w:sz w:val="16"/>
          <w:szCs w:val="16"/>
          <w:lang w:val="es-ES"/>
        </w:rPr>
        <w:t>: Bases de la convocatoria que han de regir la concesión de ayudas económicas para la activación y mejora de la calidad comercial, destinadas a los establecimientos de actividades no esenciales, derivadas del COVID-19.</w:t>
      </w:r>
    </w:p>
    <w:p>
      <w:pPr>
        <w:pStyle w:val="Normal"/>
        <w:jc w:val="both"/>
        <w:rPr>
          <w:rFonts w:ascii="Times New Roman" w:hAnsi="Times New Roman" w:cs="Times New Roman"/>
          <w:color w:val="CE181E"/>
          <w:sz w:val="16"/>
          <w:szCs w:val="16"/>
          <w:lang w:val="es-ES"/>
        </w:rPr>
      </w:pPr>
      <w:r>
        <w:rPr>
          <w:rFonts w:cs="Times New Roman" w:ascii="Times New Roman" w:hAnsi="Times New Roman"/>
          <w:color w:val="CE181E"/>
          <w:sz w:val="16"/>
          <w:szCs w:val="16"/>
          <w:lang w:val="es-ES"/>
        </w:rPr>
      </w:r>
    </w:p>
    <w:p>
      <w:pPr>
        <w:pStyle w:val="Normal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hyperlink r:id="rId3">
        <w:r>
          <w:rPr>
            <w:rStyle w:val="EnlacedeInternet"/>
            <w:rFonts w:cs="Times New Roman" w:ascii="Times New Roman" w:hAnsi="Times New Roman"/>
            <w:sz w:val="16"/>
            <w:szCs w:val="16"/>
            <w:lang w:val="es-ES"/>
          </w:rPr>
          <w:t>http://www.ajsantlluis.org/tauler/edictes.aspx?Tipo=01&amp;HISTORIC=1</w:t>
        </w:r>
      </w:hyperlink>
    </w:p>
    <w:p>
      <w:pPr>
        <w:pStyle w:val="Normal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bCs/>
          <w:sz w:val="16"/>
          <w:szCs w:val="16"/>
          <w:lang w:val="es-ES"/>
        </w:rPr>
        <w:t>Cuarto. Crédito de la convocatoria</w:t>
      </w:r>
      <w:r>
        <w:rPr>
          <w:rFonts w:cs="Times New Roman" w:ascii="Times New Roman" w:hAnsi="Times New Roman"/>
          <w:sz w:val="16"/>
          <w:szCs w:val="16"/>
          <w:lang w:val="es-ES"/>
        </w:rPr>
        <w:t>: El crédito para esta convocatoria es de 50.000 euros, ampliable en 10.000 euros.</w:t>
      </w:r>
    </w:p>
    <w:p>
      <w:pPr>
        <w:pStyle w:val="Normal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bCs/>
          <w:sz w:val="16"/>
          <w:szCs w:val="16"/>
          <w:lang w:val="es-ES"/>
        </w:rPr>
        <w:t>Quinto. Plazo de presentación de solicitudes</w:t>
      </w:r>
      <w:r>
        <w:rPr>
          <w:rFonts w:cs="Times New Roman" w:ascii="Times New Roman" w:hAnsi="Times New Roman"/>
          <w:sz w:val="16"/>
          <w:szCs w:val="16"/>
          <w:lang w:val="es-ES"/>
        </w:rPr>
        <w:t xml:space="preserve">: 20 días hábiles, a contar desde el día siguiente a la publicación de las bases en el BOIB. </w:t>
      </w:r>
    </w:p>
    <w:p>
      <w:pPr>
        <w:pStyle w:val="Normal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bCs/>
          <w:sz w:val="16"/>
          <w:szCs w:val="16"/>
          <w:lang w:val="es-ES"/>
        </w:rPr>
        <w:t>Sexto. Cuantía</w:t>
      </w:r>
      <w:r>
        <w:rPr>
          <w:rFonts w:cs="Times New Roman" w:ascii="Times New Roman" w:hAnsi="Times New Roman"/>
          <w:sz w:val="16"/>
          <w:szCs w:val="16"/>
          <w:lang w:val="es-ES"/>
        </w:rPr>
        <w:t>: la subvención es de 700 euros para los establecimientos abiertos todo el año, de 350 euros para los establecimientos de temporada y de 350 euros para los establecimientos abiertos todo el año que hayan tenido que cerrar parcialmente.</w:t>
      </w:r>
    </w:p>
    <w:p>
      <w:pPr>
        <w:pStyle w:val="Normal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</w:r>
    </w:p>
    <w:p>
      <w:pPr>
        <w:pStyle w:val="Normal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</w:r>
    </w:p>
    <w:p>
      <w:pPr>
        <w:pStyle w:val="NTtolsecundari"/>
        <w:widowControl/>
        <w:tabs>
          <w:tab w:val="clear" w:pos="4280"/>
        </w:tabs>
        <w:snapToGrid w:val="true"/>
        <w:spacing w:lineRule="auto" w:line="240" w:before="0" w:after="0"/>
        <w:jc w:val="center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</w:r>
    </w:p>
    <w:p>
      <w:pPr>
        <w:pStyle w:val="Ttulo4"/>
        <w:jc w:val="left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  <w:t>La Alcaldesa Presidenta de Sant Lluís</w:t>
      </w:r>
    </w:p>
    <w:p>
      <w:pPr>
        <w:pStyle w:val="Normal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</w:r>
    </w:p>
    <w:p>
      <w:pPr>
        <w:pStyle w:val="Normal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  <w:t>M. Carolina Marquès Portella</w:t>
      </w:r>
    </w:p>
    <w:p>
      <w:pPr>
        <w:pStyle w:val="Normal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</w:r>
    </w:p>
    <w:p>
      <w:pPr>
        <w:pStyle w:val="Normal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</w:r>
    </w:p>
    <w:p>
      <w:pPr>
        <w:pStyle w:val="Normal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  <w:t>Firmado en Sant Lluís en la fecha que consta en la firma electrónica de este documento</w:t>
      </w:r>
    </w:p>
    <w:p>
      <w:pPr>
        <w:pStyle w:val="Normal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</w:r>
    </w:p>
    <w:p>
      <w:pPr>
        <w:pStyle w:val="Normal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cs="Times New Roman" w:ascii="Times New Roman" w:hAnsi="Times New Roman"/>
          <w:sz w:val="16"/>
          <w:szCs w:val="16"/>
          <w:lang w:val="es-ES"/>
        </w:rPr>
      </w:r>
    </w:p>
    <w:sectPr>
      <w:headerReference w:type="default" r:id="rId4"/>
      <w:footerReference w:type="default" r:id="rId5"/>
      <w:type w:val="nextPage"/>
      <w:pgSz w:w="11906" w:h="16838"/>
      <w:pgMar w:left="1701" w:right="1701" w:header="720" w:top="2232" w:footer="72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auto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Times-Parlament">
    <w:altName w:val="Times New Roman"/>
    <w:charset w:val="00"/>
    <w:family w:val="roman"/>
    <w:pitch w:val="default"/>
  </w:font>
  <w:font w:name="Liberation Mono">
    <w:altName w:val="Courier New"/>
    <w:charset w:val="00"/>
    <w:family w:val="modern"/>
    <w:pitch w:val="default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jc w:val="right"/>
      <w:rPr>
        <w:sz w:val="16"/>
        <w:lang w:val="es-ES" w:eastAsia="es-ES"/>
      </w:rPr>
    </w:pPr>
    <w:r>
      <w:rPr>
        <w:sz w:val="16"/>
        <w:lang w:val="es-ES" w:eastAsia="es-ES"/>
      </w:rPr>
    </w:r>
    <w:r>
      <mc:AlternateContent>
        <mc:Choice Requires="wps">
          <w:drawing>
            <wp:anchor behindDoc="1" distT="0" distB="0" distL="114935" distR="114935" simplePos="0" locked="0" layoutInCell="1" allowOverlap="1" relativeHeight="6">
              <wp:simplePos x="0" y="0"/>
              <wp:positionH relativeFrom="column">
                <wp:posOffset>2069465</wp:posOffset>
              </wp:positionH>
              <wp:positionV relativeFrom="paragraph">
                <wp:posOffset>-3412490</wp:posOffset>
              </wp:positionV>
              <wp:extent cx="3458845" cy="3373755"/>
              <wp:effectExtent l="0" t="0" r="0" b="0"/>
              <wp:wrapNone/>
              <wp:docPr id="5" name="Marc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58845" cy="3373755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rPr>
                              <w:lang w:val="es-ES"/>
                            </w:rPr>
                          </w:pPr>
                          <w:r>
                            <w:rPr>
                              <w:lang w:val="es-ES"/>
                            </w:rPr>
                          </w:r>
                        </w:p>
                      </w:txbxContent>
                    </wps:txbx>
                    <wps:bodyPr anchor="t" lIns="5080" tIns="5080" rIns="5080" bIns="508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272.35pt;height:265.65pt;mso-wrap-distance-left:9.05pt;mso-wrap-distance-right:9.05pt;mso-wrap-distance-top:0pt;mso-wrap-distance-bottom:0pt;margin-top:-268.7pt;mso-position-vertical-relative:text;margin-left:162.95pt;mso-position-horizontal-relative:text">
              <v:textbox inset="0.00555555555555556in,0.00555555555555556in,0.00555555555555556in,0.00555555555555556in">
                <w:txbxContent>
                  <w:p>
                    <w:pPr>
                      <w:pStyle w:val="Normal"/>
                      <w:rPr>
                        <w:lang w:val="es-ES"/>
                      </w:rPr>
                    </w:pPr>
                    <w:r>
                      <w:rPr>
                        <w:lang w:val="es-ES"/>
                      </w:rPr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es-ES" w:eastAsia="es-ES"/>
      </w:rPr>
    </w:pPr>
    <w:r>
      <w:rPr>
        <w:lang w:val="es-ES" w:eastAsia="es-ES"/>
      </w:rPr>
      <mc:AlternateContent>
        <mc:Choice Requires="wps">
          <w:drawing>
            <wp:anchor behindDoc="1" distT="0" distB="0" distL="114935" distR="114935" simplePos="0" locked="0" layoutInCell="1" allowOverlap="1" relativeHeight="3">
              <wp:simplePos x="0" y="0"/>
              <wp:positionH relativeFrom="column">
                <wp:posOffset>919480</wp:posOffset>
              </wp:positionH>
              <wp:positionV relativeFrom="paragraph">
                <wp:posOffset>436245</wp:posOffset>
              </wp:positionV>
              <wp:extent cx="4487545" cy="635"/>
              <wp:effectExtent l="0" t="0" r="0" b="0"/>
              <wp:wrapNone/>
              <wp:docPr id="1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487040" cy="0"/>
                      </a:xfrm>
                      <a:prstGeom prst="line">
                        <a:avLst/>
                      </a:prstGeom>
                      <a:ln w="1908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72.4pt,34.35pt" to="425.65pt,34.35pt" stroked="t" style="position:absolute">
              <v:stroke color="black" weight="19080" joinstyle="miter" endcap="square"/>
              <v:fill o:detectmouseclick="t" on="false"/>
            </v:line>
          </w:pict>
        </mc:Fallback>
      </mc:AlternateContent>
      <w:drawing>
        <wp:anchor behindDoc="0" distT="0" distB="0" distL="114935" distR="114935" simplePos="0" locked="0" layoutInCell="1" allowOverlap="1" relativeHeight="5">
          <wp:simplePos x="0" y="0"/>
          <wp:positionH relativeFrom="column">
            <wp:posOffset>-12700</wp:posOffset>
          </wp:positionH>
          <wp:positionV relativeFrom="paragraph">
            <wp:posOffset>1905</wp:posOffset>
          </wp:positionV>
          <wp:extent cx="881380" cy="885190"/>
          <wp:effectExtent l="0" t="0" r="0" b="0"/>
          <wp:wrapTopAndBottom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9" t="-108" r="-109" b="-108"/>
                  <a:stretch>
                    <a:fillRect/>
                  </a:stretch>
                </pic:blipFill>
                <pic:spPr bwMode="auto">
                  <a:xfrm>
                    <a:off x="0" y="0"/>
                    <a:ext cx="881380" cy="885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935" distR="114935" simplePos="0" locked="0" layoutInCell="1" allowOverlap="1" relativeHeight="2">
              <wp:simplePos x="0" y="0"/>
              <wp:positionH relativeFrom="column">
                <wp:posOffset>715010</wp:posOffset>
              </wp:positionH>
              <wp:positionV relativeFrom="paragraph">
                <wp:posOffset>91440</wp:posOffset>
              </wp:positionV>
              <wp:extent cx="2736215" cy="358775"/>
              <wp:effectExtent l="0" t="0" r="0" b="0"/>
              <wp:wrapNone/>
              <wp:docPr id="3" name="Marco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36215" cy="3587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jc w:val="right"/>
                            <w:rPr>
                              <w:b/>
                              <w:b/>
                              <w:sz w:val="32"/>
                              <w:lang w:val="es-ES"/>
                            </w:rPr>
                          </w:pPr>
                          <w:r>
                            <w:rPr>
                              <w:b/>
                              <w:sz w:val="32"/>
                              <w:lang w:val="es-ES"/>
                            </w:rPr>
                            <w:t>Ajuntament de Sant Lluís</w:t>
                          </w:r>
                        </w:p>
                      </w:txbxContent>
                    </wps:txbx>
                    <wps:bodyPr anchor="t" lIns="5080" tIns="5080" rIns="5080" bIns="508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215.45pt;height:28.25pt;mso-wrap-distance-left:9.05pt;mso-wrap-distance-right:9.05pt;mso-wrap-distance-top:0pt;mso-wrap-distance-bottom:0pt;margin-top:7.2pt;mso-position-vertical-relative:text;margin-left:56.3pt;mso-position-horizontal-relative:text">
              <v:fill opacity="0f"/>
              <v:textbox inset="0.00555555555555556in,0.00555555555555556in,0.00555555555555556in,0.00555555555555556in">
                <w:txbxContent>
                  <w:p>
                    <w:pPr>
                      <w:pStyle w:val="Normal"/>
                      <w:jc w:val="right"/>
                      <w:rPr>
                        <w:b/>
                        <w:b/>
                        <w:sz w:val="32"/>
                        <w:lang w:val="es-ES"/>
                      </w:rPr>
                    </w:pPr>
                    <w:r>
                      <w:rPr>
                        <w:b/>
                        <w:sz w:val="32"/>
                        <w:lang w:val="es-ES"/>
                      </w:rPr>
                      <w:t>Ajuntament de Sant Lluís</w:t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935" distR="114935" simplePos="0" locked="0" layoutInCell="1" allowOverlap="1" relativeHeight="4">
              <wp:simplePos x="0" y="0"/>
              <wp:positionH relativeFrom="column">
                <wp:posOffset>4022725</wp:posOffset>
              </wp:positionH>
              <wp:positionV relativeFrom="paragraph">
                <wp:posOffset>432435</wp:posOffset>
              </wp:positionV>
              <wp:extent cx="1568450" cy="267335"/>
              <wp:effectExtent l="0" t="0" r="0" b="0"/>
              <wp:wrapNone/>
              <wp:docPr id="4" name="Marco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68450" cy="26733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rPr>
                              <w:lang w:val="es-ES"/>
                            </w:rPr>
                          </w:pPr>
                          <w:r>
                            <w:rPr>
                              <w:lang w:val="es-ES"/>
                            </w:rPr>
                            <w:t>www.ajsantlluis.org</w:t>
                          </w:r>
                        </w:p>
                      </w:txbxContent>
                    </wps:txbx>
                    <wps:bodyPr anchor="t" lIns="5080" tIns="5080" rIns="5080" bIns="508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23.5pt;height:21.05pt;mso-wrap-distance-left:9.05pt;mso-wrap-distance-right:9.05pt;mso-wrap-distance-top:0pt;mso-wrap-distance-bottom:0pt;margin-top:34.05pt;mso-position-vertical-relative:text;margin-left:316.75pt;mso-position-horizontal-relative:text">
              <v:fill opacity="0f"/>
              <v:textbox inset="0.00555555555555556in,0.00555555555555556in,0.00555555555555556in,0.00555555555555556in">
                <w:txbxContent>
                  <w:p>
                    <w:pPr>
                      <w:pStyle w:val="Normal"/>
                      <w:rPr>
                        <w:lang w:val="es-ES"/>
                      </w:rPr>
                    </w:pPr>
                    <w:r>
                      <w:rPr>
                        <w:lang w:val="es-ES"/>
                      </w:rPr>
                      <w:t>www.ajsantlluis.org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ind w:left="432" w:hanging="432"/>
      </w:pPr>
      <w:rPr>
        <w:rFonts w:ascii="Symbol" w:hAnsi="Symbol" w:cs="Symbol"/>
      </w:rPr>
    </w:lvl>
    <w:lvl w:ilvl="1">
      <w:start w:val="1"/>
      <w:pStyle w:val="Ttulo2"/>
      <w:numFmt w:val="none"/>
      <w:suff w:val="nothing"/>
      <w:lvlText w:val=""/>
      <w:lvlJc w:val="left"/>
      <w:pPr>
        <w:ind w:left="576" w:hanging="576"/>
      </w:pPr>
      <w:rPr/>
    </w:lvl>
    <w:lvl w:ilvl="2">
      <w:start w:val="1"/>
      <w:pStyle w:val="Ttulo3"/>
      <w:numFmt w:val="none"/>
      <w:suff w:val="nothing"/>
      <w:lvlText w:val=""/>
      <w:lvlJc w:val="left"/>
      <w:pPr>
        <w:ind w:left="720" w:hanging="720"/>
      </w:pPr>
      <w:rPr/>
    </w:lvl>
    <w:lvl w:ilvl="3">
      <w:start w:val="1"/>
      <w:pStyle w:val="Ttulo4"/>
      <w:numFmt w:val="none"/>
      <w:suff w:val="nothing"/>
      <w:lvlText w:val=""/>
      <w:lvlJc w:val="left"/>
      <w:pPr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  <w:rFonts w:cs="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dstrike w:val="false"/>
        <w:strike w:val="false"/>
        <w:i w:val="false"/>
        <w:u w:val="none"/>
        <w:b w:val="false"/>
        <w:rFonts w:cs="Times New Roman"/>
        <w:color w:val="000000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Arial" w:hAnsi="Arial" w:eastAsia="Times New Roman" w:cs="Arial"/>
      <w:color w:val="auto"/>
      <w:sz w:val="22"/>
      <w:szCs w:val="20"/>
      <w:lang w:val="es-ES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tabs>
        <w:tab w:val="left" w:pos="708" w:leader="none"/>
        <w:tab w:val="left" w:pos="1416" w:leader="none"/>
        <w:tab w:val="left" w:pos="2124" w:leader="none"/>
        <w:tab w:val="left" w:pos="2832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372" w:leader="none"/>
        <w:tab w:val="left" w:pos="7080" w:leader="none"/>
        <w:tab w:val="left" w:pos="7788" w:leader="none"/>
        <w:tab w:val="left" w:pos="8496" w:leader="none"/>
        <w:tab w:val="left" w:pos="9204" w:leader="none"/>
        <w:tab w:val="left" w:pos="9912" w:leader="none"/>
      </w:tabs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Ttulo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rFonts w:ascii="Arial" w:hAnsi="Arial" w:eastAsia="Arial Unicode MS" w:cs="Arial"/>
      <w:b/>
      <w:bCs/>
      <w:u w:val="single"/>
    </w:rPr>
  </w:style>
  <w:style w:type="paragraph" w:styleId="Ttulo4">
    <w:name w:val="Heading 4"/>
    <w:basedOn w:val="Normal"/>
    <w:next w:val="Normal"/>
    <w:qFormat/>
    <w:pPr>
      <w:keepNext w:val="true"/>
      <w:numPr>
        <w:ilvl w:val="3"/>
        <w:numId w:val="1"/>
      </w:numPr>
      <w:jc w:val="both"/>
      <w:outlineLvl w:val="3"/>
    </w:pPr>
    <w:rPr>
      <w:b/>
      <w:bCs/>
      <w:sz w:val="20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ymbol"/>
    </w:rPr>
  </w:style>
  <w:style w:type="character" w:styleId="WW8Num3z0">
    <w:name w:val="WW8Num3z0"/>
    <w:qFormat/>
    <w:rPr>
      <w:rFonts w:ascii="Symbol" w:hAnsi="Symbol" w:cs="Times New Roman"/>
      <w:b w:val="false"/>
      <w:i w:val="false"/>
      <w:strike w:val="false"/>
      <w:dstrike w:val="false"/>
      <w:color w:val="000000"/>
      <w:u w:val="none"/>
    </w:rPr>
  </w:style>
  <w:style w:type="character" w:styleId="Fuentedeprrafopredeter">
    <w:name w:val="Fuente de párrafo predeter."/>
    <w:qFormat/>
    <w:rPr/>
  </w:style>
  <w:style w:type="character" w:styleId="WW8Num4z0">
    <w:name w:val="WW8Num4z0"/>
    <w:qFormat/>
    <w:rPr>
      <w:rFonts w:ascii="Symbol" w:hAnsi="Symbol" w:cs="Times New Roman"/>
      <w:b w:val="false"/>
      <w:i w:val="false"/>
      <w:strike w:val="false"/>
      <w:dstrike w:val="false"/>
      <w:color w:val="000000"/>
      <w:u w:val="none"/>
    </w:rPr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Symbol" w:hAnsi="Symbol" w:cs="OpenSymbol;Arial Unicode MS"/>
    </w:rPr>
  </w:style>
  <w:style w:type="character" w:styleId="WW8Num6z1">
    <w:name w:val="WW8Num6z1"/>
    <w:qFormat/>
    <w:rPr>
      <w:rFonts w:ascii="OpenSymbol;Arial Unicode MS" w:hAnsi="OpenSymbol;Arial Unicode MS" w:cs="OpenSymbol;Arial Unicode MS"/>
    </w:rPr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cs="OpenSymbol;Arial Unicode MS"/>
    </w:rPr>
  </w:style>
  <w:style w:type="character" w:styleId="WW8Num9z1">
    <w:name w:val="WW8Num9z1"/>
    <w:qFormat/>
    <w:rPr>
      <w:rFonts w:ascii="OpenSymbol;Arial Unicode MS" w:hAnsi="OpenSymbol;Arial Unicode MS" w:cs="OpenSymbol;Arial Unicode MS"/>
    </w:rPr>
  </w:style>
  <w:style w:type="character" w:styleId="WW8Num10z0">
    <w:name w:val="WW8Num10z0"/>
    <w:qFormat/>
    <w:rPr>
      <w:rFonts w:ascii="Symbol" w:hAnsi="Symbol" w:cs="OpenSymbol;Arial Unicode MS"/>
    </w:rPr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>
      <w:rFonts w:ascii="Symbol" w:hAnsi="Symbol" w:cs="Times New Roman"/>
    </w:rPr>
  </w:style>
  <w:style w:type="character" w:styleId="WW8Num13z0">
    <w:name w:val="WW8Num13z0"/>
    <w:qFormat/>
    <w:rPr>
      <w:rFonts w:ascii="Symbol" w:hAnsi="Symbol" w:cs="Courier New"/>
    </w:rPr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/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>
      <w:rFonts w:ascii="Symbol" w:hAnsi="Symbol" w:cs="Symbol"/>
    </w:rPr>
  </w:style>
  <w:style w:type="character" w:styleId="WW8Num17z0">
    <w:name w:val="WW8Num17z0"/>
    <w:qFormat/>
    <w:rPr>
      <w:color w:val="000000"/>
    </w:rPr>
  </w:style>
  <w:style w:type="character" w:styleId="WW8Num17z1">
    <w:name w:val="WW8Num17z1"/>
    <w:qFormat/>
    <w:rPr/>
  </w:style>
  <w:style w:type="character" w:styleId="WW8Num17z2">
    <w:name w:val="WW8Num17z2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WW8Num18z0">
    <w:name w:val="WW8Num18z0"/>
    <w:qFormat/>
    <w:rPr>
      <w:rFonts w:ascii="Times New Roman" w:hAnsi="Times New Roman" w:eastAsia="Times New Roman" w:cs="Times New Roman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WW8Num18z3">
    <w:name w:val="WW8Num18z3"/>
    <w:qFormat/>
    <w:rPr>
      <w:rFonts w:ascii="Symbol" w:hAnsi="Symbol" w:cs="Symbol"/>
    </w:rPr>
  </w:style>
  <w:style w:type="character" w:styleId="WWFuentedeprrafopredeter">
    <w:name w:val="WW-Fuente de párrafo predeter."/>
    <w:qFormat/>
    <w:rPr/>
  </w:style>
  <w:style w:type="character" w:styleId="EnlacedeInternet">
    <w:name w:val="Enlace de Internet"/>
    <w:basedOn w:val="WWFuentedeprrafopredeter"/>
    <w:rPr>
      <w:color w:val="0000FF"/>
      <w:u w:val="single"/>
    </w:rPr>
  </w:style>
  <w:style w:type="character" w:styleId="EnlacedeInternetvisitado">
    <w:name w:val="Enlace de Internet visitado"/>
    <w:basedOn w:val="WWFuentedeprrafopredeter"/>
    <w:rPr>
      <w:color w:val="800080"/>
      <w:u w:val="single"/>
    </w:rPr>
  </w:style>
  <w:style w:type="character" w:styleId="Hps">
    <w:name w:val="hps"/>
    <w:basedOn w:val="WWFuentedeprrafopredeter"/>
    <w:qFormat/>
    <w:rPr/>
  </w:style>
  <w:style w:type="character" w:styleId="Vietas">
    <w:name w:val="Viñetas"/>
    <w:qFormat/>
    <w:rPr>
      <w:rFonts w:ascii="OpenSymbol;Arial Unicode MS" w:hAnsi="OpenSymbol;Arial Unicode MS" w:eastAsia="OpenSymbol;Arial Unicode MS" w:cs="OpenSymbol;Arial Unicode M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uerpodetexto">
    <w:name w:val="Body Text"/>
    <w:basedOn w:val="Normal"/>
    <w:pPr>
      <w:tabs>
        <w:tab w:val="clear" w:pos="708"/>
        <w:tab w:val="left" w:pos="6363" w:leader="none"/>
      </w:tabs>
    </w:pPr>
    <w:rPr>
      <w:rFonts w:ascii="Arial" w:hAnsi="Arial" w:cs="Arial"/>
      <w:sz w:val="24"/>
    </w:rPr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palament">
    <w:name w:val="Encapçalament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legenda">
    <w:name w:val="Llegenda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Mangal"/>
    </w:rPr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Mapadeldocumento">
    <w:name w:val="Mapa del documento"/>
    <w:basedOn w:val="Normal"/>
    <w:qFormat/>
    <w:pPr>
      <w:shd w:fill="000080" w:val="clear"/>
    </w:pPr>
    <w:rPr>
      <w:rFonts w:ascii="Tahoma" w:hAnsi="Tahoma" w:cs="Tahoma"/>
    </w:rPr>
  </w:style>
  <w:style w:type="paragraph" w:styleId="Cuerpodetextoconsangra">
    <w:name w:val="Body Text Indent"/>
    <w:basedOn w:val="Normal"/>
    <w:pPr>
      <w:ind w:left="0" w:right="0" w:firstLine="426"/>
    </w:pPr>
    <w:rPr/>
  </w:style>
  <w:style w:type="paragraph" w:styleId="Listaconvietas">
    <w:name w:val="Lista con viñetas"/>
    <w:basedOn w:val="Normal"/>
    <w:qFormat/>
    <w:pPr>
      <w:numPr>
        <w:ilvl w:val="0"/>
        <w:numId w:val="3"/>
      </w:numPr>
      <w:tabs>
        <w:tab w:val="clear" w:pos="708"/>
        <w:tab w:val="left" w:pos="360" w:leader="none"/>
      </w:tabs>
      <w:autoSpaceDE w:val="false"/>
    </w:pPr>
    <w:rPr/>
  </w:style>
  <w:style w:type="paragraph" w:styleId="Listaconvietas2">
    <w:name w:val="Lista con viñetas 2"/>
    <w:basedOn w:val="Normal"/>
    <w:qFormat/>
    <w:pPr>
      <w:numPr>
        <w:ilvl w:val="0"/>
        <w:numId w:val="2"/>
      </w:numPr>
      <w:tabs>
        <w:tab w:val="clear" w:pos="708"/>
        <w:tab w:val="left" w:pos="643" w:leader="none"/>
      </w:tabs>
      <w:autoSpaceDE w:val="false"/>
    </w:pPr>
    <w:rPr/>
  </w:style>
  <w:style w:type="paragraph" w:styleId="NNormal">
    <w:name w:val="N/ Normal"/>
    <w:qFormat/>
    <w:pPr>
      <w:widowControl w:val="false"/>
      <w:suppressAutoHyphens w:val="true"/>
      <w:snapToGrid w:val="false"/>
      <w:spacing w:lineRule="atLeast" w:line="220" w:before="0" w:after="100"/>
      <w:jc w:val="both"/>
    </w:pPr>
    <w:rPr>
      <w:rFonts w:ascii="Times-Parlament;Times New Roman" w:hAnsi="Times-Parlament;Times New Roman" w:eastAsia="Times New Roman" w:cs="Times-Parlament;Times New Roman"/>
      <w:color w:val="000000"/>
      <w:sz w:val="20"/>
      <w:szCs w:val="20"/>
      <w:lang w:val="es-ES" w:eastAsia="zh-CN" w:bidi="ar-SA"/>
    </w:rPr>
  </w:style>
  <w:style w:type="paragraph" w:styleId="NTtolsecundari">
    <w:name w:val="N/ Títol secundari"/>
    <w:basedOn w:val="NNormal"/>
    <w:next w:val="NNormal"/>
    <w:qFormat/>
    <w:pPr>
      <w:tabs>
        <w:tab w:val="clear" w:pos="708"/>
        <w:tab w:val="right" w:pos="4280" w:leader="none"/>
      </w:tabs>
      <w:spacing w:before="80" w:after="80"/>
    </w:pPr>
    <w:rPr>
      <w:smallCaps/>
      <w:color w:val="000000"/>
    </w:rPr>
  </w:style>
  <w:style w:type="paragraph" w:styleId="Textoindependiente2">
    <w:name w:val="Texto independiente 2"/>
    <w:basedOn w:val="Normal"/>
    <w:qFormat/>
    <w:pPr>
      <w:jc w:val="both"/>
    </w:pPr>
    <w:rPr>
      <w:rFonts w:ascii="Arial" w:hAnsi="Arial" w:cs="Arial"/>
      <w:sz w:val="22"/>
    </w:rPr>
  </w:style>
  <w:style w:type="paragraph" w:styleId="Normal1">
    <w:name w:val="[Normal]"/>
    <w:qFormat/>
    <w:pPr>
      <w:widowControl w:val="false"/>
      <w:suppressAutoHyphens w:val="true"/>
      <w:autoSpaceDE w:val="false"/>
    </w:pPr>
    <w:rPr>
      <w:rFonts w:ascii="Arial" w:hAnsi="Arial" w:eastAsia="Times New Roman" w:cs="Arial"/>
      <w:color w:val="auto"/>
      <w:sz w:val="24"/>
      <w:szCs w:val="24"/>
      <w:lang w:val="es-ES" w:eastAsia="zh-CN" w:bidi="ar-SA"/>
    </w:rPr>
  </w:style>
  <w:style w:type="paragraph" w:styleId="WWCuerpodetexto">
    <w:name w:val="WW-Cuerpo de texto"/>
    <w:basedOn w:val="Normal"/>
    <w:qFormat/>
    <w:pPr>
      <w:autoSpaceDE w:val="false"/>
      <w:jc w:val="both"/>
    </w:pPr>
    <w:rPr>
      <w:rFonts w:ascii="Arial" w:hAnsi="Arial" w:cs="Arial"/>
      <w:sz w:val="24"/>
      <w:szCs w:val="24"/>
    </w:rPr>
  </w:style>
  <w:style w:type="paragraph" w:styleId="Western">
    <w:name w:val="western"/>
    <w:basedOn w:val="Normal"/>
    <w:qFormat/>
    <w:pPr>
      <w:spacing w:before="100" w:after="0"/>
    </w:pPr>
    <w:rPr>
      <w:rFonts w:eastAsia="Arial Unicode MS" w:cs="Arial"/>
      <w:color w:val="000000"/>
      <w:sz w:val="24"/>
      <w:szCs w:val="24"/>
    </w:rPr>
  </w:style>
  <w:style w:type="paragraph" w:styleId="Contingutdelmarc">
    <w:name w:val="Contingut del marc"/>
    <w:basedOn w:val="Normal"/>
    <w:qFormat/>
    <w:pPr/>
    <w:rPr/>
  </w:style>
  <w:style w:type="paragraph" w:styleId="Contenidodelmarco">
    <w:name w:val="Contenido del marco"/>
    <w:basedOn w:val="Normal"/>
    <w:qFormat/>
    <w:pPr/>
    <w:rPr/>
  </w:style>
  <w:style w:type="paragraph" w:styleId="Textopreformateado">
    <w:name w:val="Texto preformateado"/>
    <w:basedOn w:val="Normal"/>
    <w:qFormat/>
    <w:pPr>
      <w:spacing w:before="0" w:after="0"/>
    </w:pPr>
    <w:rPr>
      <w:rFonts w:ascii="Liberation Mono;Courier New" w:hAnsi="Liberation Mono;Courier New" w:eastAsia="NSimSun" w:cs="Liberation Mono;Courier New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ap.hacienda.gob.es/bdnstrans/GE/es/convocatorias" TargetMode="External"/><Relationship Id="rId3" Type="http://schemas.openxmlformats.org/officeDocument/2006/relationships/hyperlink" Target="http://www.ajsantlluis.org/tauler/edictes.aspx?Tipo=01&amp;HISTORIC=1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34</TotalTime>
  <Application>LibreOffice/6.1.6.3$Windows_x86 LibreOffice_project/5896ab1714085361c45cf540f76f60673dd96a72</Application>
  <Pages>1</Pages>
  <Words>424</Words>
  <Characters>2343</Characters>
  <CharactersWithSpaces>2753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2019-02-15T14:31:00Z</dcterms:created>
  <dc:creator>Toni</dc:creator>
  <dc:description/>
  <dc:language>es-ES</dc:language>
  <cp:lastModifiedBy/>
  <cp:lastPrinted>2019-05-14T12:19:00Z</cp:lastPrinted>
  <dcterms:modified xsi:type="dcterms:W3CDTF">2020-07-03T08:30:02Z</dcterms:modified>
  <cp:revision>10</cp:revision>
  <dc:subject/>
  <dc:title>Adreça / Dirección</dc:title>
</cp:coreProperties>
</file>