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Bdr>
          <w:top w:val="single" w:sz="8" w:space="1" w:color="000000"/>
          <w:left w:val="single" w:sz="8" w:space="0" w:color="000000"/>
          <w:bottom w:val="single" w:sz="8" w:space="1" w:color="000000"/>
          <w:right w:val="single" w:sz="8" w:space="0" w:color="000000"/>
        </w:pBdr>
        <w:tabs>
          <w:tab w:val="clear" w:pos="709"/>
          <w:tab w:val="left" w:pos="1701" w:leader="none"/>
          <w:tab w:val="left" w:pos="1843" w:leader="none"/>
          <w:tab w:val="left" w:pos="3402" w:leader="none"/>
          <w:tab w:val="left" w:pos="3544" w:leader="none"/>
          <w:tab w:val="right" w:pos="9639" w:leader="none"/>
        </w:tabs>
        <w:jc w:val="both"/>
        <w:rPr/>
      </w:pPr>
      <w:r>
        <w:rPr>
          <w:b/>
          <w:lang w:val="eu-ES"/>
        </w:rPr>
        <w:t>Espediente</w:t>
      </w:r>
      <w:r>
        <w:rPr>
          <w:b/>
        </w:rPr>
        <w:t xml:space="preserve"> zk./</w:t>
      </w:r>
      <w:r>
        <w:rPr/>
        <w:t>Nº Expediente</w:t>
      </w:r>
      <w:r>
        <w:rPr>
          <w:b/>
        </w:rPr>
        <w:t>:</w:t>
      </w:r>
      <w:r>
        <w:rPr/>
        <w:t xml:space="preserve"> 2020SDBD0024</w:t>
      </w:r>
    </w:p>
    <w:p>
      <w:pPr>
        <w:pStyle w:val="Normal"/>
        <w:pBdr>
          <w:top w:val="single" w:sz="8" w:space="1" w:color="000000"/>
          <w:left w:val="single" w:sz="8" w:space="0" w:color="000000"/>
          <w:bottom w:val="single" w:sz="8" w:space="1" w:color="000000"/>
          <w:right w:val="single" w:sz="8" w:space="0" w:color="000000"/>
        </w:pBdr>
        <w:tabs>
          <w:tab w:val="clear" w:pos="709"/>
          <w:tab w:val="left" w:pos="1701" w:leader="none"/>
          <w:tab w:val="left" w:pos="1843" w:leader="none"/>
          <w:tab w:val="left" w:pos="3402" w:leader="none"/>
          <w:tab w:val="left" w:pos="3544" w:leader="none"/>
          <w:tab w:val="right" w:pos="9639" w:leader="none"/>
        </w:tabs>
        <w:jc w:val="both"/>
        <w:rPr/>
      </w:pPr>
      <w:r>
        <w:rPr>
          <w:b/>
          <w:lang w:val="eu-ES"/>
        </w:rPr>
        <w:t>Gaia</w:t>
      </w:r>
      <w:r>
        <w:rPr>
          <w:b/>
        </w:rPr>
        <w:t>/</w:t>
      </w:r>
      <w:r>
        <w:rPr/>
        <w:t>Asunto</w:t>
      </w:r>
      <w:r>
        <w:rPr>
          <w:b/>
        </w:rPr>
        <w:t xml:space="preserve">: </w:t>
      </w:r>
      <w:r>
        <w:rPr/>
        <w:t xml:space="preserve"> Koldo Mitxelena XV. Ikerketa Beka (2020).</w:t>
      </w:r>
      <w:r>
        <w:rPr>
          <w:lang w:val="es-ES" w:eastAsia="es-ES"/>
        </w:rPr>
        <w:t xml:space="preserve"> XV Beca de Investigación Koldo Mitxelena (2020).</w:t>
      </w:r>
    </w:p>
    <w:p>
      <w:pPr>
        <w:pStyle w:val="Normal"/>
        <w:pBdr>
          <w:top w:val="single" w:sz="8" w:space="1" w:color="000000"/>
          <w:left w:val="single" w:sz="8" w:space="0" w:color="000000"/>
          <w:bottom w:val="single" w:sz="8" w:space="1" w:color="000000"/>
          <w:right w:val="single" w:sz="8" w:space="0" w:color="000000"/>
        </w:pBdr>
        <w:tabs>
          <w:tab w:val="clear" w:pos="709"/>
          <w:tab w:val="left" w:pos="1701" w:leader="none"/>
          <w:tab w:val="right" w:pos="9639" w:leader="none"/>
        </w:tabs>
        <w:jc w:val="both"/>
        <w:rPr/>
      </w:pPr>
      <w:r>
        <w:rPr>
          <w:b/>
          <w:lang w:val="eu-ES"/>
        </w:rPr>
        <w:t>Kokalekua</w:t>
      </w:r>
      <w:r>
        <w:rPr>
          <w:b/>
        </w:rPr>
        <w:t>/</w:t>
      </w:r>
      <w:r>
        <w:rPr/>
        <w:t>Emplazamiento</w:t>
      </w:r>
      <w:r>
        <w:rPr>
          <w:b/>
        </w:rPr>
        <w:t>:</w:t>
      </w:r>
      <w:r>
        <w:rPr/>
        <w:t xml:space="preserve"> ERRENTERIA</w:t>
      </w:r>
    </w:p>
    <w:p>
      <w:pPr>
        <w:pStyle w:val="Normal"/>
        <w:rPr/>
      </w:pPr>
      <w:r>
        <w:rPr/>
      </w:r>
    </w:p>
    <w:tbl>
      <w:tblPr>
        <w:tblW w:w="10206" w:type="dxa"/>
        <w:jc w:val="center"/>
        <w:tblInd w:w="0" w:type="dxa"/>
        <w:tblBorders/>
        <w:tblCellMar>
          <w:top w:w="57" w:type="dxa"/>
          <w:left w:w="170" w:type="dxa"/>
          <w:bottom w:w="57" w:type="dxa"/>
          <w:right w:w="170" w:type="dxa"/>
        </w:tblCellMar>
      </w:tblPr>
      <w:tblGrid>
        <w:gridCol w:w="5103"/>
        <w:gridCol w:w="5103"/>
      </w:tblGrid>
      <w:tr>
        <w:trPr/>
        <w:tc>
          <w:tcPr>
            <w:tcW w:w="5103" w:type="dxa"/>
            <w:tcBorders/>
            <w:shd w:fill="auto" w:val="clear"/>
            <w:vAlign w:val="center"/>
          </w:tcPr>
          <w:p>
            <w:pPr>
              <w:pStyle w:val="Zzactasarial10"/>
              <w:snapToGrid w:val="false"/>
              <w:spacing w:before="100" w:after="100"/>
              <w:ind w:left="0" w:right="0" w:hanging="0"/>
              <w:jc w:val="center"/>
              <w:rPr>
                <w:b/>
                <w:b/>
              </w:rPr>
            </w:pPr>
            <w:r>
              <w:rPr>
                <w:b/>
              </w:rPr>
              <w:t>DEIALDIA</w:t>
            </w:r>
          </w:p>
        </w:tc>
        <w:tc>
          <w:tcPr>
            <w:tcW w:w="5103" w:type="dxa"/>
            <w:tcBorders/>
            <w:shd w:fill="auto" w:val="clear"/>
            <w:vAlign w:val="center"/>
          </w:tcPr>
          <w:p>
            <w:pPr>
              <w:pStyle w:val="Contenidodelatabla"/>
              <w:snapToGrid w:val="false"/>
              <w:spacing w:lineRule="auto" w:line="312" w:before="100" w:after="100"/>
              <w:jc w:val="center"/>
              <w:rPr>
                <w:b/>
                <w:b/>
              </w:rPr>
            </w:pPr>
            <w:r>
              <w:rPr>
                <w:b/>
              </w:rPr>
              <w:t>CONVOCATORIA</w:t>
            </w:r>
          </w:p>
        </w:tc>
      </w:tr>
      <w:tr>
        <w:trPr/>
        <w:tc>
          <w:tcPr>
            <w:tcW w:w="5103" w:type="dxa"/>
            <w:tcBorders/>
            <w:shd w:fill="auto" w:val="clear"/>
          </w:tcPr>
          <w:p>
            <w:pPr>
              <w:pStyle w:val="Subttulo"/>
              <w:spacing w:lineRule="auto" w:line="312" w:before="100" w:after="100"/>
              <w:jc w:val="both"/>
              <w:rPr/>
            </w:pPr>
            <w:r>
              <w:rPr>
                <w:i w:val="false"/>
                <w:sz w:val="20"/>
                <w:szCs w:val="20"/>
              </w:rPr>
              <w:t xml:space="preserve">2020 urtean emango diren Agiritegia eta Argitalpenak saileko diru-laguntzen deialdia. Diru-laguntza lerroa: </w:t>
            </w:r>
            <w:r>
              <w:rPr>
                <w:rFonts w:cs="Arial"/>
                <w:i w:val="false"/>
                <w:sz w:val="20"/>
                <w:szCs w:val="20"/>
              </w:rPr>
              <w:t>Koldo Mitxelena XV. Ikerketa Beka 2020</w:t>
            </w:r>
            <w:r>
              <w:rPr>
                <w:i w:val="false"/>
                <w:sz w:val="20"/>
                <w:szCs w:val="20"/>
              </w:rPr>
              <w:t>. BDNS identif.: ________.</w:t>
            </w:r>
          </w:p>
        </w:tc>
        <w:tc>
          <w:tcPr>
            <w:tcW w:w="5103" w:type="dxa"/>
            <w:tcBorders/>
            <w:shd w:fill="auto" w:val="clear"/>
          </w:tcPr>
          <w:p>
            <w:pPr>
              <w:pStyle w:val="Western1"/>
              <w:spacing w:lineRule="auto" w:line="312" w:before="100" w:after="100"/>
              <w:jc w:val="both"/>
              <w:rPr>
                <w:iCs/>
                <w:color w:val="000000"/>
                <w:sz w:val="20"/>
                <w:szCs w:val="20"/>
              </w:rPr>
            </w:pPr>
            <w:r>
              <w:rPr>
                <w:iCs/>
                <w:color w:val="000000"/>
                <w:sz w:val="20"/>
                <w:szCs w:val="20"/>
              </w:rPr>
              <w:t>Convocatoria para la concesión de subvenciones del área de Archivo y Publicaciones correspondientes al año 2020. Línea de subvención: XV. Koldo Mitxelena Ikerketa Beka 2020. BDNS identif: _____.</w:t>
            </w:r>
          </w:p>
        </w:tc>
      </w:tr>
      <w:tr>
        <w:trPr/>
        <w:tc>
          <w:tcPr>
            <w:tcW w:w="5103" w:type="dxa"/>
            <w:tcBorders/>
            <w:shd w:fill="auto" w:val="clear"/>
          </w:tcPr>
          <w:p>
            <w:pPr>
              <w:pStyle w:val="Subttulo"/>
              <w:spacing w:lineRule="auto" w:line="312" w:before="100" w:after="100"/>
              <w:jc w:val="both"/>
              <w:rPr>
                <w:i w:val="false"/>
                <w:i w:val="false"/>
                <w:sz w:val="20"/>
                <w:szCs w:val="20"/>
              </w:rPr>
            </w:pPr>
            <w:r>
              <w:rPr>
                <w:i w:val="false"/>
                <w:sz w:val="20"/>
                <w:szCs w:val="20"/>
              </w:rPr>
              <w:t>Azaroaren 17ko Diru-laguntzen 38/2003 Lege Orokorraren 17.3.b eta 20.8.a artikuluetan xedatutakoaren arabera, deialdiaren laburpena argitaratzen da. Horren testu osoa Diru-laguntzen Datu-Base Nazionalean  kontsulta daiteke, goiburuan zehazten den erreferentzia zenbakiarekin   (http://www.pap.minhafp.gob.es/bdnstrans/GE/es/index).</w:t>
            </w:r>
          </w:p>
        </w:tc>
        <w:tc>
          <w:tcPr>
            <w:tcW w:w="5103" w:type="dxa"/>
            <w:tcBorders/>
            <w:shd w:fill="auto" w:val="clear"/>
          </w:tcPr>
          <w:p>
            <w:pPr>
              <w:pStyle w:val="Western1"/>
              <w:spacing w:lineRule="auto" w:line="312" w:before="100" w:after="100"/>
              <w:jc w:val="both"/>
              <w:rPr>
                <w:color w:val="000000"/>
                <w:sz w:val="20"/>
                <w:szCs w:val="20"/>
              </w:rPr>
            </w:pPr>
            <w:r>
              <w:rPr>
                <w:color w:val="000000"/>
                <w:sz w:val="20"/>
                <w:szCs w:val="20"/>
              </w:rPr>
              <w:t>De conformidad con lo previsto en los artículos 17.3.b y 20.8.a de la Ley 38/2003, de 17 de noviembre, General de Subvenciones, se publica el extracto de la convocatoria cuyo texto completo puede consultarse en la Base de Datos Nacional de Subvenciones, con la referencia indicada en el encabezamiento (http://www.pap.minhafp.gob.es/bdnstrans/GE/es/index).</w:t>
            </w:r>
          </w:p>
        </w:tc>
      </w:tr>
      <w:tr>
        <w:trPr/>
        <w:tc>
          <w:tcPr>
            <w:tcW w:w="5103" w:type="dxa"/>
            <w:tcBorders/>
            <w:shd w:fill="auto" w:val="clear"/>
          </w:tcPr>
          <w:p>
            <w:pPr>
              <w:pStyle w:val="Subttulo"/>
              <w:spacing w:lineRule="auto" w:line="312" w:before="100" w:after="100"/>
              <w:jc w:val="both"/>
              <w:rPr/>
            </w:pPr>
            <w:r>
              <w:rPr>
                <w:rFonts w:eastAsia="Times New Roman" w:cs="Times New Roman"/>
                <w:i w:val="false"/>
                <w:iCs w:val="false"/>
                <w:sz w:val="20"/>
                <w:szCs w:val="20"/>
              </w:rPr>
              <w:t>Agiritegia eta Argitalpenak saileko zinegotzi delegatuak, 2020ko uztailaren 07an, dekretu zka. 1398,</w:t>
            </w:r>
            <w:r>
              <w:rPr>
                <w:rFonts w:eastAsia="Times New Roman" w:cs="Times New Roman"/>
                <w:i w:val="false"/>
                <w:iCs w:val="false"/>
                <w:color w:val="000000"/>
                <w:sz w:val="20"/>
                <w:szCs w:val="20"/>
              </w:rPr>
              <w:t xml:space="preserve"> ebazpenean jasotzen diren diru-laguntzak ematea arautzen du</w:t>
            </w:r>
            <w:r>
              <w:rPr>
                <w:rFonts w:eastAsia="Times New Roman" w:cs="Times New Roman"/>
                <w:i w:val="false"/>
                <w:iCs w:val="false"/>
                <w:color w:val="0000FF"/>
                <w:sz w:val="20"/>
                <w:szCs w:val="20"/>
              </w:rPr>
              <w:t>t</w:t>
            </w:r>
            <w:r>
              <w:rPr>
                <w:rFonts w:eastAsia="Times New Roman" w:cs="Times New Roman"/>
                <w:i w:val="false"/>
                <w:iCs w:val="false"/>
                <w:color w:val="000000"/>
                <w:sz w:val="20"/>
                <w:szCs w:val="20"/>
              </w:rPr>
              <w:t xml:space="preserve">en </w:t>
            </w:r>
            <w:r>
              <w:rPr>
                <w:rFonts w:eastAsia="Times New Roman" w:cs="Times New Roman"/>
                <w:i w:val="false"/>
                <w:iCs w:val="false"/>
                <w:color w:val="0000FF"/>
                <w:sz w:val="20"/>
                <w:szCs w:val="20"/>
              </w:rPr>
              <w:t xml:space="preserve">oinarri orokorrak eta </w:t>
            </w:r>
            <w:r>
              <w:rPr>
                <w:rFonts w:eastAsia="Times New Roman" w:cs="Times New Roman"/>
                <w:i w:val="false"/>
                <w:iCs w:val="false"/>
                <w:color w:val="000000"/>
                <w:sz w:val="20"/>
                <w:szCs w:val="20"/>
              </w:rPr>
              <w:t xml:space="preserve">deialdia onartzea  erabaki du:  </w:t>
            </w:r>
            <w:r>
              <w:rPr>
                <w:rFonts w:eastAsia="Times New Roman" w:cs="Arial"/>
                <w:i w:val="false"/>
                <w:iCs w:val="false"/>
                <w:color w:val="000000"/>
                <w:sz w:val="20"/>
                <w:szCs w:val="20"/>
              </w:rPr>
              <w:t>Koldo Mitxelena XV. Ikerketa Beka (2020).</w:t>
            </w:r>
          </w:p>
        </w:tc>
        <w:tc>
          <w:tcPr>
            <w:tcW w:w="5103" w:type="dxa"/>
            <w:tcBorders/>
            <w:shd w:fill="auto" w:val="clear"/>
          </w:tcPr>
          <w:p>
            <w:pPr>
              <w:pStyle w:val="Normal"/>
              <w:spacing w:lineRule="auto" w:line="312" w:before="100" w:after="100"/>
              <w:jc w:val="both"/>
              <w:rPr/>
            </w:pPr>
            <w:r>
              <w:rPr/>
              <w:t>El concejal delegado de Archivo y Publicaciones, con fecha 07 de julio de 2020, n.º decreto 1398</w:t>
            </w:r>
            <w:r>
              <w:rPr>
                <w:color w:val="000000"/>
              </w:rPr>
              <w:t xml:space="preserve">, ha resuelto </w:t>
            </w:r>
            <w:r>
              <w:rPr/>
              <w:t xml:space="preserve">aprobar </w:t>
            </w:r>
            <w:r>
              <w:rPr>
                <w:color w:val="0000FF"/>
              </w:rPr>
              <w:t>las bases generales y</w:t>
            </w:r>
            <w:r>
              <w:rPr/>
              <w:t xml:space="preserve"> la </w:t>
            </w:r>
            <w:r>
              <w:rPr>
                <w:color w:val="000000"/>
              </w:rPr>
              <w:t xml:space="preserve">convocatoria para la concesión de las subvenciones que se contemplan en dicha resolución:  </w:t>
            </w:r>
            <w:r>
              <w:rPr>
                <w:rFonts w:cs="Arial"/>
                <w:color w:val="000000"/>
              </w:rPr>
              <w:t>XV Beca de Investigación Koldo Mitxelena (2020).</w:t>
            </w:r>
          </w:p>
        </w:tc>
      </w:tr>
      <w:tr>
        <w:trPr/>
        <w:tc>
          <w:tcPr>
            <w:tcW w:w="5103" w:type="dxa"/>
            <w:tcBorders/>
            <w:shd w:fill="auto" w:val="clear"/>
          </w:tcPr>
          <w:p>
            <w:pPr>
              <w:pStyle w:val="Normal"/>
              <w:spacing w:lineRule="auto" w:line="312" w:before="100" w:after="100"/>
              <w:jc w:val="both"/>
              <w:rPr>
                <w:rFonts w:cs="Arial"/>
              </w:rPr>
            </w:pPr>
            <w:r>
              <w:rPr>
                <w:rFonts w:cs="Arial"/>
              </w:rPr>
              <w:t>Lerro horretarako baimendutako gastua 15.000 eurotakoa da.</w:t>
            </w:r>
          </w:p>
        </w:tc>
        <w:tc>
          <w:tcPr>
            <w:tcW w:w="5103" w:type="dxa"/>
            <w:tcBorders/>
            <w:shd w:fill="auto" w:val="clear"/>
          </w:tcPr>
          <w:p>
            <w:pPr>
              <w:pStyle w:val="Normal"/>
              <w:spacing w:lineRule="auto" w:line="312" w:before="100" w:after="100"/>
              <w:jc w:val="both"/>
              <w:rPr>
                <w:rFonts w:cs="Arial"/>
              </w:rPr>
            </w:pPr>
            <w:r>
              <w:rPr>
                <w:rFonts w:cs="Arial"/>
              </w:rPr>
              <w:t>El gasto autorizado para dicha línea de subvención es de 15.000 euros.</w:t>
            </w:r>
          </w:p>
        </w:tc>
      </w:tr>
      <w:tr>
        <w:trPr/>
        <w:tc>
          <w:tcPr>
            <w:tcW w:w="5103" w:type="dxa"/>
            <w:tcBorders/>
            <w:shd w:fill="auto" w:val="clear"/>
          </w:tcPr>
          <w:p>
            <w:pPr>
              <w:pStyle w:val="Normal"/>
              <w:spacing w:lineRule="auto" w:line="312" w:before="100" w:after="100"/>
              <w:jc w:val="both"/>
              <w:rPr/>
            </w:pPr>
            <w:r>
              <w:rPr/>
              <w:t>Eskaerak aurkezteko 2020ko irailaren 1etik 2020ko urriaren 31a bitarte izango da.</w:t>
            </w:r>
          </w:p>
        </w:tc>
        <w:tc>
          <w:tcPr>
            <w:tcW w:w="5103" w:type="dxa"/>
            <w:tcBorders/>
            <w:shd w:fill="auto" w:val="clear"/>
          </w:tcPr>
          <w:p>
            <w:pPr>
              <w:pStyle w:val="Normal"/>
              <w:spacing w:lineRule="auto" w:line="312" w:before="100" w:after="100"/>
              <w:jc w:val="both"/>
              <w:rPr/>
            </w:pPr>
            <w:r>
              <w:rPr/>
              <w:t>El plazo de presentación de solicitudes será del 1 de septiembre de 2020 al 31 de octubre de 2020.</w:t>
            </w:r>
          </w:p>
        </w:tc>
      </w:tr>
      <w:tr>
        <w:trPr/>
        <w:tc>
          <w:tcPr>
            <w:tcW w:w="5103" w:type="dxa"/>
            <w:tcBorders/>
            <w:shd w:fill="auto" w:val="clear"/>
          </w:tcPr>
          <w:p>
            <w:pPr>
              <w:pStyle w:val="Subttulo"/>
              <w:spacing w:lineRule="auto" w:line="312" w:before="100" w:after="100"/>
              <w:jc w:val="both"/>
              <w:rPr/>
            </w:pPr>
            <w:r>
              <w:rPr>
                <w:i w:val="false"/>
                <w:sz w:val="20"/>
                <w:szCs w:val="20"/>
              </w:rPr>
              <w:t>Pertsona edo kolektibo interesdunek Udalaren web orrian  (</w:t>
            </w:r>
            <w:r>
              <w:rPr>
                <w:rStyle w:val="Fuentedeprrafopredeter1"/>
                <w:i/>
                <w:sz w:val="20"/>
                <w:szCs w:val="20"/>
              </w:rPr>
              <w:t>http://www.errenteria.eus</w:t>
            </w:r>
            <w:r>
              <w:rPr>
                <w:i w:val="false"/>
                <w:sz w:val="20"/>
                <w:szCs w:val="20"/>
              </w:rPr>
              <w:t>) eta Agiritegia eta Argitalpenak</w:t>
            </w:r>
            <w:r>
              <w:rPr>
                <w:i w:val="false"/>
                <w:color w:val="0000FF"/>
                <w:sz w:val="20"/>
                <w:szCs w:val="20"/>
              </w:rPr>
              <w:t xml:space="preserve"> </w:t>
            </w:r>
            <w:r>
              <w:rPr>
                <w:i w:val="false"/>
                <w:sz w:val="20"/>
                <w:szCs w:val="20"/>
              </w:rPr>
              <w:t xml:space="preserve">sailean (tfnoa 943 </w:t>
            </w:r>
            <w:r>
              <w:rPr>
                <w:i w:val="false"/>
                <w:color w:val="0000FF"/>
                <w:sz w:val="20"/>
                <w:szCs w:val="20"/>
              </w:rPr>
              <w:t>449610</w:t>
            </w:r>
            <w:r>
              <w:rPr>
                <w:i w:val="false"/>
                <w:sz w:val="20"/>
                <w:szCs w:val="20"/>
              </w:rPr>
              <w:t xml:space="preserve"> posta elektronikoa artxiboa</w:t>
            </w:r>
            <w:r>
              <w:rPr>
                <w:i w:val="false"/>
                <w:color w:val="0000FF"/>
                <w:sz w:val="20"/>
                <w:szCs w:val="20"/>
              </w:rPr>
              <w:t>@errenteria.eus</w:t>
            </w:r>
            <w:r>
              <w:rPr>
                <w:i w:val="false"/>
                <w:sz w:val="20"/>
                <w:szCs w:val="20"/>
              </w:rPr>
              <w:t>) aurkituko dute informazio xehatua.</w:t>
            </w:r>
          </w:p>
        </w:tc>
        <w:tc>
          <w:tcPr>
            <w:tcW w:w="5103" w:type="dxa"/>
            <w:tcBorders/>
            <w:shd w:fill="auto" w:val="clear"/>
          </w:tcPr>
          <w:p>
            <w:pPr>
              <w:pStyle w:val="Western1"/>
              <w:spacing w:lineRule="auto" w:line="312" w:before="100" w:after="100"/>
              <w:jc w:val="both"/>
              <w:rPr/>
            </w:pPr>
            <w:r>
              <w:rPr>
                <w:color w:val="000000"/>
                <w:sz w:val="20"/>
                <w:szCs w:val="20"/>
              </w:rPr>
              <w:t>La información detallada se encuentra a disposición de las personas o colectivos interesados en la página web del ayuntamiento (http://www.errenteria.eus) y en el área de Archivo y Publicaciones</w:t>
            </w:r>
            <w:r>
              <w:rPr>
                <w:color w:val="0000FF"/>
                <w:sz w:val="20"/>
                <w:szCs w:val="20"/>
              </w:rPr>
              <w:t xml:space="preserve"> </w:t>
            </w:r>
            <w:r>
              <w:rPr>
                <w:color w:val="000000"/>
                <w:sz w:val="20"/>
                <w:szCs w:val="20"/>
              </w:rPr>
              <w:t>(teléfono 943</w:t>
            </w:r>
            <w:r>
              <w:rPr>
                <w:color w:val="0000FF"/>
                <w:sz w:val="20"/>
                <w:szCs w:val="20"/>
              </w:rPr>
              <w:t>449610</w:t>
            </w:r>
            <w:r>
              <w:rPr>
                <w:color w:val="000000"/>
                <w:sz w:val="20"/>
                <w:szCs w:val="20"/>
              </w:rPr>
              <w:t>; dirección electrónica artxiboa</w:t>
            </w:r>
            <w:r>
              <w:rPr>
                <w:color w:val="0000FF"/>
                <w:sz w:val="20"/>
                <w:szCs w:val="20"/>
              </w:rPr>
              <w:t>@errenteria.eus</w:t>
            </w:r>
            <w:r>
              <w:rPr>
                <w:color w:val="000000"/>
                <w:sz w:val="20"/>
                <w:szCs w:val="20"/>
              </w:rPr>
              <w:t>).</w:t>
            </w:r>
          </w:p>
        </w:tc>
      </w:tr>
      <w:tr>
        <w:trPr/>
        <w:tc>
          <w:tcPr>
            <w:tcW w:w="5103" w:type="dxa"/>
            <w:tcBorders/>
            <w:shd w:fill="auto" w:val="clear"/>
          </w:tcPr>
          <w:p>
            <w:pPr>
              <w:pStyle w:val="Contenidodelatabla"/>
              <w:snapToGrid w:val="false"/>
              <w:spacing w:lineRule="auto" w:line="312" w:before="100" w:after="100"/>
              <w:jc w:val="center"/>
              <w:rPr>
                <w:lang w:val="eu-ES"/>
              </w:rPr>
            </w:pPr>
            <w:r>
              <w:rPr>
                <w:lang w:val="eu-ES"/>
              </w:rPr>
              <w:t>Errenteria, 2020ko uztailaren 08a</w:t>
            </w:r>
          </w:p>
        </w:tc>
        <w:tc>
          <w:tcPr>
            <w:tcW w:w="5103" w:type="dxa"/>
            <w:tcBorders/>
            <w:shd w:fill="auto" w:val="clear"/>
          </w:tcPr>
          <w:p>
            <w:pPr>
              <w:pStyle w:val="Contenidodelatabla"/>
              <w:snapToGrid w:val="false"/>
              <w:spacing w:lineRule="auto" w:line="312" w:before="100" w:after="100"/>
              <w:jc w:val="center"/>
              <w:rPr>
                <w:lang w:val="eu-ES"/>
              </w:rPr>
            </w:pPr>
            <w:r>
              <w:rPr>
                <w:lang w:val="eu-ES"/>
              </w:rPr>
              <w:t>Errenteria, 08 de julio de 2020</w:t>
            </w:r>
          </w:p>
        </w:tc>
      </w:tr>
      <w:tr>
        <w:trPr>
          <w:trHeight w:val="515" w:hRule="atLeast"/>
        </w:trPr>
        <w:tc>
          <w:tcPr>
            <w:tcW w:w="10206" w:type="dxa"/>
            <w:gridSpan w:val="2"/>
            <w:tcBorders/>
            <w:shd w:fill="auto" w:val="clear"/>
          </w:tcPr>
          <w:p>
            <w:pPr>
              <w:pStyle w:val="Western"/>
              <w:suppressAutoHyphens w:val="true"/>
              <w:spacing w:lineRule="auto" w:line="312" w:before="100" w:after="100"/>
              <w:jc w:val="center"/>
              <w:rPr>
                <w:color w:val="000000"/>
                <w:sz w:val="20"/>
                <w:szCs w:val="20"/>
                <w:lang w:val="eu-ES"/>
              </w:rPr>
            </w:pPr>
            <w:r>
              <w:rPr>
                <w:color w:val="000000"/>
                <w:sz w:val="20"/>
                <w:szCs w:val="20"/>
                <w:lang w:val="eu-ES"/>
              </w:rPr>
              <w:t>Alkateordea</w:t>
            </w:r>
          </w:p>
        </w:tc>
      </w:tr>
      <w:tr>
        <w:trPr>
          <w:trHeight w:val="434" w:hRule="atLeast"/>
        </w:trPr>
        <w:tc>
          <w:tcPr>
            <w:tcW w:w="10206" w:type="dxa"/>
            <w:gridSpan w:val="2"/>
            <w:tcBorders/>
            <w:shd w:fill="auto" w:val="clear"/>
          </w:tcPr>
          <w:p>
            <w:pPr>
              <w:pStyle w:val="Western"/>
              <w:suppressAutoHyphens w:val="true"/>
              <w:spacing w:lineRule="auto" w:line="312" w:before="100" w:after="100"/>
              <w:jc w:val="center"/>
              <w:rPr>
                <w:color w:val="000000"/>
                <w:sz w:val="20"/>
                <w:szCs w:val="20"/>
                <w:lang w:val="eu-ES"/>
              </w:rPr>
            </w:pPr>
            <w:r>
              <w:rPr>
                <w:color w:val="000000"/>
                <w:sz w:val="20"/>
                <w:szCs w:val="20"/>
                <w:lang w:val="eu-ES"/>
              </w:rPr>
              <w:t>Alazne Korta Zulaika</w:t>
            </w:r>
          </w:p>
        </w:tc>
      </w:tr>
    </w:tbl>
    <w:p>
      <w:pPr>
        <w:pStyle w:val="Normal"/>
        <w:rPr>
          <w:sz w:val="16"/>
          <w:szCs w:val="16"/>
        </w:rPr>
      </w:pPr>
      <w:r>
        <w:rPr>
          <w:sz w:val="16"/>
          <w:szCs w:val="16"/>
        </w:rPr>
      </w:r>
    </w:p>
    <w:sectPr>
      <w:headerReference w:type="default" r:id="rId2"/>
      <w:footerReference w:type="default" r:id="rId3"/>
      <w:type w:val="nextPage"/>
      <w:pgSz w:w="11906" w:h="16838"/>
      <w:pgMar w:left="850" w:right="850" w:header="720" w:top="2268" w:footer="578" w:bottom="742" w:gutter="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Arimo">
    <w:altName w:val="arial"/>
    <w:charset w:val="8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tbl>
    <w:tblPr>
      <w:tblW w:w="10185" w:type="dxa"/>
      <w:jc w:val="left"/>
      <w:tblInd w:w="0" w:type="dxa"/>
      <w:tblBorders/>
      <w:tblCellMar>
        <w:top w:w="55" w:type="dxa"/>
        <w:left w:w="55" w:type="dxa"/>
        <w:bottom w:w="55" w:type="dxa"/>
        <w:right w:w="55" w:type="dxa"/>
      </w:tblCellMar>
    </w:tblPr>
    <w:tblGrid>
      <w:gridCol w:w="4365"/>
      <w:gridCol w:w="1545"/>
      <w:gridCol w:w="4275"/>
    </w:tblGrid>
    <w:tr>
      <w:trPr/>
      <w:tc>
        <w:tcPr>
          <w:tcW w:w="4365" w:type="dxa"/>
          <w:tcBorders/>
          <w:shd w:fill="auto" w:val="clear"/>
          <w:vAlign w:val="center"/>
        </w:tcPr>
        <w:p>
          <w:pPr>
            <w:pStyle w:val="Normal"/>
            <w:jc w:val="center"/>
            <w:rPr>
              <w:rFonts w:ascii="Times New Roman" w:hAnsi="Times New Roman" w:cs="Times New Roman"/>
              <w:b/>
              <w:b/>
              <w:spacing w:val="20"/>
            </w:rPr>
          </w:pPr>
          <w:r>
            <w:rPr>
              <w:rFonts w:cs="Times New Roman" w:ascii="Times New Roman" w:hAnsi="Times New Roman"/>
              <w:b/>
              <w:spacing w:val="20"/>
            </w:rPr>
            <w:t>ERRENTERIAKO UDALA</w:t>
          </w:r>
        </w:p>
        <w:p>
          <w:pPr>
            <w:pStyle w:val="Normal"/>
            <w:jc w:val="center"/>
            <w:rPr>
              <w:sz w:val="18"/>
              <w:szCs w:val="18"/>
            </w:rPr>
          </w:pPr>
          <w:r>
            <w:rPr>
              <w:sz w:val="18"/>
              <w:szCs w:val="18"/>
            </w:rPr>
            <w:t>Agiritegia eta Argitalpenak</w:t>
          </w:r>
        </w:p>
      </w:tc>
      <w:tc>
        <w:tcPr>
          <w:tcW w:w="1545" w:type="dxa"/>
          <w:tcBorders/>
          <w:shd w:fill="auto" w:val="clear"/>
          <w:vAlign w:val="center"/>
        </w:tcPr>
        <w:p>
          <w:pPr>
            <w:pStyle w:val="Contenidodelatabla"/>
            <w:jc w:val="center"/>
            <w:rPr>
              <w:rFonts w:ascii="Times New Roman" w:hAnsi="Times New Roman" w:cs="Times New Roman"/>
              <w:b/>
              <w:b/>
              <w:spacing w:val="20"/>
            </w:rPr>
          </w:pPr>
          <w:r>
            <w:rPr/>
            <w:drawing>
              <wp:inline distT="0" distB="0" distL="0" distR="0">
                <wp:extent cx="610870" cy="918210"/>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6" t="-4" r="-6" b="-4"/>
                        <a:stretch>
                          <a:fillRect/>
                        </a:stretch>
                      </pic:blipFill>
                      <pic:spPr bwMode="auto">
                        <a:xfrm>
                          <a:off x="0" y="0"/>
                          <a:ext cx="610870" cy="918210"/>
                        </a:xfrm>
                        <a:prstGeom prst="rect">
                          <a:avLst/>
                        </a:prstGeom>
                      </pic:spPr>
                    </pic:pic>
                  </a:graphicData>
                </a:graphic>
              </wp:inline>
            </w:drawing>
          </w:r>
        </w:p>
      </w:tc>
      <w:tc>
        <w:tcPr>
          <w:tcW w:w="4275" w:type="dxa"/>
          <w:tcBorders/>
          <w:shd w:fill="auto" w:val="clear"/>
          <w:vAlign w:val="center"/>
        </w:tcPr>
        <w:p>
          <w:pPr>
            <w:pStyle w:val="Normal"/>
            <w:jc w:val="center"/>
            <w:rPr>
              <w:rFonts w:ascii="Times New Roman" w:hAnsi="Times New Roman" w:cs="Times New Roman"/>
              <w:b/>
              <w:b/>
              <w:spacing w:val="20"/>
            </w:rPr>
          </w:pPr>
          <w:r>
            <w:rPr>
              <w:rFonts w:cs="Times New Roman" w:ascii="Times New Roman" w:hAnsi="Times New Roman"/>
              <w:b/>
              <w:spacing w:val="20"/>
            </w:rPr>
            <w:t>AYUNTAMIENTO DE ERRENTERIA</w:t>
          </w:r>
        </w:p>
        <w:p>
          <w:pPr>
            <w:pStyle w:val="Normal"/>
            <w:jc w:val="center"/>
            <w:rPr>
              <w:rFonts w:ascii="Times New Roman" w:hAnsi="Times New Roman" w:cs="Times New Roman"/>
              <w:sz w:val="18"/>
            </w:rPr>
          </w:pPr>
          <w:r>
            <w:rPr>
              <w:rFonts w:cs="Times New Roman" w:ascii="Times New Roman" w:hAnsi="Times New Roman"/>
              <w:sz w:val="18"/>
            </w:rPr>
            <w:t>Archivo y Publicaciones</w:t>
          </w:r>
        </w:p>
      </w:tc>
    </w:tr>
  </w:tbl>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432" w:hanging="432"/>
      </w:pPr>
      <w:rPr/>
    </w:lvl>
    <w:lvl w:ilvl="1">
      <w:start w:val="1"/>
      <w:pStyle w:val="Ttulo2"/>
      <w:numFmt w:val="none"/>
      <w:suff w:val="nothing"/>
      <w:lvlText w:val=""/>
      <w:lvlJc w:val="left"/>
      <w:pPr>
        <w:ind w:left="576" w:hanging="576"/>
      </w:pPr>
      <w:rPr/>
    </w:lvl>
    <w:lvl w:ilvl="2">
      <w:start w:val="1"/>
      <w:pStyle w:val="Ttulo3"/>
      <w:numFmt w:val="none"/>
      <w:suff w:val="nothing"/>
      <w:lvlText w:val=""/>
      <w:lvlJc w:val="left"/>
      <w:pPr>
        <w:ind w:left="720" w:hanging="720"/>
      </w:pPr>
      <w:rPr/>
    </w:lvl>
    <w:lvl w:ilvl="3">
      <w:start w:val="1"/>
      <w:numFmt w:val="none"/>
      <w:suff w:val="nothing"/>
      <w:lvlText w:val=""/>
      <w:lvlJc w:val="left"/>
      <w:pPr>
        <w:ind w:left="0" w:hanging="0"/>
      </w:pPr>
    </w:lvl>
    <w:lvl w:ilvl="4">
      <w:start w:val="1"/>
      <w:pStyle w:val="Ttulo5"/>
      <w:numFmt w:val="none"/>
      <w:suff w:val="nothing"/>
      <w:lvlText w:val=""/>
      <w:lvlJc w:val="left"/>
      <w:pPr>
        <w:ind w:left="1008" w:hanging="1008"/>
      </w:pPr>
      <w:r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Arial"/>
        <w:szCs w:val="24"/>
        <w:lang w:val="es-ES" w:eastAsia="zh-CN" w:bidi="hi-IN"/>
      </w:rPr>
    </w:rPrDefault>
    <w:pPrDefault>
      <w:pPr/>
    </w:pPrDefault>
  </w:docDefaults>
  <w:style w:type="paragraph" w:styleId="Normal">
    <w:name w:val="Normal"/>
    <w:qFormat/>
    <w:pPr>
      <w:widowControl/>
      <w:suppressAutoHyphens w:val="true"/>
      <w:kinsoku w:val="true"/>
      <w:overflowPunct w:val="true"/>
      <w:autoSpaceDE w:val="true"/>
      <w:bidi w:val="0"/>
    </w:pPr>
    <w:rPr>
      <w:rFonts w:ascii="Arial" w:hAnsi="Arial" w:eastAsia="Times New Roman" w:cs="Times New Roman"/>
      <w:color w:val="auto"/>
      <w:sz w:val="20"/>
      <w:szCs w:val="20"/>
      <w:lang w:val="es-ES" w:eastAsia="zh-CN" w:bidi="ar-SA"/>
    </w:rPr>
  </w:style>
  <w:style w:type="paragraph" w:styleId="Ttulo1">
    <w:name w:val="Heading 1"/>
    <w:basedOn w:val="Cabecera"/>
    <w:next w:val="Cuerpodetexto"/>
    <w:qFormat/>
    <w:pPr>
      <w:numPr>
        <w:ilvl w:val="0"/>
        <w:numId w:val="1"/>
      </w:numPr>
      <w:outlineLvl w:val="0"/>
    </w:pPr>
    <w:rPr>
      <w:b/>
      <w:bCs/>
      <w:sz w:val="23"/>
      <w:szCs w:val="23"/>
    </w:rPr>
  </w:style>
  <w:style w:type="paragraph" w:styleId="Ttulo2">
    <w:name w:val="Heading 2"/>
    <w:basedOn w:val="Cabecera"/>
    <w:next w:val="Cuerpodetexto"/>
    <w:qFormat/>
    <w:pPr>
      <w:numPr>
        <w:ilvl w:val="1"/>
        <w:numId w:val="1"/>
      </w:numPr>
      <w:outlineLvl w:val="1"/>
    </w:pPr>
    <w:rPr>
      <w:b/>
      <w:bCs/>
      <w:i/>
      <w:iCs/>
      <w:sz w:val="28"/>
      <w:szCs w:val="28"/>
    </w:rPr>
  </w:style>
  <w:style w:type="paragraph" w:styleId="Ttulo3">
    <w:name w:val="Heading 3"/>
    <w:basedOn w:val="Cabecera"/>
    <w:next w:val="Cuerpodetexto"/>
    <w:qFormat/>
    <w:pPr>
      <w:numPr>
        <w:ilvl w:val="2"/>
        <w:numId w:val="1"/>
      </w:numPr>
      <w:outlineLvl w:val="2"/>
    </w:pPr>
    <w:rPr>
      <w:b/>
      <w:bCs/>
      <w:sz w:val="28"/>
      <w:szCs w:val="28"/>
    </w:rPr>
  </w:style>
  <w:style w:type="paragraph" w:styleId="Ttulo5">
    <w:name w:val="Heading 5"/>
    <w:basedOn w:val="Cabecera"/>
    <w:next w:val="Cuerpodetexto"/>
    <w:qFormat/>
    <w:pPr>
      <w:numPr>
        <w:ilvl w:val="4"/>
        <w:numId w:val="1"/>
      </w:numPr>
      <w:spacing w:lineRule="auto" w:line="312" w:before="57" w:after="57"/>
      <w:ind w:left="0" w:right="0" w:firstLine="567"/>
      <w:jc w:val="both"/>
      <w:outlineLvl w:val="4"/>
    </w:pPr>
    <w:rPr>
      <w:sz w:val="20"/>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Fuentedeprrafopredeter2">
    <w:name w:val="Fuente de párrafo predeter.2"/>
    <w:qFormat/>
    <w:rPr/>
  </w:style>
  <w:style w:type="character" w:styleId="Fuentedeprrafopredeter1">
    <w:name w:val="Fuente de párrafo predeter.1"/>
    <w:qFormat/>
    <w:rPr/>
  </w:style>
  <w:style w:type="character" w:styleId="EnlacedeInternet">
    <w:name w:val="Enlace de Internet"/>
    <w:basedOn w:val="Fuentedeprrafopredeter2"/>
    <w:rPr>
      <w:color w:val="0000FF"/>
      <w:u w:val="single"/>
    </w:rPr>
  </w:style>
  <w:style w:type="paragraph" w:styleId="Ttulo">
    <w:name w:val="Título"/>
    <w:basedOn w:val="Izenburua"/>
    <w:next w:val="Cuerpodetexto"/>
    <w:qFormat/>
    <w:pPr>
      <w:jc w:val="center"/>
    </w:pPr>
    <w:rPr>
      <w:b/>
      <w:bCs/>
      <w:sz w:val="56"/>
      <w:szCs w:val="56"/>
    </w:rPr>
  </w:style>
  <w:style w:type="paragraph" w:styleId="Cuerpodetexto">
    <w:name w:val="Body Text"/>
    <w:basedOn w:val="Normal"/>
    <w:pPr>
      <w:spacing w:before="0" w:after="120"/>
    </w:pPr>
    <w:rPr/>
  </w:style>
  <w:style w:type="paragraph" w:styleId="Lista">
    <w:name w:val="List"/>
    <w:basedOn w:val="Cuerpodetexto"/>
    <w:pPr/>
    <w:rPr>
      <w:rFonts w:cs="Tahoma"/>
    </w:rPr>
  </w:style>
  <w:style w:type="paragraph" w:styleId="Leyenda">
    <w:name w:val="Caption"/>
    <w:basedOn w:val="Normal"/>
    <w:qFormat/>
    <w:pPr>
      <w:suppressLineNumbers/>
      <w:spacing w:before="120" w:after="120"/>
    </w:pPr>
    <w:rPr>
      <w:rFonts w:ascii="Arial" w:hAnsi="Arial" w:cs="Arial"/>
      <w:i/>
      <w:iCs/>
      <w:sz w:val="24"/>
      <w:szCs w:val="24"/>
    </w:rPr>
  </w:style>
  <w:style w:type="paragraph" w:styleId="Ndice">
    <w:name w:val="Índice"/>
    <w:basedOn w:val="Normal"/>
    <w:qFormat/>
    <w:pPr>
      <w:suppressLineNumbers/>
    </w:pPr>
    <w:rPr>
      <w:rFonts w:cs="Tahoma"/>
    </w:rPr>
  </w:style>
  <w:style w:type="paragraph" w:styleId="Cabecera">
    <w:name w:val="Header"/>
    <w:basedOn w:val="Normal"/>
    <w:pPr>
      <w:tabs>
        <w:tab w:val="clear" w:pos="709"/>
        <w:tab w:val="center" w:pos="4252" w:leader="none"/>
        <w:tab w:val="right" w:pos="8504" w:leader="none"/>
      </w:tabs>
    </w:pPr>
    <w:rPr/>
  </w:style>
  <w:style w:type="paragraph" w:styleId="Encabezado1">
    <w:name w:val="Encabezado1"/>
    <w:basedOn w:val="Normal"/>
    <w:next w:val="Cuerpodetexto"/>
    <w:qFormat/>
    <w:pPr>
      <w:keepNext w:val="true"/>
      <w:spacing w:before="240" w:after="120"/>
    </w:pPr>
    <w:rPr>
      <w:rFonts w:ascii="Arial" w:hAnsi="Arial" w:eastAsia="Lucida Sans Unicode" w:cs="Mangal"/>
      <w:sz w:val="28"/>
      <w:szCs w:val="28"/>
    </w:rPr>
  </w:style>
  <w:style w:type="paragraph" w:styleId="Izenburua">
    <w:name w:val="Izenburua"/>
    <w:basedOn w:val="Encabezado1"/>
    <w:next w:val="Cuerpodetexto"/>
    <w:qFormat/>
    <w:pPr>
      <w:jc w:val="center"/>
    </w:pPr>
    <w:rPr>
      <w:b/>
      <w:bCs/>
      <w:sz w:val="36"/>
      <w:szCs w:val="36"/>
    </w:rPr>
  </w:style>
  <w:style w:type="paragraph" w:styleId="Encabezado">
    <w:name w:val="Encabezado"/>
    <w:basedOn w:val="Normal"/>
    <w:next w:val="Cuerpodetexto"/>
    <w:qFormat/>
    <w:pPr>
      <w:keepNext w:val="true"/>
      <w:spacing w:before="240" w:after="120"/>
    </w:pPr>
    <w:rPr>
      <w:rFonts w:ascii="Arimo;arial" w:hAnsi="Arimo;arial" w:eastAsia="Nimbus Roman No9 L;Times New Roman" w:cs="Nimbus Sans L;Arial"/>
      <w:sz w:val="28"/>
      <w:szCs w:val="28"/>
    </w:rPr>
  </w:style>
  <w:style w:type="paragraph" w:styleId="Etiqueta">
    <w:name w:val="Etiqueta"/>
    <w:basedOn w:val="Normal"/>
    <w:qFormat/>
    <w:pPr>
      <w:suppressLineNumbers/>
      <w:spacing w:before="120" w:after="120"/>
    </w:pPr>
    <w:rPr>
      <w:rFonts w:cs="Nimbus Sans L;Arial"/>
      <w:i/>
      <w:iCs/>
      <w:sz w:val="24"/>
      <w:szCs w:val="24"/>
    </w:rPr>
  </w:style>
  <w:style w:type="paragraph" w:styleId="Epgrafe">
    <w:name w:val="Epígrafe"/>
    <w:basedOn w:val="Normal"/>
    <w:qFormat/>
    <w:pPr>
      <w:suppressLineNumbers/>
      <w:spacing w:before="120" w:after="120"/>
    </w:pPr>
    <w:rPr>
      <w:rFonts w:cs="Arial"/>
      <w:i/>
      <w:iCs/>
      <w:sz w:val="24"/>
      <w:szCs w:val="24"/>
    </w:rPr>
  </w:style>
  <w:style w:type="paragraph" w:styleId="Indizea">
    <w:name w:val="Indizea"/>
    <w:basedOn w:val="Normal"/>
    <w:qFormat/>
    <w:pPr>
      <w:suppressLineNumbers/>
    </w:pPr>
    <w:rPr>
      <w:rFonts w:cs="Arial"/>
    </w:rPr>
  </w:style>
  <w:style w:type="paragraph" w:styleId="Epgrafe1">
    <w:name w:val="Epígrafe1"/>
    <w:basedOn w:val="Normal"/>
    <w:qFormat/>
    <w:pPr>
      <w:suppressLineNumbers/>
      <w:spacing w:before="120" w:after="120"/>
    </w:pPr>
    <w:rPr>
      <w:rFonts w:cs="Tahoma"/>
      <w:i/>
      <w:iCs/>
      <w:sz w:val="24"/>
      <w:szCs w:val="24"/>
    </w:rPr>
  </w:style>
  <w:style w:type="paragraph" w:styleId="Piedepgina">
    <w:name w:val="Footer"/>
    <w:basedOn w:val="Normal"/>
    <w:pPr>
      <w:tabs>
        <w:tab w:val="clear" w:pos="709"/>
        <w:tab w:val="center" w:pos="4252" w:leader="none"/>
        <w:tab w:val="right" w:pos="8504" w:leader="none"/>
      </w:tabs>
    </w:pPr>
    <w:rPr/>
  </w:style>
  <w:style w:type="paragraph" w:styleId="Contenidodelmarco">
    <w:name w:val="Contenido del marco"/>
    <w:basedOn w:val="Cuerpodetexto"/>
    <w:qFormat/>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Zzactasarial10">
    <w:name w:val="zz_actas_arial10"/>
    <w:basedOn w:val="Contenidodelatabla"/>
    <w:qFormat/>
    <w:pPr>
      <w:spacing w:lineRule="auto" w:line="312" w:before="57" w:after="57"/>
      <w:ind w:left="0" w:right="0" w:firstLine="567"/>
      <w:jc w:val="both"/>
    </w:pPr>
    <w:rPr>
      <w:sz w:val="20"/>
      <w:szCs w:val="20"/>
    </w:rPr>
  </w:style>
  <w:style w:type="paragraph" w:styleId="Cita">
    <w:name w:val="Cita"/>
    <w:basedOn w:val="Normal"/>
    <w:qFormat/>
    <w:pPr>
      <w:spacing w:before="0" w:after="283"/>
      <w:ind w:left="567" w:right="567" w:hanging="0"/>
    </w:pPr>
    <w:rPr/>
  </w:style>
  <w:style w:type="paragraph" w:styleId="Subttulo">
    <w:name w:val="Subtitle"/>
    <w:basedOn w:val="Encabezado1"/>
    <w:next w:val="Cuerpodetexto"/>
    <w:qFormat/>
    <w:pPr>
      <w:jc w:val="center"/>
    </w:pPr>
    <w:rPr>
      <w:i/>
      <w:iCs/>
      <w:sz w:val="28"/>
      <w:szCs w:val="28"/>
    </w:rPr>
  </w:style>
  <w:style w:type="paragraph" w:styleId="NormalWeb">
    <w:name w:val="Normal (Web)"/>
    <w:basedOn w:val="Normal"/>
    <w:qFormat/>
    <w:pPr>
      <w:suppressAutoHyphens w:val="false"/>
      <w:spacing w:before="100" w:after="119"/>
    </w:pPr>
    <w:rPr>
      <w:rFonts w:ascii="Times New Roman" w:hAnsi="Times New Roman" w:cs="Times New Roman"/>
      <w:color w:val="000000"/>
      <w:sz w:val="24"/>
      <w:szCs w:val="24"/>
    </w:rPr>
  </w:style>
  <w:style w:type="paragraph" w:styleId="Western">
    <w:name w:val="western"/>
    <w:basedOn w:val="Normal"/>
    <w:qFormat/>
    <w:pPr>
      <w:suppressAutoHyphens w:val="false"/>
      <w:spacing w:before="100" w:after="119"/>
    </w:pPr>
    <w:rPr>
      <w:rFonts w:cs="Arial"/>
      <w:color w:val="000000"/>
      <w:sz w:val="24"/>
      <w:szCs w:val="24"/>
    </w:rPr>
  </w:style>
  <w:style w:type="paragraph" w:styleId="Zzactasarial10western1">
    <w:name w:val="zz-actas-arial10-western1"/>
    <w:basedOn w:val="Normal"/>
    <w:qFormat/>
    <w:pPr>
      <w:suppressAutoHyphens w:val="false"/>
      <w:spacing w:lineRule="auto" w:line="312" w:before="57" w:after="57"/>
      <w:ind w:left="0" w:right="0" w:firstLine="567"/>
      <w:jc w:val="both"/>
    </w:pPr>
    <w:rPr>
      <w:rFonts w:cs="Arial"/>
      <w:color w:val="000000"/>
    </w:rPr>
  </w:style>
  <w:style w:type="paragraph" w:styleId="Western1">
    <w:name w:val="western1"/>
    <w:basedOn w:val="Normal"/>
    <w:qFormat/>
    <w:pPr>
      <w:suppressAutoHyphens w:val="false"/>
      <w:spacing w:before="100" w:after="0"/>
    </w:pPr>
    <w:rPr>
      <w:rFonts w:cs="Arial"/>
      <w:color w:val="000000"/>
      <w:sz w:val="24"/>
      <w:szCs w:val="24"/>
    </w:rPr>
  </w:style>
  <w:style w:type="paragraph" w:styleId="Zzactasarial10western">
    <w:name w:val="zz-actas-arial10-western"/>
    <w:basedOn w:val="Normal"/>
    <w:qFormat/>
    <w:pPr>
      <w:suppressAutoHyphens w:val="false"/>
      <w:spacing w:before="100" w:after="119"/>
    </w:pPr>
    <w:rPr>
      <w:rFonts w:ascii="Times New Roman" w:hAnsi="Times New Roman" w:cs="Times New Roman"/>
      <w:color w:val="000000"/>
      <w:sz w:val="24"/>
      <w:szCs w:val="24"/>
    </w:rPr>
  </w:style>
  <w:style w:type="paragraph" w:styleId="Taularenedukia">
    <w:name w:val="Taularen edukia"/>
    <w:basedOn w:val="Normal"/>
    <w:qFormat/>
    <w:pPr>
      <w:suppressLineNumbers/>
    </w:pPr>
    <w:rPr/>
  </w:style>
  <w:style w:type="paragraph" w:styleId="Taularenizenburua">
    <w:name w:val="Taularen izenburua"/>
    <w:basedOn w:val="Taularenedukia"/>
    <w:qFormat/>
    <w:pPr>
      <w:suppressLineNumbers/>
      <w:jc w:val="center"/>
    </w:pPr>
    <w:rPr>
      <w:b/>
      <w:bCs/>
    </w:rPr>
  </w:style>
  <w:style w:type="paragraph" w:styleId="Aipamenak">
    <w:name w:val="Aipamenak"/>
    <w:basedOn w:val="Normal"/>
    <w:qFormat/>
    <w:pPr>
      <w:spacing w:before="0" w:after="283"/>
      <w:ind w:left="567" w:right="567" w:hanging="0"/>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docProps/app.xml><?xml version="1.0" encoding="utf-8"?>
<Properties xmlns="http://schemas.openxmlformats.org/officeDocument/2006/extended-properties" xmlns:vt="http://schemas.openxmlformats.org/officeDocument/2006/docPropsVTypes">
  <Template>Normal.dot</Template>
  <TotalTime>43</TotalTime>
  <Application>LibreOffice/6.1.6.3$Windows_x86 LibreOffice_project/5896ab1714085361c45cf540f76f60673dd96a72</Application>
  <Pages>1</Pages>
  <Words>358</Words>
  <Characters>2434</Characters>
  <CharactersWithSpaces>2775</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2016-12-14T11:10:00Z</dcterms:created>
  <dc:creator>in_med01</dc:creator>
  <dc:description/>
  <dc:language>es-ES</dc:language>
  <cp:lastModifiedBy/>
  <dcterms:modified xsi:type="dcterms:W3CDTF">2020-07-08T11:24:17Z</dcterms:modified>
  <cp:revision>14</cp:revision>
  <dc:subject/>
  <dc:title>DEKRETUA</dc:title>
</cp:coreProperties>
</file>