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76"/>
        <w:rPr>
          <w:szCs w:val="22"/>
        </w:rPr>
      </w:pPr>
      <w:r>
        <w:rPr>
          <w:szCs w:val="22"/>
        </w:rPr>
      </w:r>
    </w:p>
    <w:p>
      <w:pPr>
        <w:pStyle w:val="Normal"/>
        <w:spacing w:lineRule="auto" w:line="276"/>
        <w:jc w:val="both"/>
        <w:rPr>
          <w:szCs w:val="22"/>
        </w:rPr>
      </w:pPr>
      <w:r>
        <w:rPr>
          <w:b/>
          <w:szCs w:val="22"/>
        </w:rPr>
        <w:t>Extracto de la Resolución de 1</w:t>
      </w:r>
      <w:r>
        <w:rPr>
          <w:b/>
          <w:szCs w:val="22"/>
        </w:rPr>
        <w:t>6</w:t>
      </w:r>
      <w:r>
        <w:rPr>
          <w:b/>
          <w:szCs w:val="22"/>
        </w:rPr>
        <w:t xml:space="preserve"> de octubre de 202</w:t>
      </w:r>
      <w:r>
        <w:rPr>
          <w:b/>
          <w:szCs w:val="22"/>
        </w:rPr>
        <w:t>6</w:t>
      </w:r>
      <w:r>
        <w:rPr>
          <w:b/>
          <w:szCs w:val="22"/>
        </w:rPr>
        <w:t xml:space="preserve"> del sr. Concejal de Economía y Hacienda por la que se aprueba la convocatoria para la concesión de becas a deportistas de Torrevieja para el ejercicio 202</w:t>
      </w:r>
      <w:r>
        <w:rPr>
          <w:b/>
          <w:szCs w:val="22"/>
        </w:rPr>
        <w:t>6</w:t>
      </w:r>
      <w:r>
        <w:rPr>
          <w:b/>
          <w:szCs w:val="22"/>
        </w:rPr>
        <w:t>.</w:t>
      </w:r>
    </w:p>
    <w:p>
      <w:pPr>
        <w:pStyle w:val="Normal"/>
        <w:spacing w:lineRule="auto" w:line="276"/>
        <w:jc w:val="both"/>
        <w:rPr>
          <w:szCs w:val="22"/>
        </w:rPr>
      </w:pPr>
      <w:r>
        <w:rPr>
          <w:szCs w:val="22"/>
        </w:rPr>
      </w:r>
    </w:p>
    <w:p>
      <w:pPr>
        <w:pStyle w:val="Normal"/>
        <w:spacing w:lineRule="auto" w:line="276"/>
        <w:jc w:val="both"/>
        <w:rPr>
          <w:szCs w:val="22"/>
        </w:rPr>
      </w:pPr>
      <w:r>
        <w:rPr>
          <w:b/>
          <w:szCs w:val="22"/>
        </w:rPr>
        <w:t>Primero. Requisitos de los solicitantes y beneficiarios.</w:t>
      </w:r>
    </w:p>
    <w:p>
      <w:pPr>
        <w:pStyle w:val="Normal"/>
        <w:spacing w:lineRule="auto" w:line="276"/>
        <w:jc w:val="both"/>
        <w:rPr>
          <w:rFonts w:ascii="Arial" w:hAnsi="Arial"/>
          <w:sz w:val="22"/>
          <w:szCs w:val="22"/>
        </w:rPr>
      </w:pPr>
      <w:r>
        <w:rPr>
          <w:sz w:val="22"/>
          <w:szCs w:val="22"/>
        </w:rPr>
        <w:t xml:space="preserve">4.1. </w:t>
      </w:r>
      <w:r>
        <w:rPr>
          <w:rStyle w:val="Strong"/>
          <w:sz w:val="22"/>
          <w:szCs w:val="22"/>
        </w:rPr>
        <w:t>Condición general.</w:t>
      </w:r>
    </w:p>
    <w:p>
      <w:pPr>
        <w:pStyle w:val="Normal"/>
        <w:spacing w:lineRule="auto" w:line="276"/>
        <w:jc w:val="both"/>
        <w:rPr>
          <w:rFonts w:ascii="Arial" w:hAnsi="Arial"/>
          <w:sz w:val="22"/>
          <w:szCs w:val="22"/>
        </w:rPr>
      </w:pPr>
      <w:r>
        <w:rPr>
          <w:sz w:val="22"/>
          <w:szCs w:val="22"/>
        </w:rPr>
        <w:t xml:space="preserve">Podrán ser beneficiarias de estas ayudas los deportistas que, habiendo acreditado previamente resultados deportivos significativos, demuestren calidad inicial, especial dedicación a la práctica deportiva y evidencien una proyección inmediata o futura en el deporte de rendimiento. </w:t>
      </w:r>
    </w:p>
    <w:p>
      <w:pPr>
        <w:pStyle w:val="Normal"/>
        <w:spacing w:lineRule="auto" w:line="276"/>
        <w:jc w:val="both"/>
        <w:rPr>
          <w:rFonts w:ascii="Arial" w:hAnsi="Arial"/>
          <w:sz w:val="22"/>
          <w:szCs w:val="22"/>
        </w:rPr>
      </w:pPr>
      <w:r>
        <w:rPr>
          <w:sz w:val="22"/>
          <w:szCs w:val="22"/>
        </w:rPr>
      </w:r>
    </w:p>
    <w:p>
      <w:pPr>
        <w:pStyle w:val="Normal"/>
        <w:spacing w:lineRule="auto" w:line="276"/>
        <w:jc w:val="both"/>
        <w:rPr>
          <w:rFonts w:ascii="Arial" w:hAnsi="Arial"/>
          <w:sz w:val="22"/>
          <w:szCs w:val="22"/>
        </w:rPr>
      </w:pPr>
      <w:r>
        <w:rPr>
          <w:sz w:val="22"/>
          <w:szCs w:val="22"/>
        </w:rPr>
        <w:t xml:space="preserve">4.2. </w:t>
      </w:r>
      <w:r>
        <w:rPr>
          <w:rStyle w:val="Strong"/>
          <w:sz w:val="22"/>
          <w:szCs w:val="22"/>
        </w:rPr>
        <w:t>Ámbito subjetivo.</w:t>
      </w:r>
    </w:p>
    <w:p>
      <w:pPr>
        <w:pStyle w:val="Normal"/>
        <w:spacing w:lineRule="auto" w:line="276"/>
        <w:jc w:val="both"/>
        <w:rPr>
          <w:rFonts w:ascii="Arial" w:hAnsi="Arial"/>
          <w:sz w:val="22"/>
          <w:szCs w:val="22"/>
        </w:rPr>
      </w:pPr>
      <w:r>
        <w:rPr>
          <w:sz w:val="22"/>
          <w:szCs w:val="22"/>
        </w:rPr>
        <w:t>Podrán solicitar beca, los deportistas individuales adscritos a cualquier federación deportiva, que reúnan los siguientes requisitos:</w:t>
      </w:r>
    </w:p>
    <w:p>
      <w:pPr>
        <w:pStyle w:val="Normal"/>
        <w:spacing w:lineRule="auto" w:line="276"/>
        <w:jc w:val="both"/>
        <w:rPr>
          <w:rFonts w:ascii="Arial" w:hAnsi="Arial"/>
          <w:sz w:val="22"/>
          <w:szCs w:val="22"/>
        </w:rPr>
      </w:pPr>
      <w:r>
        <w:rPr>
          <w:sz w:val="22"/>
          <w:szCs w:val="22"/>
        </w:rPr>
      </w:r>
    </w:p>
    <w:p>
      <w:pPr>
        <w:pStyle w:val="Normal"/>
        <w:spacing w:lineRule="auto" w:line="276"/>
        <w:ind w:hanging="340" w:start="340"/>
        <w:rPr>
          <w:b/>
          <w:bCs/>
        </w:rPr>
      </w:pPr>
      <w:r>
        <w:rPr>
          <w:b/>
          <w:bCs/>
          <w:sz w:val="22"/>
          <w:szCs w:val="22"/>
        </w:rPr>
        <w:t xml:space="preserve">A. </w:t>
      </w:r>
      <w:r>
        <w:rPr>
          <w:b/>
          <w:bCs/>
          <w:sz w:val="22"/>
          <w:szCs w:val="22"/>
        </w:rPr>
        <w:t>Requisitos de residencia:</w:t>
      </w:r>
    </w:p>
    <w:p>
      <w:pPr>
        <w:pStyle w:val="Normal"/>
        <w:numPr>
          <w:ilvl w:val="0"/>
          <w:numId w:val="4"/>
        </w:numPr>
        <w:spacing w:lineRule="auto" w:line="276"/>
        <w:jc w:val="both"/>
        <w:rPr>
          <w:rFonts w:ascii="Arial" w:hAnsi="Arial"/>
          <w:sz w:val="22"/>
          <w:szCs w:val="22"/>
        </w:rPr>
      </w:pPr>
      <w:r>
        <w:rPr>
          <w:rFonts w:eastAsia="Times New Roman" w:cs="Times New Roman"/>
          <w:kern w:val="0"/>
          <w:sz w:val="22"/>
          <w:szCs w:val="22"/>
          <w:lang w:eastAsia="es-ES" w:bidi="ar-SA"/>
        </w:rPr>
        <w:t xml:space="preserve">Deportistas </w:t>
      </w:r>
      <w:r>
        <w:rPr>
          <w:rFonts w:eastAsia="Times New Roman" w:cs="Times New Roman"/>
          <w:b/>
          <w:kern w:val="0"/>
          <w:sz w:val="22"/>
          <w:szCs w:val="22"/>
          <w:lang w:eastAsia="es-ES" w:bidi="ar-SA"/>
        </w:rPr>
        <w:t>no profesionales</w:t>
      </w:r>
      <w:r>
        <w:rPr>
          <w:rFonts w:eastAsia="Times New Roman" w:cs="Times New Roman"/>
          <w:kern w:val="0"/>
          <w:sz w:val="22"/>
          <w:szCs w:val="22"/>
          <w:lang w:eastAsia="es-ES" w:bidi="ar-SA"/>
        </w:rPr>
        <w:t xml:space="preserve"> de categoría infantil, cadete, juvenil, junior y senior, vinculados en la presente temporada (2026 o 2025/2026) y, al menos durante las dos temporadas anteriores (2023-24, 2024-25), a entidades deportivas radicadas en la ciudad de Torrevieja.</w:t>
      </w:r>
    </w:p>
    <w:p>
      <w:pPr>
        <w:pStyle w:val="Normal"/>
        <w:spacing w:lineRule="auto" w:line="276"/>
        <w:ind w:start="720"/>
        <w:jc w:val="both"/>
        <w:rPr>
          <w:rFonts w:ascii="Arial" w:hAnsi="Arial" w:eastAsia="Times New Roman" w:cs="Times New Roman"/>
          <w:kern w:val="0"/>
          <w:sz w:val="22"/>
          <w:szCs w:val="22"/>
          <w:lang w:eastAsia="es-ES" w:bidi="ar-SA"/>
        </w:rPr>
      </w:pPr>
      <w:r>
        <w:rPr>
          <w:rFonts w:eastAsia="Times New Roman" w:cs="Times New Roman"/>
          <w:kern w:val="0"/>
          <w:sz w:val="22"/>
          <w:szCs w:val="22"/>
          <w:lang w:eastAsia="es-ES" w:bidi="ar-SA"/>
        </w:rPr>
      </w:r>
    </w:p>
    <w:p>
      <w:pPr>
        <w:pStyle w:val="Normal"/>
        <w:numPr>
          <w:ilvl w:val="0"/>
          <w:numId w:val="4"/>
        </w:numPr>
        <w:spacing w:lineRule="auto" w:line="276"/>
        <w:jc w:val="both"/>
        <w:rPr>
          <w:rFonts w:ascii="Arial" w:hAnsi="Arial"/>
          <w:sz w:val="22"/>
          <w:szCs w:val="22"/>
        </w:rPr>
      </w:pPr>
      <w:r>
        <w:rPr>
          <w:rFonts w:eastAsia="Times New Roman" w:cs="Times New Roman"/>
          <w:kern w:val="0"/>
          <w:sz w:val="22"/>
          <w:szCs w:val="22"/>
          <w:lang w:eastAsia="es-ES" w:bidi="ar-SA"/>
        </w:rPr>
        <w:t xml:space="preserve">Deportistas </w:t>
      </w:r>
      <w:r>
        <w:rPr>
          <w:rFonts w:eastAsia="Times New Roman" w:cs="Times New Roman"/>
          <w:b/>
          <w:kern w:val="0"/>
          <w:sz w:val="22"/>
          <w:szCs w:val="22"/>
          <w:lang w:eastAsia="es-ES" w:bidi="ar-SA"/>
        </w:rPr>
        <w:t>no profesionales</w:t>
      </w:r>
      <w:r>
        <w:rPr>
          <w:rFonts w:eastAsia="Times New Roman" w:cs="Times New Roman"/>
          <w:kern w:val="0"/>
          <w:sz w:val="22"/>
          <w:szCs w:val="22"/>
          <w:lang w:eastAsia="es-ES" w:bidi="ar-SA"/>
        </w:rPr>
        <w:t xml:space="preserve"> de las categorías anteriores empadronados en la ciudad de Torrevieja y pertenecientes a entidades deportivas radicadas en la misma.</w:t>
      </w:r>
    </w:p>
    <w:p>
      <w:pPr>
        <w:pStyle w:val="Normal"/>
        <w:spacing w:lineRule="auto" w:line="276"/>
        <w:ind w:start="720"/>
        <w:jc w:val="both"/>
        <w:rPr>
          <w:rFonts w:ascii="Arial" w:hAnsi="Arial" w:eastAsia="Times New Roman" w:cs="Times New Roman"/>
          <w:kern w:val="0"/>
          <w:sz w:val="22"/>
          <w:szCs w:val="22"/>
          <w:lang w:eastAsia="es-ES" w:bidi="ar-SA"/>
        </w:rPr>
      </w:pPr>
      <w:r>
        <w:rPr>
          <w:rFonts w:eastAsia="Times New Roman" w:cs="Times New Roman"/>
          <w:kern w:val="0"/>
          <w:sz w:val="22"/>
          <w:szCs w:val="22"/>
          <w:lang w:eastAsia="es-ES" w:bidi="ar-SA"/>
        </w:rPr>
      </w:r>
    </w:p>
    <w:p>
      <w:pPr>
        <w:pStyle w:val="Normal"/>
        <w:numPr>
          <w:ilvl w:val="0"/>
          <w:numId w:val="4"/>
        </w:numPr>
        <w:spacing w:lineRule="auto" w:line="276"/>
        <w:jc w:val="both"/>
        <w:rPr>
          <w:rFonts w:ascii="Arial" w:hAnsi="Arial"/>
          <w:sz w:val="22"/>
          <w:szCs w:val="22"/>
        </w:rPr>
      </w:pPr>
      <w:r>
        <w:rPr>
          <w:rFonts w:eastAsia="Times New Roman" w:cs="Times New Roman"/>
          <w:kern w:val="0"/>
          <w:sz w:val="22"/>
          <w:szCs w:val="22"/>
          <w:lang w:eastAsia="es-ES" w:bidi="ar-SA"/>
        </w:rPr>
        <w:t xml:space="preserve">Deportistas </w:t>
      </w:r>
      <w:r>
        <w:rPr>
          <w:rFonts w:eastAsia="Times New Roman" w:cs="Times New Roman"/>
          <w:b/>
          <w:kern w:val="0"/>
          <w:sz w:val="22"/>
          <w:szCs w:val="22"/>
          <w:lang w:eastAsia="es-ES" w:bidi="ar-SA"/>
        </w:rPr>
        <w:t>no profesionales</w:t>
      </w:r>
      <w:r>
        <w:rPr>
          <w:rFonts w:eastAsia="Times New Roman" w:cs="Times New Roman"/>
          <w:kern w:val="0"/>
          <w:sz w:val="22"/>
          <w:szCs w:val="22"/>
          <w:lang w:eastAsia="es-ES" w:bidi="ar-SA"/>
        </w:rPr>
        <w:t xml:space="preserve"> de las categorías anteriores empadronados en la ciudad de Torrevieja </w:t>
      </w:r>
      <w:r>
        <w:rPr>
          <w:sz w:val="22"/>
          <w:szCs w:val="22"/>
        </w:rPr>
        <w:t xml:space="preserve">cuya modalidad deportiva no cuente con entidad registrada en la ciudad, o bien cuando la entidad existente compita en una categoría inferior a la del deportista en otro club, siempre que esta vinculación le permita mantener su proyección y alcanzar el máximo rendimiento. </w:t>
      </w:r>
    </w:p>
    <w:p>
      <w:pPr>
        <w:pStyle w:val="Normal"/>
        <w:spacing w:lineRule="auto" w:line="276"/>
        <w:jc w:val="both"/>
        <w:rPr>
          <w:rFonts w:ascii="Arial" w:hAnsi="Arial"/>
          <w:sz w:val="22"/>
          <w:szCs w:val="22"/>
        </w:rPr>
      </w:pPr>
      <w:r>
        <w:rPr>
          <w:sz w:val="22"/>
          <w:szCs w:val="22"/>
        </w:rPr>
      </w:r>
    </w:p>
    <w:p>
      <w:pPr>
        <w:pStyle w:val="Normal"/>
        <w:spacing w:lineRule="auto" w:line="276"/>
        <w:ind w:hanging="340" w:start="340"/>
        <w:jc w:val="both"/>
        <w:rPr>
          <w:b/>
          <w:bCs/>
        </w:rPr>
      </w:pPr>
      <w:r>
        <w:rPr>
          <w:b/>
          <w:bCs/>
          <w:sz w:val="22"/>
          <w:szCs w:val="22"/>
        </w:rPr>
        <w:t xml:space="preserve">B. </w:t>
      </w:r>
      <w:r>
        <w:rPr>
          <w:b/>
          <w:bCs/>
          <w:sz w:val="22"/>
          <w:szCs w:val="22"/>
        </w:rPr>
        <w:t>Requisitos de edad:</w:t>
      </w:r>
    </w:p>
    <w:p>
      <w:pPr>
        <w:pStyle w:val="Normal"/>
        <w:numPr>
          <w:ilvl w:val="0"/>
          <w:numId w:val="4"/>
        </w:numPr>
        <w:spacing w:lineRule="auto" w:line="276"/>
        <w:jc w:val="both"/>
        <w:rPr>
          <w:rFonts w:ascii="Arial" w:hAnsi="Arial"/>
          <w:sz w:val="22"/>
          <w:szCs w:val="22"/>
        </w:rPr>
      </w:pPr>
      <w:r>
        <w:rPr>
          <w:sz w:val="22"/>
          <w:szCs w:val="22"/>
        </w:rPr>
        <w:t xml:space="preserve">Los deportistas deben tener 35 años o menos durante el período establecido en el artículo 2 de las presentes Bases (nacidos en 1991 y posteriores). </w:t>
      </w:r>
    </w:p>
    <w:p>
      <w:pPr>
        <w:pStyle w:val="Normal"/>
        <w:spacing w:lineRule="auto" w:line="276"/>
        <w:ind w:start="720"/>
        <w:jc w:val="both"/>
        <w:rPr>
          <w:rFonts w:ascii="Arial" w:hAnsi="Arial"/>
          <w:sz w:val="22"/>
          <w:szCs w:val="22"/>
        </w:rPr>
      </w:pPr>
      <w:r>
        <w:rPr>
          <w:sz w:val="22"/>
          <w:szCs w:val="22"/>
        </w:rPr>
      </w:r>
    </w:p>
    <w:p>
      <w:pPr>
        <w:pStyle w:val="Normal"/>
        <w:numPr>
          <w:ilvl w:val="0"/>
          <w:numId w:val="4"/>
        </w:numPr>
        <w:spacing w:lineRule="auto" w:line="276"/>
        <w:jc w:val="both"/>
        <w:rPr>
          <w:rFonts w:ascii="Arial" w:hAnsi="Arial"/>
          <w:sz w:val="22"/>
          <w:szCs w:val="22"/>
        </w:rPr>
      </w:pPr>
      <w:r>
        <w:rPr>
          <w:sz w:val="22"/>
          <w:szCs w:val="22"/>
        </w:rPr>
        <w:t>El límite de edad no será de aplicación a:</w:t>
      </w:r>
    </w:p>
    <w:p>
      <w:pPr>
        <w:pStyle w:val="Normal"/>
        <w:spacing w:lineRule="auto" w:line="276"/>
        <w:ind w:start="720"/>
        <w:jc w:val="both"/>
        <w:rPr>
          <w:rFonts w:ascii="Arial" w:hAnsi="Arial"/>
          <w:sz w:val="22"/>
          <w:szCs w:val="22"/>
        </w:rPr>
      </w:pPr>
      <w:r>
        <w:rPr>
          <w:sz w:val="22"/>
          <w:szCs w:val="22"/>
        </w:rPr>
        <w:tab/>
        <w:t>a) Deportistas con una discapacidad reconocida igual o superior al 33 %.</w:t>
        <w:br/>
        <w:tab/>
        <w:t xml:space="preserve">b) Deportistas que, aun habiendo superado el límite de edad, acrediten </w:t>
        <w:tab/>
        <w:t xml:space="preserve">resultados contemplados en el artículo 11, obtenidos en competiciones </w:t>
        <w:tab/>
        <w:t xml:space="preserve">nacionales o internacionales en deportes olímpicos cuyas modalidades estén </w:t>
        <w:tab/>
        <w:t xml:space="preserve">incluidas en el programa oficial. </w:t>
      </w:r>
    </w:p>
    <w:p>
      <w:pPr>
        <w:pStyle w:val="Normal"/>
        <w:spacing w:lineRule="auto" w:line="276"/>
        <w:jc w:val="both"/>
        <w:rPr>
          <w:rFonts w:ascii="Arial" w:hAnsi="Arial"/>
          <w:sz w:val="22"/>
          <w:szCs w:val="22"/>
        </w:rPr>
      </w:pPr>
      <w:r>
        <w:rPr>
          <w:sz w:val="22"/>
          <w:szCs w:val="22"/>
        </w:rPr>
      </w:r>
    </w:p>
    <w:p>
      <w:pPr>
        <w:pStyle w:val="Normal"/>
        <w:spacing w:lineRule="auto" w:line="276"/>
        <w:ind w:hanging="340" w:start="340"/>
        <w:jc w:val="both"/>
        <w:rPr>
          <w:b/>
          <w:bCs/>
        </w:rPr>
      </w:pPr>
      <w:r>
        <w:rPr>
          <w:b/>
          <w:bCs/>
          <w:sz w:val="22"/>
          <w:szCs w:val="22"/>
        </w:rPr>
        <w:t xml:space="preserve">C. </w:t>
      </w:r>
      <w:r>
        <w:rPr>
          <w:b/>
          <w:bCs/>
          <w:sz w:val="22"/>
          <w:szCs w:val="22"/>
        </w:rPr>
        <w:t>Requisitos deportivos:</w:t>
      </w:r>
    </w:p>
    <w:p>
      <w:pPr>
        <w:pStyle w:val="Normal"/>
        <w:numPr>
          <w:ilvl w:val="0"/>
          <w:numId w:val="4"/>
        </w:numPr>
        <w:spacing w:lineRule="auto" w:line="276"/>
        <w:jc w:val="both"/>
        <w:rPr>
          <w:rFonts w:ascii="Arial" w:hAnsi="Arial"/>
          <w:sz w:val="22"/>
          <w:szCs w:val="22"/>
        </w:rPr>
      </w:pPr>
      <w:r>
        <w:rPr>
          <w:rFonts w:eastAsia="Times New Roman" w:cs="Times New Roman"/>
          <w:kern w:val="0"/>
          <w:sz w:val="22"/>
          <w:szCs w:val="22"/>
          <w:lang w:eastAsia="es-ES" w:bidi="ar-SA"/>
        </w:rPr>
        <w:t xml:space="preserve">Haber estado en posesión de licencia federativa expedida </w:t>
      </w:r>
      <w:r>
        <w:rPr>
          <w:sz w:val="22"/>
          <w:szCs w:val="22"/>
        </w:rPr>
        <w:t xml:space="preserve">por una federación deportiva de la Comunidad Valenciana, siempre que exista esa federación en la Comunidad Valenciana, en el momento de obtención de los resultados deportivos que se valoren en la presente convocatoria. En el supuesto previsto en el apartado A.3, cuando los logros hayan sido obtenidos bajo licencia de una federación no registrada en la Comunidad Valenciana, la puntuación otorgada será del 80 % respecto del baremo previsto en el artículo 11. </w:t>
      </w:r>
    </w:p>
    <w:p>
      <w:pPr>
        <w:pStyle w:val="Normal"/>
        <w:spacing w:lineRule="auto" w:line="276"/>
        <w:ind w:start="720"/>
        <w:jc w:val="both"/>
        <w:rPr>
          <w:rFonts w:ascii="Arial" w:hAnsi="Arial"/>
          <w:sz w:val="22"/>
          <w:szCs w:val="22"/>
        </w:rPr>
      </w:pPr>
      <w:r>
        <w:rPr>
          <w:sz w:val="22"/>
          <w:szCs w:val="22"/>
        </w:rPr>
      </w:r>
    </w:p>
    <w:p>
      <w:pPr>
        <w:pStyle w:val="Normal"/>
        <w:widowControl w:val="false"/>
        <w:numPr>
          <w:ilvl w:val="0"/>
          <w:numId w:val="4"/>
        </w:numPr>
        <w:suppressAutoHyphens w:val="true"/>
        <w:bidi w:val="0"/>
        <w:spacing w:lineRule="auto" w:line="276" w:before="0" w:after="0"/>
        <w:ind w:hanging="340" w:start="1417" w:end="0"/>
        <w:jc w:val="both"/>
        <w:rPr>
          <w:rFonts w:ascii="Arial" w:hAnsi="Arial" w:eastAsia="Times New Roman" w:cs="Times New Roman"/>
          <w:kern w:val="0"/>
          <w:sz w:val="22"/>
          <w:szCs w:val="22"/>
          <w:lang w:eastAsia="es-ES" w:bidi="ar-SA"/>
        </w:rPr>
      </w:pPr>
      <w:r>
        <w:rPr>
          <w:rFonts w:eastAsia="Times New Roman" w:cs="Times New Roman"/>
          <w:kern w:val="0"/>
          <w:sz w:val="22"/>
          <w:szCs w:val="22"/>
          <w:lang w:eastAsia="es-ES" w:bidi="ar-SA"/>
        </w:rPr>
        <w:t xml:space="preserve">Haber formado parte de selecciones nacionales o autonómicas de cualquier modalidad deportiva cuya federación esté reconocida por la Comunidad Valenciana o por el Consejo Superior de Deportes, habiendo participado en competición oficial. </w:t>
      </w:r>
    </w:p>
    <w:p>
      <w:pPr>
        <w:pStyle w:val="Normal"/>
        <w:spacing w:lineRule="auto" w:line="276"/>
        <w:ind w:start="720"/>
        <w:jc w:val="both"/>
        <w:rPr>
          <w:rFonts w:ascii="Arial" w:hAnsi="Arial"/>
          <w:sz w:val="22"/>
          <w:szCs w:val="22"/>
          <w:shd w:fill="FFFF00" w:val="clear"/>
        </w:rPr>
      </w:pPr>
      <w:r>
        <w:rPr>
          <w:sz w:val="22"/>
          <w:szCs w:val="22"/>
          <w:shd w:fill="FFFF00" w:val="clear"/>
        </w:rPr>
      </w:r>
    </w:p>
    <w:p>
      <w:pPr>
        <w:pStyle w:val="Normal"/>
        <w:numPr>
          <w:ilvl w:val="0"/>
          <w:numId w:val="4"/>
        </w:numPr>
        <w:spacing w:lineRule="auto" w:line="276"/>
        <w:jc w:val="both"/>
        <w:rPr>
          <w:rFonts w:ascii="Arial" w:hAnsi="Arial"/>
          <w:sz w:val="22"/>
          <w:szCs w:val="22"/>
        </w:rPr>
      </w:pPr>
      <w:r>
        <w:rPr>
          <w:sz w:val="22"/>
          <w:szCs w:val="22"/>
        </w:rPr>
        <w:t>Estar concentrados en centros de alto rendimiento, centros especializados de alto rendimiento, centros de tecnificación deportiva y centros especializados de tecnificación deportiva reconocidos por el Consejo Superior de Deportes, en base a la Resolución de 10 de enero de 2014, de la Dirección General de Deportes.</w:t>
      </w:r>
    </w:p>
    <w:p>
      <w:pPr>
        <w:pStyle w:val="Normal"/>
        <w:spacing w:lineRule="auto" w:line="276"/>
        <w:jc w:val="both"/>
        <w:rPr>
          <w:rFonts w:ascii="Arial" w:hAnsi="Arial"/>
          <w:sz w:val="22"/>
          <w:szCs w:val="22"/>
        </w:rPr>
      </w:pPr>
      <w:r>
        <w:rPr>
          <w:sz w:val="22"/>
          <w:szCs w:val="22"/>
        </w:rPr>
      </w:r>
    </w:p>
    <w:p>
      <w:pPr>
        <w:pStyle w:val="Normal"/>
        <w:numPr>
          <w:ilvl w:val="0"/>
          <w:numId w:val="4"/>
        </w:numPr>
        <w:spacing w:lineRule="auto" w:line="276"/>
        <w:jc w:val="both"/>
        <w:rPr>
          <w:rFonts w:ascii="Arial" w:hAnsi="Arial"/>
          <w:sz w:val="22"/>
          <w:szCs w:val="22"/>
        </w:rPr>
      </w:pPr>
      <w:r>
        <w:rPr>
          <w:sz w:val="22"/>
          <w:szCs w:val="22"/>
        </w:rPr>
        <w:t>Deportistas de deportes de equipo que hayan participado en el Campeonato de España de su modalidad, y que para su acceso hayan sido campeones o subcampeones autonómicos de la Comunidad Valenciana.</w:t>
      </w:r>
    </w:p>
    <w:p>
      <w:pPr>
        <w:pStyle w:val="Normal"/>
        <w:spacing w:lineRule="auto" w:line="276"/>
        <w:jc w:val="both"/>
        <w:rPr>
          <w:rFonts w:ascii="Arial" w:hAnsi="Arial"/>
          <w:sz w:val="22"/>
          <w:szCs w:val="22"/>
        </w:rPr>
      </w:pPr>
      <w:r>
        <w:rPr>
          <w:sz w:val="22"/>
          <w:szCs w:val="22"/>
        </w:rPr>
      </w:r>
    </w:p>
    <w:p>
      <w:pPr>
        <w:pStyle w:val="Normal"/>
        <w:numPr>
          <w:ilvl w:val="0"/>
          <w:numId w:val="4"/>
        </w:numPr>
        <w:spacing w:lineRule="auto" w:line="276"/>
        <w:jc w:val="both"/>
        <w:rPr>
          <w:rFonts w:ascii="Arial" w:hAnsi="Arial"/>
          <w:sz w:val="22"/>
          <w:szCs w:val="22"/>
        </w:rPr>
      </w:pPr>
      <w:r>
        <w:rPr>
          <w:sz w:val="22"/>
          <w:szCs w:val="22"/>
        </w:rPr>
        <w:t>Deportistas que hayan accedido al Campeonato de España mediante la consecución de la marca mínima exigida para su participación. A estos efectos, se incluyen las gimnastas que han participado en el “Campeonato de España absoluto individual y conjunto” tras superar el proceso de selección previo en el que únicamente compiten 20 gimnastas de toda España.</w:t>
      </w:r>
    </w:p>
    <w:p>
      <w:pPr>
        <w:pStyle w:val="Normal"/>
        <w:spacing w:lineRule="auto" w:line="276"/>
        <w:jc w:val="both"/>
        <w:rPr>
          <w:rFonts w:ascii="Arial" w:hAnsi="Arial"/>
          <w:sz w:val="22"/>
          <w:szCs w:val="22"/>
        </w:rPr>
      </w:pPr>
      <w:r>
        <w:rPr>
          <w:sz w:val="22"/>
          <w:szCs w:val="22"/>
        </w:rPr>
      </w:r>
    </w:p>
    <w:p>
      <w:pPr>
        <w:pStyle w:val="Normal"/>
        <w:widowControl w:val="false"/>
        <w:numPr>
          <w:ilvl w:val="0"/>
          <w:numId w:val="4"/>
        </w:numPr>
        <w:suppressAutoHyphens w:val="true"/>
        <w:bidi w:val="0"/>
        <w:spacing w:lineRule="auto" w:line="276" w:before="0" w:after="0"/>
        <w:ind w:hanging="340" w:start="1417" w:end="0"/>
        <w:jc w:val="both"/>
        <w:rPr>
          <w:rFonts w:ascii="Arial" w:hAnsi="Arial"/>
          <w:sz w:val="22"/>
          <w:szCs w:val="22"/>
        </w:rPr>
      </w:pPr>
      <w:r>
        <w:rPr>
          <w:sz w:val="22"/>
          <w:szCs w:val="22"/>
        </w:rPr>
        <w:t>Deportistas que hayan quedado medallistas en los Campeonatos Autonómicos de la Comunidad Valenciana, Nacionales, Europeos, Mundiales y Olimpiadas de modalidades deportivas</w:t>
      </w:r>
      <w:r>
        <w:rPr>
          <w:rFonts w:eastAsia="Times New Roman" w:cs="Times New Roman"/>
          <w:kern w:val="0"/>
          <w:sz w:val="22"/>
          <w:szCs w:val="22"/>
          <w:lang w:eastAsia="es-ES" w:bidi="ar-SA"/>
        </w:rPr>
        <w:t xml:space="preserve"> cuya federación esté reconocida en la Comunidad Valenciana o en el Consejo Superior de Deportes.</w:t>
      </w:r>
    </w:p>
    <w:p>
      <w:pPr>
        <w:pStyle w:val="Normal"/>
        <w:spacing w:lineRule="auto" w:line="276"/>
        <w:ind w:start="720"/>
        <w:jc w:val="both"/>
        <w:rPr>
          <w:rFonts w:ascii="Arial" w:hAnsi="Arial"/>
          <w:sz w:val="22"/>
          <w:szCs w:val="22"/>
          <w:shd w:fill="FFFF00" w:val="clear"/>
        </w:rPr>
      </w:pPr>
      <w:r>
        <w:rPr>
          <w:sz w:val="22"/>
          <w:szCs w:val="22"/>
          <w:shd w:fill="FFFF00" w:val="clear"/>
        </w:rPr>
      </w:r>
    </w:p>
    <w:p>
      <w:pPr>
        <w:pStyle w:val="Normal"/>
        <w:widowControl w:val="false"/>
        <w:suppressAutoHyphens w:val="true"/>
        <w:bidi w:val="0"/>
        <w:spacing w:lineRule="auto" w:line="276" w:before="0" w:after="0"/>
        <w:ind w:hanging="0" w:start="1417" w:end="0"/>
        <w:jc w:val="both"/>
        <w:rPr>
          <w:rFonts w:ascii="Arial" w:hAnsi="Arial"/>
          <w:sz w:val="22"/>
          <w:szCs w:val="22"/>
        </w:rPr>
      </w:pPr>
      <w:r>
        <w:rPr>
          <w:rFonts w:eastAsia="Times New Roman"/>
          <w:kern w:val="0"/>
          <w:sz w:val="22"/>
          <w:szCs w:val="22"/>
          <w:lang w:eastAsia="es-ES"/>
        </w:rPr>
        <w:t xml:space="preserve">11.1 </w:t>
      </w:r>
      <w:r>
        <w:rPr>
          <w:rFonts w:eastAsia="Times New Roman"/>
          <w:kern w:val="0"/>
          <w:sz w:val="22"/>
          <w:szCs w:val="22"/>
          <w:u w:val="single"/>
          <w:lang w:eastAsia="es-ES"/>
        </w:rPr>
        <w:t>En categoría infantil</w:t>
      </w:r>
      <w:r>
        <w:rPr>
          <w:rFonts w:eastAsia="Times New Roman"/>
          <w:kern w:val="0"/>
          <w:sz w:val="22"/>
          <w:szCs w:val="22"/>
          <w:lang w:eastAsia="es-ES"/>
        </w:rPr>
        <w:t xml:space="preserve"> </w:t>
      </w:r>
      <w:r>
        <w:rPr>
          <w:sz w:val="22"/>
          <w:szCs w:val="22"/>
        </w:rPr>
        <w:t>se puntuará el primer y segundo puesto en Campeonatos Autonómicos de deportes olímpicos.</w:t>
      </w:r>
    </w:p>
    <w:p>
      <w:pPr>
        <w:pStyle w:val="Normal"/>
        <w:spacing w:lineRule="auto" w:line="276"/>
        <w:ind w:start="737"/>
        <w:jc w:val="both"/>
        <w:rPr>
          <w:rFonts w:ascii="Arial" w:hAnsi="Arial"/>
          <w:sz w:val="22"/>
          <w:szCs w:val="22"/>
        </w:rPr>
      </w:pPr>
      <w:r>
        <w:rPr>
          <w:sz w:val="22"/>
          <w:szCs w:val="22"/>
        </w:rPr>
      </w:r>
    </w:p>
    <w:p>
      <w:pPr>
        <w:pStyle w:val="Normal"/>
        <w:widowControl w:val="false"/>
        <w:suppressAutoHyphens w:val="true"/>
        <w:bidi w:val="0"/>
        <w:spacing w:lineRule="auto" w:line="276" w:before="0" w:after="0"/>
        <w:ind w:hanging="0" w:start="1417" w:end="0"/>
        <w:jc w:val="both"/>
        <w:rPr>
          <w:rFonts w:ascii="Arial" w:hAnsi="Arial"/>
          <w:sz w:val="22"/>
          <w:szCs w:val="22"/>
        </w:rPr>
      </w:pPr>
      <w:r>
        <w:rPr>
          <w:rFonts w:eastAsia="Times New Roman" w:cs="Times New Roman"/>
          <w:kern w:val="0"/>
          <w:sz w:val="22"/>
          <w:szCs w:val="22"/>
          <w:lang w:eastAsia="es-ES" w:bidi="ar-SA"/>
        </w:rPr>
        <w:t xml:space="preserve">11.2 </w:t>
      </w:r>
      <w:r>
        <w:rPr>
          <w:sz w:val="22"/>
          <w:szCs w:val="22"/>
        </w:rPr>
        <w:t>En la modalidad deportiva de gimnasia rítmica únicamente se tendrán en cuenta los resultados obtenidos en los “Campeonatos absolutos individual o conjuntos, los campeonatos equipos y el Campeonato de España de Selecciones Autonómicas CESA”, “Copa de la Reina y la Copa de España” todos ellos desde categoría infantil hasta senior. El “Campeonato de España Base únicamente se valorará la categoría infantil”.</w:t>
      </w:r>
    </w:p>
    <w:p>
      <w:pPr>
        <w:pStyle w:val="Normal"/>
        <w:spacing w:lineRule="auto" w:line="276"/>
        <w:ind w:start="737"/>
        <w:jc w:val="both"/>
        <w:rPr>
          <w:rFonts w:ascii="Arial" w:hAnsi="Arial"/>
          <w:sz w:val="22"/>
          <w:szCs w:val="22"/>
        </w:rPr>
      </w:pPr>
      <w:r>
        <w:rPr>
          <w:sz w:val="22"/>
          <w:szCs w:val="22"/>
        </w:rPr>
      </w:r>
    </w:p>
    <w:p>
      <w:pPr>
        <w:pStyle w:val="Normal"/>
        <w:widowControl w:val="false"/>
        <w:suppressAutoHyphens w:val="true"/>
        <w:bidi w:val="0"/>
        <w:spacing w:lineRule="auto" w:line="276" w:before="0" w:after="0"/>
        <w:ind w:hanging="0" w:start="1474" w:end="0"/>
        <w:jc w:val="both"/>
        <w:rPr>
          <w:rFonts w:ascii="Arial" w:hAnsi="Arial"/>
          <w:sz w:val="22"/>
          <w:szCs w:val="22"/>
        </w:rPr>
      </w:pPr>
      <w:r>
        <w:rPr>
          <w:sz w:val="22"/>
          <w:szCs w:val="22"/>
        </w:rPr>
        <w:t>11.3 En deportes individuales/colectivos, únicamente se considerarán los resultados obtenidos por parejas, equipos o conjuntos que desarrollen su acción competitiva de forma simultánea (dobles tenis, conjunto en gimnasia rítmica, tripulaciones de remo…) descartando los resultados obtenidos por clasificación clubes, selecciones o similar.</w:t>
      </w:r>
    </w:p>
    <w:p>
      <w:pPr>
        <w:pStyle w:val="Normal"/>
        <w:spacing w:lineRule="auto" w:line="276"/>
        <w:jc w:val="both"/>
        <w:rPr>
          <w:rFonts w:ascii="Arial" w:hAnsi="Arial"/>
          <w:sz w:val="22"/>
          <w:szCs w:val="22"/>
        </w:rPr>
      </w:pPr>
      <w:r>
        <w:rPr>
          <w:sz w:val="22"/>
          <w:szCs w:val="22"/>
        </w:rPr>
      </w:r>
    </w:p>
    <w:p>
      <w:pPr>
        <w:pStyle w:val="Normal"/>
        <w:numPr>
          <w:ilvl w:val="0"/>
          <w:numId w:val="4"/>
        </w:numPr>
        <w:spacing w:lineRule="auto" w:line="276"/>
        <w:jc w:val="both"/>
        <w:rPr>
          <w:rFonts w:ascii="Arial" w:hAnsi="Arial"/>
          <w:sz w:val="22"/>
          <w:szCs w:val="22"/>
        </w:rPr>
      </w:pPr>
      <w:r>
        <w:rPr>
          <w:sz w:val="22"/>
          <w:szCs w:val="22"/>
        </w:rPr>
        <w:t xml:space="preserve">Los deportistas paralímpicos de la ciudad de Torrevieja podrán solicitar estas becas en igualdad de condiciones y con los mismos derechos </w:t>
      </w:r>
    </w:p>
    <w:p>
      <w:pPr>
        <w:pStyle w:val="Normal"/>
        <w:spacing w:lineRule="auto" w:line="276"/>
        <w:jc w:val="both"/>
        <w:rPr>
          <w:rFonts w:ascii="Arial" w:hAnsi="Arial"/>
          <w:sz w:val="22"/>
          <w:szCs w:val="22"/>
        </w:rPr>
      </w:pPr>
      <w:r>
        <w:rPr>
          <w:sz w:val="22"/>
          <w:szCs w:val="22"/>
        </w:rPr>
      </w:r>
    </w:p>
    <w:p>
      <w:pPr>
        <w:pStyle w:val="Normal"/>
        <w:numPr>
          <w:ilvl w:val="0"/>
          <w:numId w:val="4"/>
        </w:numPr>
        <w:spacing w:lineRule="auto" w:line="276"/>
        <w:jc w:val="both"/>
        <w:rPr>
          <w:rFonts w:ascii="Arial" w:hAnsi="Arial"/>
          <w:sz w:val="22"/>
          <w:szCs w:val="22"/>
        </w:rPr>
      </w:pPr>
      <w:r>
        <w:rPr>
          <w:rFonts w:eastAsia="Times New Roman"/>
          <w:kern w:val="0"/>
          <w:sz w:val="22"/>
          <w:szCs w:val="22"/>
          <w:lang w:eastAsia="es-ES"/>
        </w:rPr>
        <w:t xml:space="preserve">De conformidad con el artículo 7 de la Ordenanza General Reguladora de Concesión de Subvenciones del Ayuntamiento de Torrevieja y del artículo 19 de la </w:t>
      </w:r>
      <w:r>
        <w:rPr>
          <w:sz w:val="22"/>
          <w:szCs w:val="22"/>
        </w:rPr>
        <w:t>Ley 38/2003, de 17 de Noviembre, General de Subvenciones, e</w:t>
      </w:r>
      <w:r>
        <w:rPr>
          <w:rFonts w:eastAsia="Times New Roman"/>
          <w:kern w:val="0"/>
          <w:sz w:val="22"/>
          <w:szCs w:val="22"/>
          <w:lang w:eastAsia="es-ES"/>
        </w:rPr>
        <w:t xml:space="preserve">stas becas </w:t>
      </w:r>
      <w:r>
        <w:rPr>
          <w:rFonts w:eastAsia="Times New Roman"/>
          <w:b w:val="false"/>
          <w:bCs w:val="false"/>
          <w:kern w:val="0"/>
          <w:sz w:val="22"/>
          <w:szCs w:val="22"/>
          <w:lang w:eastAsia="es-ES"/>
        </w:rPr>
        <w:t>serán compatibles c</w:t>
      </w:r>
      <w:r>
        <w:rPr>
          <w:rFonts w:eastAsia="Times New Roman"/>
          <w:kern w:val="0"/>
          <w:sz w:val="22"/>
          <w:szCs w:val="22"/>
          <w:lang w:eastAsia="es-ES"/>
        </w:rPr>
        <w:t>on cualquier otra ayuda concedida por otra administración pública.</w:t>
      </w:r>
    </w:p>
    <w:p>
      <w:pPr>
        <w:pStyle w:val="Normal"/>
        <w:spacing w:lineRule="auto" w:line="276"/>
        <w:jc w:val="both"/>
        <w:rPr>
          <w:rFonts w:ascii="Arial" w:hAnsi="Arial"/>
          <w:sz w:val="22"/>
          <w:szCs w:val="22"/>
        </w:rPr>
      </w:pPr>
      <w:r>
        <w:rPr>
          <w:sz w:val="22"/>
          <w:szCs w:val="22"/>
        </w:rPr>
      </w:r>
    </w:p>
    <w:p>
      <w:pPr>
        <w:pStyle w:val="Normal"/>
        <w:spacing w:lineRule="auto" w:line="276"/>
        <w:jc w:val="both"/>
        <w:rPr>
          <w:rFonts w:ascii="Arial" w:hAnsi="Arial"/>
          <w:sz w:val="22"/>
          <w:szCs w:val="22"/>
        </w:rPr>
      </w:pPr>
      <w:r>
        <w:rPr>
          <w:sz w:val="22"/>
          <w:szCs w:val="22"/>
        </w:rPr>
        <w:t xml:space="preserve">4.3. </w:t>
      </w:r>
      <w:r>
        <w:rPr>
          <w:rStyle w:val="Strong"/>
          <w:sz w:val="22"/>
          <w:szCs w:val="22"/>
        </w:rPr>
        <w:t>Exclusiones.</w:t>
      </w:r>
    </w:p>
    <w:p>
      <w:pPr>
        <w:pStyle w:val="Normal"/>
        <w:spacing w:lineRule="auto" w:line="276"/>
        <w:jc w:val="both"/>
        <w:rPr>
          <w:rFonts w:ascii="Arial" w:hAnsi="Arial"/>
          <w:sz w:val="22"/>
          <w:szCs w:val="22"/>
        </w:rPr>
      </w:pPr>
      <w:r>
        <w:rPr>
          <w:sz w:val="22"/>
          <w:szCs w:val="22"/>
        </w:rPr>
        <w:t>No podrán ser beneficiarios:</w:t>
      </w:r>
    </w:p>
    <w:p>
      <w:pPr>
        <w:pStyle w:val="Normal"/>
        <w:numPr>
          <w:ilvl w:val="0"/>
          <w:numId w:val="2"/>
        </w:numPr>
        <w:spacing w:lineRule="auto" w:line="276"/>
        <w:jc w:val="both"/>
        <w:rPr/>
      </w:pPr>
      <w:r>
        <w:rPr>
          <w:sz w:val="22"/>
          <w:szCs w:val="22"/>
        </w:rPr>
        <w:t>Los deportistas que no se encuentren al corriente en el cumplimiento de sus obligaciones tributarias y frente a la Seguridad Social, así como, cuando resulte exigible conforme a la normativa municipal, de sus obligaciones tributarias con el Ayuntamiento de Torrevieja.</w:t>
      </w:r>
    </w:p>
    <w:p>
      <w:pPr>
        <w:pStyle w:val="Normal"/>
        <w:spacing w:lineRule="auto" w:line="276"/>
        <w:jc w:val="both"/>
        <w:rPr/>
      </w:pPr>
      <w:r>
        <w:rPr>
          <w:sz w:val="22"/>
          <w:szCs w:val="22"/>
        </w:rPr>
        <w:t>La acreditación del cumplimiento de las obligaciones tributarias y frente a la Seguridad Social se realizará en la forma prevista en los artículos 22 y siguientes del RLGS 887/2006. Cuando la cuantía a otorgar a cada beneficiario no supere el importe de 3.000 euros, la presentación de declaración responsable sustituirá a las certificaciones correspondientes, de conformidad con lo dispuesto en el artículo 24.4 del citado Reglamento.</w:t>
        <w:tab/>
      </w:r>
    </w:p>
    <w:p>
      <w:pPr>
        <w:pStyle w:val="Normal"/>
        <w:numPr>
          <w:ilvl w:val="0"/>
          <w:numId w:val="0"/>
        </w:numPr>
        <w:spacing w:lineRule="auto" w:line="276"/>
        <w:ind w:hanging="0" w:start="720"/>
        <w:jc w:val="both"/>
        <w:rPr>
          <w:rFonts w:ascii="Arial" w:hAnsi="Arial" w:cs="Times New Roman"/>
          <w:color w:val="000000"/>
          <w:sz w:val="22"/>
          <w:szCs w:val="22"/>
        </w:rPr>
      </w:pPr>
      <w:r>
        <w:rPr>
          <w:rFonts w:cs="Times New Roman"/>
          <w:color w:val="000000"/>
          <w:sz w:val="22"/>
          <w:szCs w:val="22"/>
        </w:rPr>
      </w:r>
    </w:p>
    <w:p>
      <w:pPr>
        <w:pStyle w:val="Normal"/>
        <w:numPr>
          <w:ilvl w:val="0"/>
          <w:numId w:val="2"/>
        </w:numPr>
        <w:spacing w:lineRule="auto" w:line="276"/>
        <w:jc w:val="both"/>
        <w:rPr/>
      </w:pPr>
      <w:r>
        <w:rPr>
          <w:sz w:val="22"/>
          <w:szCs w:val="22"/>
        </w:rPr>
        <w:t xml:space="preserve">Los deportistas sancionados en firme por infracción en materia de dopaje. En caso de existir procedimiento pendiente de resolución firme, la concesión de la ayuda quedará en suspenso hasta que recaiga resolución definitiva. </w:t>
      </w:r>
    </w:p>
    <w:p>
      <w:pPr>
        <w:pStyle w:val="Normal"/>
        <w:numPr>
          <w:ilvl w:val="0"/>
          <w:numId w:val="0"/>
        </w:numPr>
        <w:spacing w:lineRule="auto" w:line="276"/>
        <w:ind w:hanging="0" w:start="720"/>
        <w:jc w:val="both"/>
        <w:rPr>
          <w:rFonts w:ascii="Arial" w:hAnsi="Arial"/>
          <w:sz w:val="22"/>
          <w:szCs w:val="22"/>
        </w:rPr>
      </w:pPr>
      <w:r>
        <w:rPr>
          <w:sz w:val="22"/>
          <w:szCs w:val="22"/>
        </w:rPr>
      </w:r>
    </w:p>
    <w:p>
      <w:pPr>
        <w:pStyle w:val="Normal"/>
        <w:numPr>
          <w:ilvl w:val="0"/>
          <w:numId w:val="2"/>
        </w:numPr>
        <w:spacing w:lineRule="auto" w:line="276"/>
        <w:jc w:val="both"/>
        <w:rPr>
          <w:highlight w:val="none"/>
          <w:shd w:fill="auto" w:val="clear"/>
        </w:rPr>
      </w:pPr>
      <w:r>
        <w:rPr>
          <w:sz w:val="22"/>
          <w:szCs w:val="22"/>
          <w:shd w:fill="auto" w:val="clear"/>
        </w:rPr>
        <w:t>No podrán obtener la condición de beneficiarios aquellos deportistas que, habiendo sido becados en la convocatoria anterior, hayan incumplido la obligación de difusión de la imagen institucional regulada en el Artículo 6.b) de la citada convocatoria, salvo imposibilidad acreditada por normativa federativa.</w:t>
      </w:r>
    </w:p>
    <w:p>
      <w:pPr>
        <w:pStyle w:val="Normal"/>
        <w:spacing w:lineRule="auto" w:line="276"/>
        <w:jc w:val="both"/>
        <w:rPr>
          <w:rFonts w:ascii="Arial" w:hAnsi="Arial"/>
          <w:sz w:val="22"/>
          <w:szCs w:val="22"/>
        </w:rPr>
      </w:pPr>
      <w:r>
        <w:rPr>
          <w:sz w:val="22"/>
          <w:szCs w:val="22"/>
        </w:rPr>
      </w:r>
    </w:p>
    <w:p>
      <w:pPr>
        <w:pStyle w:val="Normal"/>
        <w:spacing w:lineRule="auto" w:line="276"/>
        <w:jc w:val="both"/>
        <w:rPr>
          <w:rFonts w:ascii="Arial" w:hAnsi="Arial"/>
          <w:sz w:val="22"/>
          <w:szCs w:val="22"/>
        </w:rPr>
      </w:pPr>
      <w:r>
        <w:rPr>
          <w:sz w:val="22"/>
          <w:szCs w:val="22"/>
        </w:rPr>
        <w:t xml:space="preserve">4.4. </w:t>
      </w:r>
      <w:r>
        <w:rPr>
          <w:rStyle w:val="Strong"/>
          <w:sz w:val="22"/>
          <w:szCs w:val="22"/>
        </w:rPr>
        <w:t>Ámbito objetivo.</w:t>
      </w:r>
    </w:p>
    <w:p>
      <w:pPr>
        <w:pStyle w:val="Normal"/>
        <w:numPr>
          <w:ilvl w:val="0"/>
          <w:numId w:val="6"/>
        </w:numPr>
        <w:spacing w:lineRule="auto" w:line="276"/>
        <w:jc w:val="both"/>
        <w:rPr>
          <w:rFonts w:ascii="Arial" w:hAnsi="Arial" w:eastAsia="Times New Roman" w:cs="Times New Roman"/>
          <w:kern w:val="0"/>
          <w:sz w:val="22"/>
          <w:szCs w:val="22"/>
          <w:lang w:eastAsia="es-ES" w:bidi="ar-SA"/>
        </w:rPr>
      </w:pPr>
      <w:r>
        <w:rPr>
          <w:rFonts w:eastAsia="Times New Roman" w:cs="Times New Roman"/>
          <w:kern w:val="0"/>
          <w:sz w:val="22"/>
          <w:szCs w:val="22"/>
          <w:lang w:eastAsia="es-ES" w:bidi="ar-SA"/>
        </w:rPr>
        <w:t xml:space="preserve">Las becas únicamente se concederán para deportes olímpicos o para modalidades deportivas cuya federación esté reconocida en la Comunidad Valenciana o en el Consejo Superior de Deportes. </w:t>
      </w:r>
    </w:p>
    <w:p>
      <w:pPr>
        <w:pStyle w:val="Normal"/>
        <w:numPr>
          <w:ilvl w:val="0"/>
          <w:numId w:val="6"/>
        </w:numPr>
        <w:spacing w:lineRule="auto" w:line="276"/>
        <w:jc w:val="both"/>
        <w:rPr>
          <w:rFonts w:ascii="Arial" w:hAnsi="Arial" w:eastAsia="Times New Roman" w:cs="Times New Roman"/>
          <w:kern w:val="0"/>
          <w:sz w:val="22"/>
          <w:szCs w:val="22"/>
          <w:lang w:eastAsia="es-ES" w:bidi="ar-SA"/>
        </w:rPr>
      </w:pPr>
      <w:r>
        <w:rPr>
          <w:rFonts w:eastAsia="Times New Roman" w:cs="Times New Roman"/>
          <w:kern w:val="0"/>
          <w:sz w:val="22"/>
          <w:szCs w:val="22"/>
          <w:lang w:eastAsia="es-ES" w:bidi="ar-SA"/>
        </w:rPr>
        <w:t xml:space="preserve">Quedan excluidos los Campeonatos Universitarios y cualesquiera otros organizados por entidades privadas. </w:t>
      </w:r>
    </w:p>
    <w:p>
      <w:pPr>
        <w:pStyle w:val="Normal"/>
        <w:numPr>
          <w:ilvl w:val="0"/>
          <w:numId w:val="6"/>
        </w:numPr>
        <w:spacing w:lineRule="auto" w:line="276"/>
        <w:jc w:val="both"/>
        <w:rPr>
          <w:rFonts w:ascii="Arial" w:hAnsi="Arial" w:eastAsia="Times New Roman" w:cs="Times New Roman"/>
          <w:kern w:val="0"/>
          <w:sz w:val="22"/>
          <w:szCs w:val="22"/>
          <w:lang w:eastAsia="es-ES" w:bidi="ar-SA"/>
        </w:rPr>
      </w:pPr>
      <w:r>
        <w:rPr>
          <w:rFonts w:eastAsia="Times New Roman" w:cs="Times New Roman"/>
          <w:kern w:val="0"/>
          <w:sz w:val="22"/>
          <w:szCs w:val="22"/>
          <w:lang w:eastAsia="es-ES" w:bidi="ar-SA"/>
        </w:rPr>
        <w:t xml:space="preserve">Las becas se concederán en atención a los resultados deportivos acreditados, siempre que concurran las circunstancias y condiciones previstas en estas bases. </w:t>
      </w:r>
    </w:p>
    <w:p>
      <w:pPr>
        <w:pStyle w:val="Normal"/>
        <w:spacing w:lineRule="auto" w:line="276"/>
        <w:jc w:val="both"/>
        <w:rPr>
          <w:rFonts w:ascii="Arial" w:hAnsi="Arial"/>
          <w:sz w:val="22"/>
          <w:szCs w:val="22"/>
        </w:rPr>
      </w:pPr>
      <w:r>
        <w:rPr>
          <w:sz w:val="22"/>
          <w:szCs w:val="22"/>
        </w:rPr>
      </w:r>
    </w:p>
    <w:p>
      <w:pPr>
        <w:pStyle w:val="Normal"/>
        <w:spacing w:lineRule="auto" w:line="276"/>
        <w:jc w:val="both"/>
        <w:rPr>
          <w:rFonts w:ascii="Arial" w:hAnsi="Arial"/>
          <w:sz w:val="22"/>
          <w:szCs w:val="22"/>
        </w:rPr>
      </w:pPr>
      <w:r>
        <w:rPr>
          <w:sz w:val="22"/>
          <w:szCs w:val="22"/>
        </w:rPr>
        <w:t>4.5.</w:t>
      </w:r>
      <w:r>
        <w:rPr>
          <w:b/>
          <w:bCs/>
          <w:sz w:val="22"/>
          <w:szCs w:val="22"/>
        </w:rPr>
        <w:t xml:space="preserve"> </w:t>
      </w:r>
      <w:r>
        <w:rPr>
          <w:rStyle w:val="Strong"/>
          <w:sz w:val="22"/>
          <w:szCs w:val="22"/>
        </w:rPr>
        <w:t>Acreditación de méritos deportivos.</w:t>
      </w:r>
    </w:p>
    <w:p>
      <w:pPr>
        <w:pStyle w:val="Normal"/>
        <w:spacing w:lineRule="auto" w:line="276"/>
        <w:jc w:val="both"/>
        <w:rPr/>
      </w:pPr>
      <w:r>
        <w:rPr>
          <w:rStyle w:val="Strong"/>
          <w:b w:val="false"/>
          <w:bCs w:val="false"/>
          <w:sz w:val="22"/>
          <w:szCs w:val="22"/>
        </w:rPr>
        <w:t xml:space="preserve">Para la valoración de los resultados deportivos, será imprescindible la presentación de un certificado emitido por la federación correspondiente en el que consten los resultados obtenidos y la fecha de realización de cada logro objeto de baremación. </w:t>
      </w:r>
    </w:p>
    <w:p>
      <w:pPr>
        <w:pStyle w:val="Normal"/>
        <w:spacing w:lineRule="auto" w:line="276"/>
        <w:jc w:val="both"/>
        <w:rPr>
          <w:szCs w:val="22"/>
        </w:rPr>
      </w:pPr>
      <w:r>
        <w:rPr>
          <w:szCs w:val="22"/>
        </w:rPr>
      </w:r>
    </w:p>
    <w:p>
      <w:pPr>
        <w:pStyle w:val="Normal"/>
        <w:numPr>
          <w:ilvl w:val="0"/>
          <w:numId w:val="0"/>
        </w:numPr>
        <w:overflowPunct w:val="true"/>
        <w:spacing w:lineRule="auto" w:line="276"/>
        <w:ind w:hanging="0" w:start="340"/>
        <w:jc w:val="both"/>
        <w:rPr>
          <w:b/>
          <w:bCs/>
        </w:rPr>
      </w:pPr>
      <w:r>
        <w:rPr/>
      </w:r>
    </w:p>
    <w:p>
      <w:pPr>
        <w:pStyle w:val="Normal"/>
        <w:spacing w:lineRule="auto" w:line="276"/>
        <w:jc w:val="both"/>
        <w:rPr>
          <w:szCs w:val="22"/>
        </w:rPr>
      </w:pPr>
      <w:r>
        <w:rPr>
          <w:szCs w:val="22"/>
        </w:rPr>
      </w:r>
    </w:p>
    <w:p>
      <w:pPr>
        <w:pStyle w:val="Normal"/>
        <w:spacing w:lineRule="auto" w:line="276"/>
        <w:jc w:val="both"/>
        <w:rPr>
          <w:szCs w:val="22"/>
        </w:rPr>
      </w:pPr>
      <w:r>
        <w:rPr/>
      </w:r>
    </w:p>
    <w:p>
      <w:pPr>
        <w:pStyle w:val="Normal"/>
        <w:spacing w:lineRule="auto" w:line="276"/>
        <w:jc w:val="both"/>
        <w:rPr>
          <w:rFonts w:eastAsia="Times New Roman" w:cs="Times New Roman"/>
          <w:color w:val="000000"/>
          <w:szCs w:val="22"/>
          <w:shd w:fill="FFFFFF" w:val="clear"/>
          <w:lang w:eastAsia="es-ES" w:bidi="ar-SA"/>
        </w:rPr>
      </w:pPr>
      <w:r>
        <w:rPr>
          <w:rFonts w:eastAsia="Times New Roman" w:cs="Times New Roman"/>
          <w:color w:val="000000"/>
          <w:szCs w:val="22"/>
          <w:shd w:fill="FFFFFF" w:val="clear"/>
          <w:lang w:eastAsia="es-ES" w:bidi="ar-SA"/>
        </w:rPr>
      </w:r>
    </w:p>
    <w:p>
      <w:pPr>
        <w:pStyle w:val="Normal"/>
        <w:spacing w:lineRule="auto" w:line="276"/>
        <w:jc w:val="both"/>
        <w:rPr>
          <w:szCs w:val="22"/>
        </w:rPr>
      </w:pPr>
      <w:r>
        <w:rPr>
          <w:rFonts w:eastAsia="Times New Roman" w:cs="Times New Roman"/>
          <w:color w:val="000000"/>
          <w:szCs w:val="22"/>
          <w:shd w:fill="FFFFFF" w:val="clear"/>
          <w:lang w:eastAsia="es-ES" w:bidi="ar-SA"/>
        </w:rPr>
        <w:t xml:space="preserve">. </w:t>
      </w:r>
    </w:p>
    <w:p>
      <w:pPr>
        <w:pStyle w:val="Normal"/>
        <w:spacing w:lineRule="auto" w:line="276"/>
        <w:jc w:val="both"/>
        <w:rPr>
          <w:szCs w:val="22"/>
        </w:rPr>
      </w:pPr>
      <w:r>
        <w:rPr>
          <w:b/>
          <w:szCs w:val="22"/>
        </w:rPr>
        <w:t>Segundo. Objeto y finalidad:</w:t>
      </w:r>
    </w:p>
    <w:p>
      <w:pPr>
        <w:pStyle w:val="Normal"/>
        <w:numPr>
          <w:ilvl w:val="0"/>
          <w:numId w:val="3"/>
        </w:numPr>
        <w:spacing w:lineRule="auto" w:line="276"/>
        <w:jc w:val="both"/>
        <w:rPr>
          <w:rFonts w:ascii="Arial" w:hAnsi="Arial" w:eastAsia="Times New Roman" w:cs="Times New Roman"/>
          <w:kern w:val="0"/>
          <w:sz w:val="22"/>
          <w:szCs w:val="22"/>
          <w:lang w:val="es-ES_tradnl" w:eastAsia="es-ES" w:bidi="ar-SA"/>
        </w:rPr>
      </w:pPr>
      <w:r>
        <w:rPr>
          <w:rFonts w:eastAsia="Times New Roman" w:cs="Times New Roman"/>
          <w:kern w:val="0"/>
          <w:sz w:val="22"/>
          <w:szCs w:val="22"/>
          <w:lang w:val="es-ES_tradnl" w:eastAsia="es-ES" w:bidi="ar-SA"/>
        </w:rPr>
        <w:t xml:space="preserve">El objetivo es apoyar y promover la participación de deportistas locales en competiciones federadas durante la </w:t>
      </w:r>
      <w:r>
        <w:rPr>
          <w:rFonts w:eastAsia="Times New Roman" w:cs="Times New Roman"/>
          <w:b/>
          <w:kern w:val="0"/>
          <w:sz w:val="22"/>
          <w:szCs w:val="22"/>
          <w:lang w:val="es-ES_tradnl" w:eastAsia="es-ES" w:bidi="ar-SA"/>
        </w:rPr>
        <w:t>temporada 2025/2026 o anualidad 2026 (periodo del 1 de septiembre de 2025 al 31 de agosto de 2026)</w:t>
      </w:r>
      <w:r>
        <w:rPr>
          <w:rFonts w:eastAsia="Times New Roman" w:cs="Times New Roman"/>
          <w:kern w:val="0"/>
          <w:sz w:val="22"/>
          <w:szCs w:val="22"/>
          <w:lang w:val="es-ES_tradnl" w:eastAsia="es-ES" w:bidi="ar-SA"/>
        </w:rPr>
        <w:t xml:space="preserve">, valorando a quienes hayan destacado en campeonatos oficiales. </w:t>
      </w:r>
    </w:p>
    <w:p>
      <w:pPr>
        <w:pStyle w:val="Normal"/>
        <w:spacing w:lineRule="auto" w:line="276"/>
        <w:jc w:val="both"/>
        <w:rPr>
          <w:rFonts w:ascii="Arial" w:hAnsi="Arial"/>
          <w:sz w:val="22"/>
          <w:szCs w:val="22"/>
        </w:rPr>
      </w:pPr>
      <w:r>
        <w:rPr>
          <w:sz w:val="22"/>
          <w:szCs w:val="22"/>
        </w:rPr>
      </w:r>
    </w:p>
    <w:p>
      <w:pPr>
        <w:pStyle w:val="Normal"/>
        <w:numPr>
          <w:ilvl w:val="0"/>
          <w:numId w:val="3"/>
        </w:numPr>
        <w:spacing w:lineRule="auto" w:line="276"/>
        <w:jc w:val="both"/>
        <w:rPr>
          <w:rFonts w:ascii="Arial" w:hAnsi="Arial"/>
          <w:sz w:val="22"/>
          <w:szCs w:val="22"/>
        </w:rPr>
      </w:pPr>
      <w:r>
        <w:rPr>
          <w:rFonts w:eastAsia="Times New Roman" w:cs="Times New Roman"/>
          <w:kern w:val="0"/>
          <w:sz w:val="22"/>
          <w:szCs w:val="22"/>
          <w:lang w:val="es-ES_tradnl" w:eastAsia="es-ES" w:bidi="ar-SA"/>
        </w:rPr>
        <w:t>La finalidad de estas bases es fomentar la dedicación que requiere el deporte de competición, facilitar la permanencia de los deportistas en los clubes de la localidad, y coadyuvar en la formación y preparación de los deportistas de Torrevieja.</w:t>
      </w:r>
    </w:p>
    <w:p>
      <w:pPr>
        <w:pStyle w:val="Normal"/>
        <w:spacing w:lineRule="auto" w:line="276"/>
        <w:jc w:val="both"/>
        <w:rPr>
          <w:szCs w:val="22"/>
        </w:rPr>
      </w:pPr>
      <w:r>
        <w:rPr>
          <w:szCs w:val="22"/>
        </w:rPr>
      </w:r>
    </w:p>
    <w:p>
      <w:pPr>
        <w:pStyle w:val="Normal"/>
        <w:spacing w:lineRule="auto" w:line="276"/>
        <w:jc w:val="both"/>
        <w:rPr>
          <w:szCs w:val="22"/>
          <w:lang w:val="es-ES_tradnl"/>
        </w:rPr>
      </w:pPr>
      <w:r>
        <w:rPr>
          <w:szCs w:val="22"/>
          <w:lang w:val="es-ES_tradnl"/>
        </w:rPr>
      </w:r>
    </w:p>
    <w:p>
      <w:pPr>
        <w:pStyle w:val="Normal"/>
        <w:spacing w:lineRule="auto" w:line="276"/>
        <w:jc w:val="both"/>
        <w:rPr>
          <w:szCs w:val="22"/>
        </w:rPr>
      </w:pPr>
      <w:r>
        <w:rPr>
          <w:rFonts w:cs="Times New Roman"/>
          <w:b/>
          <w:szCs w:val="22"/>
        </w:rPr>
        <w:t>Tercero. Bases reguladoras:</w:t>
      </w:r>
    </w:p>
    <w:p>
      <w:pPr>
        <w:pStyle w:val="Normal"/>
        <w:widowControl/>
        <w:suppressAutoHyphens w:val="false"/>
        <w:spacing w:lineRule="auto" w:line="276"/>
        <w:rPr>
          <w:szCs w:val="22"/>
        </w:rPr>
      </w:pPr>
      <w:r>
        <w:rPr>
          <w:rFonts w:eastAsia="Times New Roman" w:cs="Times New Roman"/>
          <w:szCs w:val="22"/>
          <w:lang w:eastAsia="es-ES" w:bidi="ar-SA"/>
        </w:rPr>
        <w:t>Decreto del Sr. Concejal de Economía y Hacienda del Ayuntamiento de Torrevieja de fecha 1</w:t>
      </w:r>
      <w:r>
        <w:rPr>
          <w:rFonts w:eastAsia="Times New Roman" w:cs="Times New Roman"/>
          <w:szCs w:val="22"/>
          <w:lang w:eastAsia="es-ES" w:bidi="ar-SA"/>
        </w:rPr>
        <w:t>6</w:t>
      </w:r>
      <w:r>
        <w:rPr>
          <w:rFonts w:eastAsia="Times New Roman" w:cs="Times New Roman"/>
          <w:szCs w:val="22"/>
          <w:lang w:eastAsia="es-ES" w:bidi="ar-SA"/>
        </w:rPr>
        <w:t xml:space="preserve"> de octubre de 202</w:t>
      </w:r>
      <w:r>
        <w:rPr>
          <w:rFonts w:eastAsia="Times New Roman" w:cs="Times New Roman"/>
          <w:szCs w:val="22"/>
          <w:lang w:eastAsia="es-ES" w:bidi="ar-SA"/>
        </w:rPr>
        <w:t>6</w:t>
      </w:r>
      <w:r>
        <w:rPr>
          <w:rFonts w:eastAsia="Times New Roman" w:cs="Times New Roman"/>
          <w:szCs w:val="22"/>
          <w:lang w:eastAsia="es-ES" w:bidi="ar-SA"/>
        </w:rPr>
        <w:t xml:space="preserve">, por el que se aprueban las </w:t>
      </w:r>
      <w:r>
        <w:rPr>
          <w:szCs w:val="22"/>
        </w:rPr>
        <w:t>bases de la convocatoria para la concesión de becas a deportistas de locales para el ejercicio 202</w:t>
      </w:r>
      <w:r>
        <w:rPr>
          <w:szCs w:val="22"/>
        </w:rPr>
        <w:t>6</w:t>
      </w:r>
      <w:r>
        <w:rPr>
          <w:szCs w:val="22"/>
        </w:rPr>
        <w:t>.</w:t>
      </w:r>
    </w:p>
    <w:p>
      <w:pPr>
        <w:pStyle w:val="Normal"/>
        <w:spacing w:lineRule="auto" w:line="276"/>
        <w:jc w:val="both"/>
        <w:rPr>
          <w:szCs w:val="22"/>
        </w:rPr>
      </w:pPr>
      <w:r>
        <w:rPr>
          <w:rFonts w:eastAsia="Times New Roman" w:cs="Times New Roman"/>
          <w:szCs w:val="22"/>
          <w:lang w:eastAsia="es-ES" w:bidi="ar-SA"/>
        </w:rPr>
        <w:t xml:space="preserve">Bases publicadas en </w:t>
      </w:r>
    </w:p>
    <w:p>
      <w:pPr>
        <w:pStyle w:val="Normal"/>
        <w:spacing w:lineRule="auto" w:line="276"/>
        <w:jc w:val="both"/>
        <w:rPr>
          <w:rStyle w:val="Hyperlink"/>
          <w:szCs w:val="22"/>
        </w:rPr>
      </w:pPr>
      <w:hyperlink r:id="rId2">
        <w:r>
          <w:rPr>
            <w:rStyle w:val="Hyperlink"/>
            <w:szCs w:val="22"/>
          </w:rPr>
          <w:t>https://torrevieja.sedelectronica.es/board</w:t>
        </w:r>
      </w:hyperlink>
    </w:p>
    <w:p>
      <w:pPr>
        <w:pStyle w:val="Normal"/>
        <w:spacing w:lineRule="auto" w:line="276"/>
        <w:jc w:val="both"/>
        <w:rPr>
          <w:rFonts w:cs="Times New Roman"/>
          <w:szCs w:val="22"/>
        </w:rPr>
      </w:pPr>
      <w:r>
        <w:rPr>
          <w:rFonts w:cs="Times New Roman"/>
          <w:szCs w:val="22"/>
        </w:rPr>
      </w:r>
    </w:p>
    <w:p>
      <w:pPr>
        <w:pStyle w:val="Normal"/>
        <w:spacing w:lineRule="auto" w:line="276"/>
        <w:jc w:val="both"/>
        <w:rPr>
          <w:szCs w:val="22"/>
        </w:rPr>
      </w:pPr>
      <w:r>
        <w:rPr>
          <w:b/>
          <w:szCs w:val="22"/>
        </w:rPr>
        <w:t xml:space="preserve">Cuarto. </w:t>
      </w:r>
      <w:r>
        <w:rPr>
          <w:rFonts w:eastAsia="Times New Roman" w:cs="Times New Roman"/>
          <w:b/>
          <w:i/>
          <w:szCs w:val="22"/>
          <w:lang w:val="es-ES_tradnl" w:eastAsia="es-ES" w:bidi="ar-SA"/>
        </w:rPr>
        <w:t>Financiación de la convocatoria</w:t>
      </w:r>
      <w:r>
        <w:rPr>
          <w:b/>
          <w:szCs w:val="22"/>
        </w:rPr>
        <w:t>:</w:t>
      </w:r>
    </w:p>
    <w:p>
      <w:pPr>
        <w:pStyle w:val="Normal"/>
        <w:spacing w:lineRule="auto" w:line="276"/>
        <w:jc w:val="both"/>
        <w:rPr>
          <w:szCs w:val="22"/>
        </w:rPr>
      </w:pPr>
      <w:r>
        <w:rPr>
          <w:rFonts w:eastAsia="Times New Roman" w:cs="Times New Roman"/>
          <w:szCs w:val="22"/>
          <w:lang w:val="es-ES_tradnl" w:eastAsia="es-ES" w:bidi="ar-SA"/>
        </w:rPr>
        <w:t>La financiación de las becas concedidas al amparo de estas bases se realizará con cargo a la aplicación presupuestaria del presupuesto del año 202</w:t>
      </w:r>
      <w:r>
        <w:rPr>
          <w:rFonts w:eastAsia="Times New Roman" w:cs="Times New Roman"/>
          <w:szCs w:val="22"/>
          <w:lang w:val="es-ES_tradnl" w:eastAsia="es-ES" w:bidi="ar-SA"/>
        </w:rPr>
        <w:t>6</w:t>
      </w:r>
      <w:r>
        <w:rPr>
          <w:rFonts w:eastAsia="Times New Roman" w:cs="Times New Roman"/>
          <w:szCs w:val="22"/>
          <w:lang w:val="es-ES_tradnl" w:eastAsia="es-ES" w:bidi="ar-SA"/>
        </w:rPr>
        <w:t xml:space="preserve"> nº 341.48000, por importe total de 65.000 euros.</w:t>
      </w:r>
    </w:p>
    <w:p>
      <w:pPr>
        <w:pStyle w:val="Normal"/>
        <w:spacing w:lineRule="auto" w:line="276"/>
        <w:jc w:val="both"/>
        <w:rPr>
          <w:szCs w:val="22"/>
          <w:lang w:val="es-ES_tradnl"/>
        </w:rPr>
      </w:pPr>
      <w:r>
        <w:rPr>
          <w:szCs w:val="22"/>
          <w:lang w:val="es-ES_tradnl"/>
        </w:rPr>
      </w:r>
    </w:p>
    <w:p>
      <w:pPr>
        <w:pStyle w:val="Normal"/>
        <w:spacing w:lineRule="auto" w:line="276"/>
        <w:jc w:val="both"/>
        <w:rPr>
          <w:szCs w:val="22"/>
        </w:rPr>
      </w:pPr>
      <w:r>
        <w:rPr>
          <w:b/>
          <w:szCs w:val="22"/>
        </w:rPr>
        <w:t>Quinto. Plazo de presentación solicitudes.</w:t>
      </w:r>
    </w:p>
    <w:p>
      <w:pPr>
        <w:pStyle w:val="BodyText"/>
        <w:spacing w:lineRule="auto" w:line="276" w:before="0" w:after="120"/>
        <w:jc w:val="both"/>
        <w:rPr>
          <w:rFonts w:ascii="Arial" w:hAnsi="Arial"/>
          <w:sz w:val="22"/>
          <w:szCs w:val="22"/>
        </w:rPr>
      </w:pPr>
      <w:r>
        <w:rPr>
          <w:sz w:val="22"/>
          <w:szCs w:val="22"/>
        </w:rPr>
        <w:t>El plazo de presentación de solicitudes será de diez (10) días hábiles, contados a partir del día siguiente al de la publicación del extracto de la convocatoria en el Boletín Oficial de la Provincia.</w:t>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17" w:right="1417" w:gutter="0" w:header="567" w:top="1809" w:footer="567" w:bottom="1276"/>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Unicode MS">
    <w:charset w:val="00" w:characterSet="windows-1252"/>
    <w:family w:val="swiss"/>
    <w:pitch w:val="variable"/>
  </w:font>
  <w:font w:name="Liberation Sans">
    <w:altName w:val="Arial"/>
    <w:charset w:val="00" w:characterSet="windows-1252"/>
    <w:family w:val="swiss"/>
    <w:pitch w:val="variable"/>
  </w:font>
  <w:font w:name="Liberation Sans">
    <w:altName w:val="Arial"/>
    <w:charset w:val="00" w:characterSet="windows-1252"/>
    <w:family w:val="roman"/>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1310" cy="194310"/>
          <wp:effectExtent l="0" t="0" r="0" b="0"/>
          <wp:docPr id="3"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pic:cNvPicPr>
                    <a:picLocks noChangeAspect="1" noChangeArrowheads="1"/>
                  </pic:cNvPicPr>
                </pic:nvPicPr>
                <pic:blipFill>
                  <a:blip r:embed="rId1"/>
                  <a:srcRect l="-17" t="-461" r="-17" b="-461"/>
                  <a:stretch>
                    <a:fillRect/>
                  </a:stretch>
                </pic:blipFill>
                <pic:spPr bwMode="auto">
                  <a:xfrm>
                    <a:off x="0" y="0"/>
                    <a:ext cx="5401310" cy="1943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1310" cy="194310"/>
          <wp:effectExtent l="0" t="0" r="0" b="0"/>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1"/>
                  <a:srcRect l="-17" t="-461" r="-17" b="-461"/>
                  <a:stretch>
                    <a:fillRect/>
                  </a:stretch>
                </pic:blipFill>
                <pic:spPr bwMode="auto">
                  <a:xfrm>
                    <a:off x="0" y="0"/>
                    <a:ext cx="5401310" cy="1943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2094865" cy="697865"/>
          <wp:effectExtent l="0" t="0" r="0" b="0"/>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1"/>
                  <a:srcRect l="-63" t="-189" r="-63" b="-189"/>
                  <a:stretch>
                    <a:fillRect/>
                  </a:stretch>
                </pic:blipFill>
                <pic:spPr bwMode="auto">
                  <a:xfrm>
                    <a:off x="0" y="0"/>
                    <a:ext cx="2094865" cy="69786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2094865" cy="697865"/>
          <wp:effectExtent l="0" t="0" r="0" b="0"/>
          <wp:docPr id="2"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pic:cNvPicPr>
                    <a:picLocks noChangeAspect="1" noChangeArrowheads="1"/>
                  </pic:cNvPicPr>
                </pic:nvPicPr>
                <pic:blipFill>
                  <a:blip r:embed="rId1"/>
                  <a:srcRect l="-63" t="-189" r="-63" b="-189"/>
                  <a:stretch>
                    <a:fillRect/>
                  </a:stretch>
                </pic:blipFill>
                <pic:spPr bwMode="auto">
                  <a:xfrm>
                    <a:off x="0" y="0"/>
                    <a:ext cx="2094865" cy="69786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lowerLetter"/>
      <w:lvlText w:val="%1)"/>
      <w:lvlJc w:val="start"/>
      <w:pPr>
        <w:tabs>
          <w:tab w:val="num" w:pos="0"/>
        </w:tabs>
        <w:ind w:start="1440" w:hanging="360"/>
      </w:pPr>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3">
    <w:lvl w:ilvl="0">
      <w:start w:val="1"/>
      <w:numFmt w:val="decimal"/>
      <w:lvlText w:val="%1."/>
      <w:lvlJc w:val="start"/>
      <w:pPr>
        <w:tabs>
          <w:tab w:val="num" w:pos="786"/>
        </w:tabs>
        <w:ind w:start="786" w:hanging="360"/>
      </w:pPr>
      <w:rPr/>
    </w:lvl>
    <w:lvl w:ilvl="1">
      <w:start w:val="1"/>
      <w:numFmt w:val="decimal"/>
      <w:lvlText w:val="%2."/>
      <w:lvlJc w:val="start"/>
      <w:pPr>
        <w:tabs>
          <w:tab w:val="num" w:pos="1146"/>
        </w:tabs>
        <w:ind w:start="1146" w:hanging="360"/>
      </w:pPr>
      <w:rPr/>
    </w:lvl>
    <w:lvl w:ilvl="2">
      <w:start w:val="1"/>
      <w:numFmt w:val="decimal"/>
      <w:lvlText w:val="%3."/>
      <w:lvlJc w:val="start"/>
      <w:pPr>
        <w:tabs>
          <w:tab w:val="num" w:pos="1506"/>
        </w:tabs>
        <w:ind w:start="1506" w:hanging="360"/>
      </w:pPr>
      <w:rPr/>
    </w:lvl>
    <w:lvl w:ilvl="3">
      <w:start w:val="1"/>
      <w:numFmt w:val="decimal"/>
      <w:lvlText w:val="%4."/>
      <w:lvlJc w:val="start"/>
      <w:pPr>
        <w:tabs>
          <w:tab w:val="num" w:pos="1866"/>
        </w:tabs>
        <w:ind w:start="1866" w:hanging="360"/>
      </w:pPr>
      <w:rPr/>
    </w:lvl>
    <w:lvl w:ilvl="4">
      <w:start w:val="1"/>
      <w:numFmt w:val="decimal"/>
      <w:lvlText w:val="%5."/>
      <w:lvlJc w:val="start"/>
      <w:pPr>
        <w:tabs>
          <w:tab w:val="num" w:pos="2226"/>
        </w:tabs>
        <w:ind w:start="2226" w:hanging="360"/>
      </w:pPr>
      <w:rPr/>
    </w:lvl>
    <w:lvl w:ilvl="5">
      <w:start w:val="1"/>
      <w:numFmt w:val="decimal"/>
      <w:lvlText w:val="%6."/>
      <w:lvlJc w:val="start"/>
      <w:pPr>
        <w:tabs>
          <w:tab w:val="num" w:pos="2586"/>
        </w:tabs>
        <w:ind w:start="2586" w:hanging="360"/>
      </w:pPr>
      <w:rPr/>
    </w:lvl>
    <w:lvl w:ilvl="6">
      <w:start w:val="1"/>
      <w:numFmt w:val="decimal"/>
      <w:lvlText w:val="%7."/>
      <w:lvlJc w:val="start"/>
      <w:pPr>
        <w:tabs>
          <w:tab w:val="num" w:pos="2946"/>
        </w:tabs>
        <w:ind w:start="2946" w:hanging="360"/>
      </w:pPr>
      <w:rPr/>
    </w:lvl>
    <w:lvl w:ilvl="7">
      <w:start w:val="1"/>
      <w:numFmt w:val="decimal"/>
      <w:lvlText w:val="%8."/>
      <w:lvlJc w:val="start"/>
      <w:pPr>
        <w:tabs>
          <w:tab w:val="num" w:pos="3306"/>
        </w:tabs>
        <w:ind w:start="3306" w:hanging="360"/>
      </w:pPr>
      <w:rPr/>
    </w:lvl>
    <w:lvl w:ilvl="8">
      <w:start w:val="1"/>
      <w:numFmt w:val="decimal"/>
      <w:lvlText w:val="%9."/>
      <w:lvlJc w:val="start"/>
      <w:pPr>
        <w:tabs>
          <w:tab w:val="num" w:pos="3666"/>
        </w:tabs>
        <w:ind w:start="3666" w:hanging="360"/>
      </w:pPr>
      <w:rPr/>
    </w:lvl>
  </w:abstractNum>
  <w:abstractNum w:abstractNumId="4">
    <w:lvl w:ilvl="0">
      <w:start w:val="1"/>
      <w:numFmt w:val="decimal"/>
      <w:lvlText w:val="%1."/>
      <w:lvlJc w:val="start"/>
      <w:pPr>
        <w:tabs>
          <w:tab w:val="num" w:pos="0"/>
        </w:tabs>
        <w:ind w:start="1440" w:hanging="360"/>
      </w:pPr>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5">
    <w:lvl w:ilvl="0">
      <w:start w:val="1"/>
      <w:numFmt w:val="upperLetter"/>
      <w:lvlText w:val="%1."/>
      <w:lvlJc w:val="start"/>
      <w:pPr>
        <w:tabs>
          <w:tab w:val="num" w:pos="0"/>
        </w:tabs>
        <w:ind w:start="1440" w:hanging="360"/>
      </w:pPr>
      <w:rPr>
        <w:rFonts w:ascii="Arial" w:hAnsi="Arial"/>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6">
    <w:lvl w:ilvl="0">
      <w:start w:val="1"/>
      <w:numFmt w:val="lowerLetter"/>
      <w:lvlText w:val="%1)"/>
      <w:lvlJc w:val="start"/>
      <w:pPr>
        <w:tabs>
          <w:tab w:val="num" w:pos="720"/>
        </w:tabs>
        <w:ind w:start="720" w:hanging="360"/>
      </w:pPr>
      <w:rPr>
        <w:szCs w:val="22"/>
      </w:rPr>
    </w:lvl>
    <w:lvl w:ilvl="1">
      <w:start w:val="1"/>
      <w:numFmt w:val="lowerLetter"/>
      <w:lvlText w:val="%2)"/>
      <w:lvlJc w:val="start"/>
      <w:pPr>
        <w:tabs>
          <w:tab w:val="num" w:pos="1080"/>
        </w:tabs>
        <w:ind w:start="1080" w:hanging="360"/>
      </w:pPr>
      <w:rPr>
        <w:rFonts w:ascii="Arial" w:hAnsi="Arial"/>
      </w:rPr>
    </w:lvl>
    <w:lvl w:ilvl="2">
      <w:start w:val="1"/>
      <w:numFmt w:val="lowerLetter"/>
      <w:lvlText w:val="%3)"/>
      <w:lvlJc w:val="start"/>
      <w:pPr>
        <w:tabs>
          <w:tab w:val="num" w:pos="1440"/>
        </w:tabs>
        <w:ind w:start="1440" w:hanging="360"/>
      </w:pPr>
      <w:rPr>
        <w:rFonts w:ascii="Arial" w:hAnsi="Arial"/>
      </w:rPr>
    </w:lvl>
    <w:lvl w:ilvl="3">
      <w:start w:val="1"/>
      <w:numFmt w:val="lowerLetter"/>
      <w:lvlText w:val="%4)"/>
      <w:lvlJc w:val="start"/>
      <w:pPr>
        <w:tabs>
          <w:tab w:val="num" w:pos="1800"/>
        </w:tabs>
        <w:ind w:start="1800" w:hanging="360"/>
      </w:pPr>
      <w:rPr>
        <w:rFonts w:ascii="Arial" w:hAnsi="Arial"/>
      </w:rPr>
    </w:lvl>
    <w:lvl w:ilvl="4">
      <w:start w:val="1"/>
      <w:numFmt w:val="lowerLetter"/>
      <w:lvlText w:val="%5)"/>
      <w:lvlJc w:val="start"/>
      <w:pPr>
        <w:tabs>
          <w:tab w:val="num" w:pos="2160"/>
        </w:tabs>
        <w:ind w:start="2160" w:hanging="360"/>
      </w:pPr>
      <w:rPr>
        <w:rFonts w:ascii="Arial" w:hAnsi="Arial"/>
      </w:rPr>
    </w:lvl>
    <w:lvl w:ilvl="5">
      <w:start w:val="1"/>
      <w:numFmt w:val="lowerLetter"/>
      <w:lvlText w:val="%6)"/>
      <w:lvlJc w:val="start"/>
      <w:pPr>
        <w:tabs>
          <w:tab w:val="num" w:pos="2520"/>
        </w:tabs>
        <w:ind w:start="2520" w:hanging="360"/>
      </w:pPr>
      <w:rPr>
        <w:rFonts w:ascii="Arial" w:hAnsi="Arial"/>
      </w:rPr>
    </w:lvl>
    <w:lvl w:ilvl="6">
      <w:start w:val="1"/>
      <w:numFmt w:val="lowerLetter"/>
      <w:lvlText w:val="%7)"/>
      <w:lvlJc w:val="start"/>
      <w:pPr>
        <w:tabs>
          <w:tab w:val="num" w:pos="2880"/>
        </w:tabs>
        <w:ind w:start="2880" w:hanging="360"/>
      </w:pPr>
      <w:rPr>
        <w:rFonts w:ascii="Arial" w:hAnsi="Arial"/>
      </w:rPr>
    </w:lvl>
    <w:lvl w:ilvl="7">
      <w:start w:val="1"/>
      <w:numFmt w:val="lowerLetter"/>
      <w:lvlText w:val="%8)"/>
      <w:lvlJc w:val="start"/>
      <w:pPr>
        <w:tabs>
          <w:tab w:val="num" w:pos="3240"/>
        </w:tabs>
        <w:ind w:start="3240" w:hanging="360"/>
      </w:pPr>
      <w:rPr>
        <w:rFonts w:ascii="Arial" w:hAnsi="Arial"/>
      </w:rPr>
    </w:lvl>
    <w:lvl w:ilvl="8">
      <w:start w:val="1"/>
      <w:numFmt w:val="lowerLetter"/>
      <w:lvlText w:val="%9)"/>
      <w:lvlJc w:val="start"/>
      <w:pPr>
        <w:tabs>
          <w:tab w:val="num" w:pos="3600"/>
        </w:tabs>
        <w:ind w:start="3600" w:hanging="360"/>
      </w:pPr>
      <w:rPr>
        <w:rFonts w:ascii="Arial" w:hAnsi="Arial"/>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1134"/>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pPr>
    <w:rPr>
      <w:rFonts w:ascii="Arial" w:hAnsi="Arial" w:eastAsia="DejaVu Sans" w:cs="DejaVu Sans"/>
      <w:color w:val="auto"/>
      <w:kern w:val="0"/>
      <w:sz w:val="22"/>
      <w:szCs w:val="24"/>
      <w:lang w:val="es-ES" w:eastAsia="zh-CN" w:bidi="hi-IN"/>
    </w:rPr>
  </w:style>
  <w:style w:type="paragraph" w:styleId="Heading1">
    <w:name w:val="heading 1"/>
    <w:basedOn w:val="Title"/>
    <w:next w:val="BodyText"/>
    <w:uiPriority w:val="9"/>
    <w:qFormat/>
    <w:pPr>
      <w:numPr>
        <w:ilvl w:val="0"/>
        <w:numId w:val="1"/>
      </w:num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EndnoteCharacters" w:customStyle="1">
    <w:name w:val="Endnote Characters"/>
    <w:qFormat/>
    <w:rPr/>
  </w:style>
  <w:style w:type="character" w:styleId="FootnoteCharacters" w:customStyle="1">
    <w:name w:val="Footnote Characters"/>
    <w:qFormat/>
    <w:rPr/>
  </w:style>
  <w:style w:type="character" w:styleId="Hyperlink">
    <w:name w:val="Hyperlink"/>
    <w:rPr>
      <w:color w:val="000080"/>
      <w:u w:val="single"/>
    </w:rPr>
  </w:style>
  <w:style w:type="character" w:styleId="FollowedHyperlink">
    <w:name w:val="FollowedHyperlink"/>
    <w:basedOn w:val="DefaultParagraphFont"/>
    <w:rPr>
      <w:color w:themeColor="followedHyperlink" w:val="551A8B"/>
      <w:u w:val="single"/>
    </w:rPr>
  </w:style>
  <w:style w:type="character" w:styleId="Smbolosdenumeracinuser" w:customStyle="1">
    <w:name w:val="Símbolos de numeración (user)"/>
    <w:qFormat/>
    <w:rPr/>
  </w:style>
  <w:style w:type="character" w:styleId="Strong">
    <w:name w:val="Strong"/>
    <w:qFormat/>
    <w:rsid w:val="008148ff"/>
    <w:rPr>
      <w:b/>
      <w:bCs/>
    </w:rPr>
  </w:style>
  <w:style w:type="character" w:styleId="UnresolvedMention">
    <w:name w:val="Unresolved Mention"/>
    <w:basedOn w:val="DefaultParagraphFont"/>
    <w:uiPriority w:val="99"/>
    <w:semiHidden/>
    <w:unhideWhenUsed/>
    <w:qFormat/>
    <w:rsid w:val="00497557"/>
    <w:rPr>
      <w:color w:val="605E5C"/>
      <w:shd w:fill="E1DFDD" w:val="clear"/>
    </w:rPr>
  </w:style>
  <w:style w:type="character" w:styleId="Smbolosdenumeracin">
    <w:name w:val="Símbolos de numeración"/>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rPr>
  </w:style>
  <w:style w:type="paragraph" w:styleId="ndice">
    <w:name w:val="Índice"/>
    <w:basedOn w:val="Normal"/>
    <w:qFormat/>
    <w:pPr>
      <w:suppressLineNumbers/>
    </w:pPr>
    <w:rPr>
      <w:rFonts w:cs="Arial"/>
    </w:rPr>
  </w:style>
  <w:style w:type="paragraph" w:styleId="Title">
    <w:name w:val="Title"/>
    <w:basedOn w:val="Normal"/>
    <w:next w:val="BodyText"/>
    <w:uiPriority w:val="10"/>
    <w:qFormat/>
    <w:pPr>
      <w:keepNext w:val="true"/>
      <w:spacing w:before="240" w:after="283"/>
    </w:pPr>
    <w:rPr>
      <w:rFonts w:ascii="Liberation Sans;Arial" w:hAnsi="Liberation Sans;Arial" w:cs="Liberation Sans;Arial"/>
      <w:sz w:val="28"/>
      <w:szCs w:val="28"/>
    </w:rPr>
  </w:style>
  <w:style w:type="paragraph" w:styleId="ndiceuser" w:customStyle="1">
    <w:name w:val="Índice (user)"/>
    <w:basedOn w:val="Normal"/>
    <w:qFormat/>
    <w:pPr>
      <w:suppressLineNumbers/>
    </w:pPr>
    <w:rPr>
      <w:rFonts w:cs="Arial"/>
    </w:rPr>
  </w:style>
  <w:style w:type="paragraph" w:styleId="Lneahorizontaluser" w:customStyle="1">
    <w:name w:val="Línea horizontal (user)"/>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Contenidodelatablauser" w:customStyle="1">
    <w:name w:val="Contenido de la tabla (user)"/>
    <w:basedOn w:val="BodyText"/>
    <w:qFormat/>
    <w:pPr>
      <w:spacing w:before="0" w:after="0"/>
    </w:pPr>
    <w:rPr/>
  </w:style>
  <w:style w:type="paragraph" w:styleId="Cabeceraypieuser" w:customStyle="1">
    <w:name w:val="Cabecera y pie (user)"/>
    <w:basedOn w:val="Normal"/>
    <w:qFormat/>
    <w:pPr>
      <w:suppressLineNumbers/>
      <w:tabs>
        <w:tab w:val="clear" w:pos="1134"/>
        <w:tab w:val="center" w:pos="4819" w:leader="none"/>
        <w:tab w:val="right" w:pos="9638" w:leader="none"/>
      </w:tabs>
    </w:pPr>
    <w:rPr/>
  </w:style>
  <w:style w:type="paragraph" w:styleId="Cabeceraypie">
    <w:name w:val="Cabecera y pie"/>
    <w:basedOn w:val="Normal"/>
    <w:qFormat/>
    <w:pPr/>
    <w:rPr/>
  </w:style>
  <w:style w:type="paragraph" w:styleId="Header">
    <w:name w:val="header"/>
    <w:basedOn w:val="Cabeceraypieuser"/>
    <w:pPr/>
    <w:rPr/>
  </w:style>
  <w:style w:type="paragraph" w:styleId="Footer">
    <w:name w:val="footer"/>
    <w:basedOn w:val="Cabeceraypieuser"/>
    <w:pPr/>
    <w:rPr/>
  </w:style>
  <w:style w:type="paragraph" w:styleId="ListParagraph">
    <w:name w:val="List Paragraph"/>
    <w:basedOn w:val="Normal"/>
    <w:qFormat/>
    <w:pPr>
      <w:widowControl/>
      <w:suppressAutoHyphens w:val="false"/>
      <w:spacing w:lineRule="auto" w:line="276" w:before="0" w:after="200"/>
      <w:ind w:start="720"/>
    </w:pPr>
    <w:rPr>
      <w:rFonts w:ascii="Calibri" w:hAnsi="Calibri" w:eastAsia="Calibri" w:cs="Times New Roman"/>
      <w:szCs w:val="22"/>
      <w:lang w:eastAsia="ar-SA" w:bidi="ar-SA"/>
    </w:rPr>
  </w:style>
  <w:style w:type="numbering" w:styleId="Ningunalista" w:default="1">
    <w:name w:val="Ninguna lista"/>
    <w:uiPriority w:val="99"/>
    <w:semiHidden/>
    <w:unhideWhenUsed/>
    <w:qFormat/>
  </w:style>
  <w:style w:type="numbering" w:styleId="WW8Num1" w:customStyle="1">
    <w:name w:val="WW8Num1"/>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torrevieja.sedelectronica.es/board"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TotalTime>
  <Application>LibreOffice/26.2.6.3$Windows_X86_64 LibreOffice_project/8221e31b3ac356a1623c672912a3d2b492f7e3d1</Application>
  <AppVersion>15.0000</AppVersion>
  <Pages>4</Pages>
  <Words>1304</Words>
  <Characters>7498</Characters>
  <CharactersWithSpaces>8752</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2025-10-14T07:30:00Z</dcterms:created>
  <dc:creator>Carlos Griñán Martínez</dc:creator>
  <dc:description/>
  <dc:language>es-ES</dc:language>
  <cp:lastModifiedBy/>
  <dcterms:modified xsi:type="dcterms:W3CDTF">2026-10-19T08:35:07Z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