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D6C19" w14:textId="77777777" w:rsidR="001734EF" w:rsidRDefault="00000000" w:rsidP="001268D3">
      <w:pPr>
        <w:pStyle w:val="ExtractTitle"/>
        <w:jc w:val="both"/>
      </w:pPr>
      <w:r>
        <w:t xml:space="preserve">EXTRACTO de la </w:t>
      </w:r>
      <w:proofErr w:type="spellStart"/>
      <w:r>
        <w:t>Resolución</w:t>
      </w:r>
      <w:proofErr w:type="spellEnd"/>
      <w:r>
        <w:t xml:space="preserve"> del Rector de la Universidad de Las Palmas de Gran Canaria de 14 de octubre de 2026, por la que se modifican, para el curso 2026-2027, las bases reguladoras y las convocatorias de movilidad Erasmus+ STA y STT, a fin de incluir en su ámbito subjetivo al personal de la Escuela Universitaria de Turismo de Lanzarote, centro público adscrito a la ULPGC.</w:t>
      </w:r>
    </w:p>
    <w:p w14:paraId="3083D71A" w14:textId="77777777" w:rsidR="001734EF" w:rsidRDefault="00000000" w:rsidP="001268D3">
      <w:pPr>
        <w:jc w:val="both"/>
      </w:pPr>
      <w:r>
        <w:t xml:space="preserve">De </w:t>
      </w:r>
      <w:proofErr w:type="spellStart"/>
      <w:r>
        <w:t>conformidad</w:t>
      </w:r>
      <w:proofErr w:type="spellEnd"/>
      <w:r>
        <w:t xml:space="preserve"> con lo previsto en los artículos 17.3.b) y 20.8.a) de la Ley 38/2003, de 17 de noviembre, General de Subvenciones, se publica el extracto de la modificación de las convocatorias de referencia. El texto completo de la resolución se publicará en el boletín oficial correspondiente y se incorporará a la Base de Datos Nacional de Subvenciones en los términos legalmente exigibles.</w:t>
      </w:r>
    </w:p>
    <w:p w14:paraId="4CDFCC59" w14:textId="77777777" w:rsidR="001734EF" w:rsidRDefault="00000000" w:rsidP="001268D3">
      <w:pPr>
        <w:pStyle w:val="ExtractHead"/>
        <w:jc w:val="both"/>
      </w:pPr>
      <w:r>
        <w:t>Primero. Objeto de la modificación.</w:t>
      </w:r>
    </w:p>
    <w:p w14:paraId="40AF57BF" w14:textId="77777777" w:rsidR="001734EF" w:rsidRDefault="00000000" w:rsidP="001268D3">
      <w:pPr>
        <w:jc w:val="both"/>
      </w:pPr>
      <w:r>
        <w:t>Ampliar, exclusivamente para el curso académico 2026-2027, el ámbito subjetivo de las bases reguladoras y convocatorias de movilidad Erasmus+ con fines docentes (STA) y con fines formativos (STT) para permitir la participación del personal de la Escuela Universitaria de Turismo de Lanzarote, centro público adscrito a la Universidad de Las Palmas de Gran Canaria, en los términos de la resolución de 14 de octubre de 2026.</w:t>
      </w:r>
    </w:p>
    <w:p w14:paraId="21C621A4" w14:textId="77777777" w:rsidR="001734EF" w:rsidRDefault="00000000" w:rsidP="001268D3">
      <w:pPr>
        <w:pStyle w:val="ExtractHead"/>
        <w:jc w:val="both"/>
      </w:pPr>
      <w:r>
        <w:t>Segundo. Personal comprendido.</w:t>
      </w:r>
    </w:p>
    <w:p w14:paraId="49054F98" w14:textId="77777777" w:rsidR="001734EF" w:rsidRDefault="00000000" w:rsidP="001268D3">
      <w:pPr>
        <w:jc w:val="both"/>
      </w:pPr>
      <w:r>
        <w:t>En la modalidad STA podrá participar el personal docente que preste servicios efectivos en dicho centro e imparta docencia en el título oficial de Grado en Turismo de la ULPGC. En la modalidad STT podrá participar tanto dicho personal docente como el personal que desarrolle funciones de administración, gestión, organización o apoyo directamente vinculadas a la impartición y funcionamiento de la citada titulación.</w:t>
      </w:r>
    </w:p>
    <w:p w14:paraId="6BCB4AD7" w14:textId="77777777" w:rsidR="001734EF" w:rsidRDefault="00000000" w:rsidP="001268D3">
      <w:pPr>
        <w:pStyle w:val="ExtractHead"/>
        <w:jc w:val="both"/>
      </w:pPr>
      <w:r>
        <w:t>Tercero. Acreditación y requisitos.</w:t>
      </w:r>
    </w:p>
    <w:p w14:paraId="71030507" w14:textId="77777777" w:rsidR="001734EF" w:rsidRDefault="00000000" w:rsidP="001268D3">
      <w:pPr>
        <w:jc w:val="both"/>
      </w:pPr>
      <w:r>
        <w:t>Las personas comprendidas en la modificación deberán mantener, en el momento de la solicitud y durante la movilidad, la relación jurídica que las habilite para prestar servicios en la Escuela y acreditarla documentalmente, junto con la certificación de la Dirección del centro sobre las funciones efectivamente desempeñadas. La participación queda condicionada al cumplimiento de las restantes exigencias de las convocatorias, del Programa Erasmus+ y del convenio de subvención aplicable. No comporta reconocimiento de relación funcionarial o laboral con la ULPGC.</w:t>
      </w:r>
    </w:p>
    <w:p w14:paraId="1BE4BF2D" w14:textId="77777777" w:rsidR="001734EF" w:rsidRDefault="00000000" w:rsidP="001268D3">
      <w:pPr>
        <w:pStyle w:val="ExtractHead"/>
        <w:jc w:val="both"/>
      </w:pPr>
      <w:r>
        <w:t>Cuarto. Nuevo plazo de presentación de solicitudes.</w:t>
      </w:r>
    </w:p>
    <w:p w14:paraId="3186EEE6" w14:textId="77777777" w:rsidR="001734EF" w:rsidRDefault="00000000" w:rsidP="001268D3">
      <w:pPr>
        <w:jc w:val="both"/>
      </w:pPr>
      <w:r>
        <w:t>Se abre un nuevo plazo de quince (15) días hábiles, contado desde el día siguiente al de la publicación de la resolución modificativa, dirigido exclusivamente a las personas que resultan incluidas como consecuencia de esta modificación. No se reabre el plazo para quienes ya estaban comprendidos en el ámbito subjetivo original de las convocatorias.</w:t>
      </w:r>
    </w:p>
    <w:p w14:paraId="2087C752" w14:textId="77777777" w:rsidR="001734EF" w:rsidRDefault="00000000" w:rsidP="001268D3">
      <w:pPr>
        <w:pStyle w:val="ExtractHead"/>
        <w:jc w:val="both"/>
      </w:pPr>
      <w:r>
        <w:t>Quinto. Solicitudes anteriores.</w:t>
      </w:r>
    </w:p>
    <w:p w14:paraId="13F65F7F" w14:textId="77777777" w:rsidR="001734EF" w:rsidRDefault="00000000" w:rsidP="001268D3">
      <w:pPr>
        <w:jc w:val="both"/>
      </w:pPr>
      <w:r>
        <w:t>Las solicitudes ya presentadas por personas comprendidas en esta modificación conservarán su validez y no deberán reiterarse. Durante el nuevo plazo podrá completarse o subsanarse la documentación acreditativa de los requisitos introducidos.</w:t>
      </w:r>
    </w:p>
    <w:p w14:paraId="6DBA4248" w14:textId="77777777" w:rsidR="001734EF" w:rsidRDefault="00000000" w:rsidP="001268D3">
      <w:pPr>
        <w:pStyle w:val="ExtractHead"/>
        <w:jc w:val="both"/>
      </w:pPr>
      <w:r>
        <w:t>Sexto. Criterios de selección y financiación.</w:t>
      </w:r>
    </w:p>
    <w:p w14:paraId="1D8DB85F" w14:textId="77777777" w:rsidR="001734EF" w:rsidRDefault="00000000" w:rsidP="001268D3">
      <w:pPr>
        <w:jc w:val="both"/>
      </w:pPr>
      <w:r>
        <w:t>Se mantienen los baremos y criterios de selección de las convocatorias. La ampliación no supone reserva de plazas, preferencia, puntuación adicional ni incremento del crédito disponible.</w:t>
      </w:r>
    </w:p>
    <w:p w14:paraId="60E6E3DC" w14:textId="77777777" w:rsidR="001734EF" w:rsidRDefault="00000000" w:rsidP="001268D3">
      <w:pPr>
        <w:pStyle w:val="ExtractHead"/>
        <w:jc w:val="both"/>
      </w:pPr>
      <w:r>
        <w:t>Séptimo. Publicidad y eficacia.</w:t>
      </w:r>
    </w:p>
    <w:p w14:paraId="14C0567A" w14:textId="77777777" w:rsidR="001734EF" w:rsidRDefault="00000000" w:rsidP="001268D3">
      <w:pPr>
        <w:jc w:val="both"/>
      </w:pPr>
      <w:r>
        <w:t>La resolución dispone su publicación en el Boletín Oficial de la Universidad de Las Palmas de Gran Canaria y en la página web de movilidad de la ULPGC. Producirá efectos desde el día siguiente al de su publicación, de conformidad con el régimen oficial de publicidad aplicable.</w:t>
      </w:r>
    </w:p>
    <w:p w14:paraId="31C23AD9" w14:textId="77777777" w:rsidR="001734EF" w:rsidRDefault="00000000" w:rsidP="001268D3">
      <w:pPr>
        <w:spacing w:before="200"/>
        <w:jc w:val="both"/>
      </w:pPr>
      <w:r>
        <w:t>Las Palmas de Gran Canaria, 14 de octubre de 2026.- El Rector, Luis Serra Majem.</w:t>
      </w:r>
    </w:p>
    <w:sectPr w:rsidR="001734EF" w:rsidSect="00034616">
      <w:footerReference w:type="default" r:id="rId8"/>
      <w:pgSz w:w="11906" w:h="16838"/>
      <w:pgMar w:top="1020" w:right="1361" w:bottom="96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8AFFA" w14:textId="77777777" w:rsidR="0075789F" w:rsidRDefault="0075789F">
      <w:pPr>
        <w:spacing w:after="0" w:line="240" w:lineRule="auto"/>
      </w:pPr>
      <w:r>
        <w:separator/>
      </w:r>
    </w:p>
  </w:endnote>
  <w:endnote w:type="continuationSeparator" w:id="0">
    <w:p w14:paraId="00E5E26C" w14:textId="77777777" w:rsidR="0075789F" w:rsidRDefault="00757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A676F" w14:textId="77777777" w:rsidR="001734EF" w:rsidRDefault="00000000">
    <w:pPr>
      <w:pStyle w:val="Piedepgina"/>
      <w:jc w:val="right"/>
    </w:pPr>
    <w:proofErr w:type="spellStart"/>
    <w:r>
      <w:rPr>
        <w:rFonts w:ascii="Arial" w:hAnsi="Arial"/>
        <w:color w:val="787878"/>
        <w:sz w:val="15"/>
      </w:rPr>
      <w:t>Borrador</w:t>
    </w:r>
    <w:proofErr w:type="spellEnd"/>
    <w:r>
      <w:rPr>
        <w:rFonts w:ascii="Arial" w:hAnsi="Arial"/>
        <w:color w:val="787878"/>
        <w:sz w:val="15"/>
      </w:rPr>
      <w:t xml:space="preserve"> para </w:t>
    </w:r>
    <w:proofErr w:type="spellStart"/>
    <w:r>
      <w:rPr>
        <w:rFonts w:ascii="Arial" w:hAnsi="Arial"/>
        <w:color w:val="787878"/>
        <w:sz w:val="15"/>
      </w:rPr>
      <w:t>registro</w:t>
    </w:r>
    <w:proofErr w:type="spellEnd"/>
    <w:r>
      <w:rPr>
        <w:rFonts w:ascii="Arial" w:hAnsi="Arial"/>
        <w:color w:val="787878"/>
        <w:sz w:val="15"/>
      </w:rPr>
      <w:t xml:space="preserve"> y </w:t>
    </w:r>
    <w:proofErr w:type="spellStart"/>
    <w:r>
      <w:rPr>
        <w:rFonts w:ascii="Arial" w:hAnsi="Arial"/>
        <w:color w:val="787878"/>
        <w:sz w:val="15"/>
      </w:rPr>
      <w:t>publicación</w:t>
    </w:r>
    <w:proofErr w:type="spellEnd"/>
    <w:r>
      <w:rPr>
        <w:rFonts w:ascii="Arial" w:hAnsi="Arial"/>
        <w:color w:val="787878"/>
        <w:sz w:val="15"/>
      </w:rPr>
      <w:t xml:space="preserve"> · </w:t>
    </w:r>
    <w:proofErr w:type="spellStart"/>
    <w:r>
      <w:rPr>
        <w:rFonts w:ascii="Arial" w:hAnsi="Arial"/>
        <w:color w:val="787878"/>
        <w:sz w:val="15"/>
      </w:rPr>
      <w:t>Identificadores</w:t>
    </w:r>
    <w:proofErr w:type="spellEnd"/>
    <w:r>
      <w:rPr>
        <w:rFonts w:ascii="Arial" w:hAnsi="Arial"/>
        <w:color w:val="787878"/>
        <w:sz w:val="15"/>
      </w:rPr>
      <w:t xml:space="preserve"> BDNS </w:t>
    </w:r>
    <w:proofErr w:type="spellStart"/>
    <w:r>
      <w:rPr>
        <w:rFonts w:ascii="Arial" w:hAnsi="Arial"/>
        <w:color w:val="787878"/>
        <w:sz w:val="15"/>
      </w:rPr>
      <w:t>por</w:t>
    </w:r>
    <w:proofErr w:type="spellEnd"/>
    <w:r>
      <w:rPr>
        <w:rFonts w:ascii="Arial" w:hAnsi="Arial"/>
        <w:color w:val="787878"/>
        <w:sz w:val="15"/>
      </w:rPr>
      <w:t xml:space="preserve"> </w:t>
    </w:r>
    <w:proofErr w:type="spellStart"/>
    <w:r>
      <w:rPr>
        <w:rFonts w:ascii="Arial" w:hAnsi="Arial"/>
        <w:color w:val="787878"/>
        <w:sz w:val="15"/>
      </w:rPr>
      <w:t>completar</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D4229" w14:textId="77777777" w:rsidR="0075789F" w:rsidRDefault="0075789F">
      <w:pPr>
        <w:spacing w:after="0" w:line="240" w:lineRule="auto"/>
      </w:pPr>
      <w:r>
        <w:separator/>
      </w:r>
    </w:p>
  </w:footnote>
  <w:footnote w:type="continuationSeparator" w:id="0">
    <w:p w14:paraId="4D0E9AA0" w14:textId="77777777" w:rsidR="0075789F" w:rsidRDefault="00757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241376197">
    <w:abstractNumId w:val="8"/>
  </w:num>
  <w:num w:numId="2" w16cid:durableId="1555696482">
    <w:abstractNumId w:val="6"/>
  </w:num>
  <w:num w:numId="3" w16cid:durableId="693269491">
    <w:abstractNumId w:val="5"/>
  </w:num>
  <w:num w:numId="4" w16cid:durableId="776363412">
    <w:abstractNumId w:val="4"/>
  </w:num>
  <w:num w:numId="5" w16cid:durableId="803933566">
    <w:abstractNumId w:val="7"/>
  </w:num>
  <w:num w:numId="6" w16cid:durableId="88621028">
    <w:abstractNumId w:val="3"/>
  </w:num>
  <w:num w:numId="7" w16cid:durableId="611405665">
    <w:abstractNumId w:val="2"/>
  </w:num>
  <w:num w:numId="8" w16cid:durableId="1076560468">
    <w:abstractNumId w:val="1"/>
  </w:num>
  <w:num w:numId="9" w16cid:durableId="1658610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19EF"/>
    <w:rsid w:val="001268D3"/>
    <w:rsid w:val="0015074B"/>
    <w:rsid w:val="001734EF"/>
    <w:rsid w:val="0029639D"/>
    <w:rsid w:val="00326F90"/>
    <w:rsid w:val="0075789F"/>
    <w:rsid w:val="00835882"/>
    <w:rsid w:val="00AA1D8D"/>
    <w:rsid w:val="00B47730"/>
    <w:rsid w:val="00BE12B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66F3EB"/>
  <w14:defaultImageDpi w14:val="300"/>
  <w15:docId w15:val="{51CA040F-1360-41CB-9097-C086819E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line="259" w:lineRule="auto"/>
    </w:pPr>
    <w:rPr>
      <w:rFonts w:ascii="Times New Roman" w:hAnsi="Times New Roman"/>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xtractTitle">
    <w:name w:val="ExtractTitle"/>
    <w:basedOn w:val="Normal"/>
    <w:pPr>
      <w:keepNext/>
      <w:spacing w:after="160"/>
    </w:pPr>
    <w:rPr>
      <w:b/>
      <w:sz w:val="21"/>
    </w:rPr>
  </w:style>
  <w:style w:type="paragraph" w:customStyle="1" w:styleId="ExtractHead">
    <w:name w:val="ExtractHead"/>
    <w:basedOn w:val="Normal"/>
    <w:pPr>
      <w:keepNext/>
      <w:spacing w:before="80" w:after="2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550</Words>
  <Characters>3029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relint</cp:lastModifiedBy>
  <cp:revision>4</cp:revision>
  <dcterms:created xsi:type="dcterms:W3CDTF">2026-10-15T12:06:00Z</dcterms:created>
  <dcterms:modified xsi:type="dcterms:W3CDTF">2026-10-15T12:30:00Z</dcterms:modified>
  <cp:category/>
</cp:coreProperties>
</file>