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604E2" w14:textId="77777777" w:rsidR="00E65A07" w:rsidRDefault="00972853">
      <w:pPr>
        <w:pStyle w:val="Ttulo1"/>
        <w:ind w:left="-5"/>
      </w:pPr>
      <w:r>
        <w:t>Artículo 1.- Objeto de la convocatoria</w:t>
      </w:r>
    </w:p>
    <w:p w14:paraId="68465333"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6C15300E" wp14:editId="03E16F11">
                <wp:extent cx="6264000" cy="9525"/>
                <wp:effectExtent l="0" t="0" r="0" b="0"/>
                <wp:docPr id="3611" name="Group 3611"/>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4671" name="Shape 4671"/>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3611" style="width:493.228pt;height:0.75pt;mso-position-horizontal-relative:char;mso-position-vertical-relative:line" coordsize="62640,95">
                <v:shape id="Shape 4672"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6CF2CA87" w14:textId="77777777" w:rsidR="00E65A07" w:rsidRDefault="00972853">
      <w:pPr>
        <w:spacing w:after="127"/>
        <w:ind w:left="-5" w:right="8"/>
      </w:pPr>
      <w:r>
        <w:t>Es objeto de esta convocatoria conceder ayudas para la compra de libros de texto, material escolar y equipos informáticos para el curso 2026-2027, a alumnos/as que cursen segundo ciclo de Educación Infantil, Educación Primaria y Educación Secundaria Obligatoria en los centros escolares del municipio de Güeñes.</w:t>
      </w:r>
    </w:p>
    <w:p w14:paraId="395098AD" w14:textId="77777777" w:rsidR="00E65A07" w:rsidRDefault="00972853">
      <w:pPr>
        <w:spacing w:after="127"/>
        <w:ind w:left="-5" w:right="8"/>
      </w:pPr>
      <w:r>
        <w:t>En la convocatoria de 2026 se subvencionará la compra de libros de texto y material escolar y también la compra de equipos informáticos, con el fin de erradicar la brecha digital impulsando que las familias cuenten en sus hogares con sus propios medios.</w:t>
      </w:r>
    </w:p>
    <w:p w14:paraId="63FDF372" w14:textId="77777777" w:rsidR="00E65A07" w:rsidRDefault="00972853">
      <w:pPr>
        <w:spacing w:after="127"/>
        <w:ind w:left="-5" w:right="8"/>
      </w:pPr>
      <w:r>
        <w:rPr>
          <w:rFonts w:cs="Calibri"/>
          <w:b/>
        </w:rPr>
        <w:t>Gastos subvencionables:</w:t>
      </w:r>
      <w:r>
        <w:t xml:space="preserve"> serán subvencionables los gastos –con IVA incluido– realizados entre el 1 de julio y el 31 de octubre de 2026.</w:t>
      </w:r>
    </w:p>
    <w:p w14:paraId="20714B03" w14:textId="77777777" w:rsidR="00E65A07" w:rsidRDefault="00972853">
      <w:pPr>
        <w:numPr>
          <w:ilvl w:val="0"/>
          <w:numId w:val="1"/>
        </w:numPr>
        <w:spacing w:after="16" w:line="259" w:lineRule="auto"/>
        <w:ind w:right="8" w:hanging="126"/>
      </w:pPr>
      <w:r>
        <w:rPr>
          <w:rFonts w:cs="Calibri"/>
          <w:b/>
        </w:rPr>
        <w:t>a) La compra de los libros de texto y el siguiente material escolar:</w:t>
      </w:r>
    </w:p>
    <w:p w14:paraId="35576976" w14:textId="3359856F" w:rsidR="00E65A07" w:rsidRDefault="00972853">
      <w:pPr>
        <w:ind w:left="600" w:right="8" w:hanging="126"/>
      </w:pPr>
      <w:r>
        <w:t xml:space="preserve">◦ </w:t>
      </w:r>
      <w:r>
        <w:rPr>
          <w:rFonts w:cs="Calibri"/>
          <w:b/>
        </w:rPr>
        <w:t>Material de escritorio y fungibles:</w:t>
      </w:r>
      <w:r>
        <w:t xml:space="preserve"> Lápices, bolígrafos, elementos para borrar, clips, sacapuntas, reglas, escuadras, cartabones, transportadores, rotuladores, cuadernos, folios y consumibles informáticos.</w:t>
      </w:r>
    </w:p>
    <w:p w14:paraId="7575B69F" w14:textId="77777777" w:rsidR="00E65A07" w:rsidRDefault="00972853">
      <w:pPr>
        <w:ind w:left="600" w:right="8" w:hanging="126"/>
      </w:pPr>
      <w:r>
        <w:t xml:space="preserve">◦ </w:t>
      </w:r>
      <w:r>
        <w:rPr>
          <w:rFonts w:cs="Calibri"/>
          <w:b/>
        </w:rPr>
        <w:t>Material no fungible:</w:t>
      </w:r>
      <w:r>
        <w:t xml:space="preserve"> Clasificadores, archivadores, estuches, calculadoras, compases, mochilas escolares, separadores, diccionarios y libros de texto.</w:t>
      </w:r>
    </w:p>
    <w:p w14:paraId="3FEBDB09" w14:textId="77777777" w:rsidR="00E65A07" w:rsidRDefault="00972853">
      <w:pPr>
        <w:spacing w:after="160"/>
        <w:ind w:left="484" w:right="8"/>
      </w:pPr>
      <w:r>
        <w:t>◦ Y en general, cualquier material específicamente exigido por el centro escolar mediante circular.</w:t>
      </w:r>
    </w:p>
    <w:p w14:paraId="563ECA0D" w14:textId="77777777" w:rsidR="00E65A07" w:rsidRDefault="00972853">
      <w:pPr>
        <w:numPr>
          <w:ilvl w:val="0"/>
          <w:numId w:val="1"/>
        </w:numPr>
        <w:spacing w:after="10"/>
        <w:ind w:right="8" w:hanging="126"/>
      </w:pPr>
      <w:r>
        <w:rPr>
          <w:rFonts w:cs="Calibri"/>
          <w:b/>
        </w:rPr>
        <w:t>b) La compra de equipos informáticos:</w:t>
      </w:r>
      <w:r>
        <w:t xml:space="preserve"> Pueden ser ordenadores portátiles o de sobremesa o tabletas.</w:t>
      </w:r>
    </w:p>
    <w:p w14:paraId="41DA3023" w14:textId="77777777" w:rsidR="00E65A07" w:rsidRDefault="00972853">
      <w:pPr>
        <w:ind w:left="310" w:right="8"/>
      </w:pPr>
      <w:r>
        <w:t>Se subvencionará sólo un dispositivo por alumno/a.</w:t>
      </w:r>
    </w:p>
    <w:p w14:paraId="6A757944" w14:textId="77777777" w:rsidR="00E65A07" w:rsidRDefault="00972853">
      <w:pPr>
        <w:numPr>
          <w:ilvl w:val="0"/>
          <w:numId w:val="1"/>
        </w:numPr>
        <w:spacing w:after="298"/>
        <w:ind w:right="8" w:hanging="126"/>
      </w:pPr>
      <w:r>
        <w:rPr>
          <w:rFonts w:cs="Calibri"/>
          <w:b/>
        </w:rPr>
        <w:t>c) Exclusiones:</w:t>
      </w:r>
      <w:r>
        <w:t xml:space="preserve"> Se excluyen la cuota escolar, la ropa y el calzado en general, gafas de sol y material deportivo específico de una disciplina deportiva.</w:t>
      </w:r>
    </w:p>
    <w:p w14:paraId="37BA1BA4" w14:textId="77777777" w:rsidR="00E65A07" w:rsidRDefault="00972853">
      <w:pPr>
        <w:pStyle w:val="Ttulo1"/>
        <w:ind w:left="-5"/>
      </w:pPr>
      <w:r>
        <w:t>Artículo 2.- Naturaleza jurídica y régimen aplicable</w:t>
      </w:r>
    </w:p>
    <w:p w14:paraId="79C338AB"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28C57CF8" wp14:editId="3B58072B">
                <wp:extent cx="6264000" cy="9525"/>
                <wp:effectExtent l="0" t="0" r="0" b="0"/>
                <wp:docPr id="3612" name="Group 3612"/>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39" name="Shape 5039"/>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3612" style="width:493.228pt;height:0.75pt;mso-position-horizontal-relative:char;mso-position-vertical-relative:line" coordsize="62640,95">
                <v:shape id="Shape 5040"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5161ED02" w14:textId="77777777" w:rsidR="00E65A07" w:rsidRDefault="00972853">
      <w:pPr>
        <w:spacing w:after="298"/>
        <w:ind w:left="-5" w:right="8"/>
      </w:pPr>
      <w:r>
        <w:t>Las ayudas que se concedan tendrán carácter de subvención y se regirán por la Ley 38/2003, de 17 de noviembre, General de Subvenciones; el Real Decreto 887/2006, de 21 de julio, por el que se desarrolla Reglamento de la Ley 38/2003, y por lo recogido en esta convocatoria, de acuerdo con lo establecido en el artículo 23.2.a) de la Ley de Subvenciones.</w:t>
      </w:r>
    </w:p>
    <w:p w14:paraId="34CE4D5A" w14:textId="77777777" w:rsidR="00E65A07" w:rsidRDefault="00972853">
      <w:pPr>
        <w:pStyle w:val="Ttulo1"/>
        <w:ind w:left="-5"/>
      </w:pPr>
      <w:r>
        <w:t>Artículo 3.- Crédito presupuestario</w:t>
      </w:r>
    </w:p>
    <w:p w14:paraId="697A578D"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3B17D304" wp14:editId="1C07047E">
                <wp:extent cx="6264000" cy="9525"/>
                <wp:effectExtent l="0" t="0" r="0" b="0"/>
                <wp:docPr id="3613" name="Group 3613"/>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41" name="Shape 5041"/>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3613" style="width:493.228pt;height:0.75pt;mso-position-horizontal-relative:char;mso-position-vertical-relative:line" coordsize="62640,95">
                <v:shape id="Shape 5042"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157D9E9B" w14:textId="77777777" w:rsidR="00E65A07" w:rsidRDefault="00972853">
      <w:pPr>
        <w:ind w:left="-5" w:right="8"/>
      </w:pPr>
      <w:r>
        <w:t xml:space="preserve">El importe destinado a la financiación de estas ayudas asciende a 9.000 euros, con cargo a la partida número 25.231.480.000, </w:t>
      </w:r>
      <w:r>
        <w:rPr>
          <w:rFonts w:cs="Calibri"/>
          <w:i/>
        </w:rPr>
        <w:t>Acción social, transferencias corrientes a familias</w:t>
      </w:r>
      <w:r>
        <w:t>, del Presupuesto General Municipal del año 2026.</w:t>
      </w:r>
    </w:p>
    <w:p w14:paraId="0F3A66BF" w14:textId="77777777" w:rsidR="00E65A07" w:rsidRDefault="00972853">
      <w:pPr>
        <w:pStyle w:val="Ttulo1"/>
        <w:ind w:left="-5"/>
      </w:pPr>
      <w:r>
        <w:t>Artículo 4.- Requisitos generales para solicitar la ayuda</w:t>
      </w:r>
    </w:p>
    <w:p w14:paraId="4E8456F9"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5444068D" wp14:editId="50BC3294">
                <wp:extent cx="6264000" cy="9525"/>
                <wp:effectExtent l="0" t="0" r="0" b="0"/>
                <wp:docPr id="3755" name="Group 3755"/>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43" name="Shape 5043"/>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3755" style="width:493.228pt;height:0.75pt;mso-position-horizontal-relative:char;mso-position-vertical-relative:line" coordsize="62640,95">
                <v:shape id="Shape 5044"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46096107" w14:textId="77777777" w:rsidR="00E65A07" w:rsidRDefault="00972853">
      <w:pPr>
        <w:spacing w:after="130"/>
        <w:ind w:left="-5" w:right="8"/>
      </w:pPr>
      <w:r>
        <w:t>Para poder solicitar la ayuda se deberán reunir los siguientes requisitos:</w:t>
      </w:r>
    </w:p>
    <w:p w14:paraId="70DC29D3" w14:textId="77777777" w:rsidR="00E65A07" w:rsidRDefault="00972853">
      <w:pPr>
        <w:numPr>
          <w:ilvl w:val="0"/>
          <w:numId w:val="2"/>
        </w:numPr>
        <w:ind w:right="8" w:hanging="222"/>
      </w:pPr>
      <w:r>
        <w:t>Estar empadronados en Güeñes antes del 1 de enero del 2026, tanto el alumno/a como al menos alguno de los siguientes miembros de la unidad familiar: padre, madre o tutor/a.</w:t>
      </w:r>
    </w:p>
    <w:p w14:paraId="493D6D27" w14:textId="77777777" w:rsidR="00E65A07" w:rsidRDefault="00972853">
      <w:pPr>
        <w:numPr>
          <w:ilvl w:val="0"/>
          <w:numId w:val="2"/>
        </w:numPr>
        <w:ind w:right="8" w:hanging="222"/>
      </w:pPr>
      <w:r>
        <w:t>Estar matriculado en uno de los dos centros educativos de Güeñes en segundo ciclo de Educación Infantil, Educación Primaria o Educación Secundaria Obligatoria. Si se diera la circunstancia de que el alumno/a está matriculado en otros centros por razones familiares o sociales, se valoraría por parte de los Servicios Sociales.</w:t>
      </w:r>
    </w:p>
    <w:p w14:paraId="5491416A" w14:textId="77777777" w:rsidR="00E65A07" w:rsidRDefault="00972853">
      <w:pPr>
        <w:numPr>
          <w:ilvl w:val="0"/>
          <w:numId w:val="2"/>
        </w:numPr>
        <w:ind w:right="8" w:hanging="222"/>
      </w:pPr>
      <w:r>
        <w:t>El alumno/a debe de estar matriculado/a por primera vez en cada curso de los niveles educativos que corresponda a la convocatoria. El alumno/a que repita curso podrá ser beneficiario/a de la ayuda para la adquisición de material escolar, con carácter excepcional, para la adquisición de libros si han cambiado los libros de texto.</w:t>
      </w:r>
    </w:p>
    <w:p w14:paraId="63876DF3" w14:textId="77777777" w:rsidR="00E65A07" w:rsidRDefault="00972853">
      <w:pPr>
        <w:numPr>
          <w:ilvl w:val="0"/>
          <w:numId w:val="2"/>
        </w:numPr>
        <w:ind w:right="8" w:hanging="222"/>
      </w:pPr>
      <w:r>
        <w:t>No superar la renta per cápita en la cuantía de 10.000 euros anuales.</w:t>
      </w:r>
    </w:p>
    <w:p w14:paraId="5D91F970" w14:textId="77777777" w:rsidR="00E65A07" w:rsidRDefault="00972853">
      <w:pPr>
        <w:numPr>
          <w:ilvl w:val="0"/>
          <w:numId w:val="2"/>
        </w:numPr>
        <w:spacing w:after="292"/>
        <w:ind w:right="8" w:hanging="222"/>
      </w:pPr>
      <w:r>
        <w:t>Estar al corriente de las obligaciones tributarias respecto al Ayuntamiento de Güeñes, con el Departamento de Hacienda de la Diputación Foral de Bizkaia y de la Seguridad Social.</w:t>
      </w:r>
    </w:p>
    <w:p w14:paraId="441B28AF" w14:textId="77777777" w:rsidR="00E65A07" w:rsidRDefault="00972853">
      <w:pPr>
        <w:spacing w:after="426" w:line="275" w:lineRule="auto"/>
        <w:ind w:left="195" w:right="228" w:firstLine="0"/>
        <w:jc w:val="left"/>
      </w:pPr>
      <w:r>
        <w:rPr>
          <w:rFonts w:cs="Calibri"/>
          <w:noProof/>
          <w:color w:val="000000"/>
          <w:sz w:val="22"/>
        </w:rPr>
        <w:lastRenderedPageBreak/>
        <mc:AlternateContent>
          <mc:Choice Requires="wpg">
            <w:drawing>
              <wp:anchor distT="0" distB="0" distL="114300" distR="114300" simplePos="0" relativeHeight="251659264" behindDoc="1" locked="0" layoutInCell="1" allowOverlap="1" wp14:anchorId="5EED2C0F" wp14:editId="4BC0228D">
                <wp:simplePos x="0" y="0"/>
                <wp:positionH relativeFrom="column">
                  <wp:posOffset>0</wp:posOffset>
                </wp:positionH>
                <wp:positionV relativeFrom="paragraph">
                  <wp:posOffset>-126195</wp:posOffset>
                </wp:positionV>
                <wp:extent cx="6264000" cy="882650"/>
                <wp:effectExtent l="0" t="0" r="0" b="0"/>
                <wp:wrapNone/>
                <wp:docPr id="3756" name="Group 3756"/>
                <wp:cNvGraphicFramePr/>
                <a:graphic xmlns:a="http://schemas.openxmlformats.org/drawingml/2006/main">
                  <a:graphicData uri="http://schemas.microsoft.com/office/word/2010/wordprocessingGroup">
                    <wpg:wgp>
                      <wpg:cNvGrpSpPr/>
                      <wpg:grpSpPr>
                        <a:xfrm>
                          <a:off x="0" y="0"/>
                          <a:ext cx="6264000" cy="882650"/>
                          <a:chOff x="0" y="0"/>
                          <a:chExt cx="6264000" cy="882650"/>
                        </a:xfrm>
                      </wpg:grpSpPr>
                      <wps:wsp>
                        <wps:cNvPr id="98" name="Shape 98"/>
                        <wps:cNvSpPr/>
                        <wps:spPr>
                          <a:xfrm>
                            <a:off x="0" y="0"/>
                            <a:ext cx="6264000" cy="882650"/>
                          </a:xfrm>
                          <a:custGeom>
                            <a:avLst/>
                            <a:gdLst/>
                            <a:ahLst/>
                            <a:cxnLst/>
                            <a:rect l="0" t="0" r="0" b="0"/>
                            <a:pathLst>
                              <a:path w="6264000" h="882650">
                                <a:moveTo>
                                  <a:pt x="38100" y="0"/>
                                </a:moveTo>
                                <a:lnTo>
                                  <a:pt x="6225900" y="0"/>
                                </a:lnTo>
                                <a:cubicBezTo>
                                  <a:pt x="6246855" y="0"/>
                                  <a:pt x="6264000" y="17145"/>
                                  <a:pt x="6264000" y="38100"/>
                                </a:cubicBezTo>
                                <a:lnTo>
                                  <a:pt x="6264000" y="844550"/>
                                </a:lnTo>
                                <a:cubicBezTo>
                                  <a:pt x="6264000" y="865505"/>
                                  <a:pt x="6246855" y="882650"/>
                                  <a:pt x="6225900" y="882650"/>
                                </a:cubicBezTo>
                                <a:lnTo>
                                  <a:pt x="38100" y="882650"/>
                                </a:lnTo>
                                <a:cubicBezTo>
                                  <a:pt x="17145" y="882650"/>
                                  <a:pt x="0" y="865505"/>
                                  <a:pt x="0" y="844550"/>
                                </a:cubicBezTo>
                                <a:lnTo>
                                  <a:pt x="0" y="38100"/>
                                </a:lnTo>
                                <a:cubicBezTo>
                                  <a:pt x="0" y="17145"/>
                                  <a:pt x="17145" y="0"/>
                                  <a:pt x="38100" y="0"/>
                                </a:cubicBezTo>
                                <a:close/>
                              </a:path>
                            </a:pathLst>
                          </a:custGeom>
                          <a:ln w="0" cap="flat">
                            <a:miter lim="127000"/>
                          </a:ln>
                        </wps:spPr>
                        <wps:style>
                          <a:lnRef idx="0">
                            <a:srgbClr val="000000">
                              <a:alpha val="0"/>
                            </a:srgbClr>
                          </a:lnRef>
                          <a:fillRef idx="1">
                            <a:srgbClr val="EBF8FF"/>
                          </a:fillRef>
                          <a:effectRef idx="0">
                            <a:scrgbClr r="0" g="0" b="0"/>
                          </a:effectRef>
                          <a:fontRef idx="none"/>
                        </wps:style>
                        <wps:bodyPr/>
                      </wps:wsp>
                      <wps:wsp>
                        <wps:cNvPr id="99" name="Shape 99"/>
                        <wps:cNvSpPr/>
                        <wps:spPr>
                          <a:xfrm>
                            <a:off x="0" y="0"/>
                            <a:ext cx="3132000" cy="882650"/>
                          </a:xfrm>
                          <a:custGeom>
                            <a:avLst/>
                            <a:gdLst/>
                            <a:ahLst/>
                            <a:cxnLst/>
                            <a:rect l="0" t="0" r="0" b="0"/>
                            <a:pathLst>
                              <a:path w="3132000" h="882650">
                                <a:moveTo>
                                  <a:pt x="38100" y="0"/>
                                </a:moveTo>
                                <a:lnTo>
                                  <a:pt x="3132000" y="0"/>
                                </a:lnTo>
                                <a:lnTo>
                                  <a:pt x="3132000" y="9525"/>
                                </a:lnTo>
                                <a:lnTo>
                                  <a:pt x="38100" y="9525"/>
                                </a:lnTo>
                                <a:cubicBezTo>
                                  <a:pt x="22384" y="9525"/>
                                  <a:pt x="9525" y="22384"/>
                                  <a:pt x="9525" y="38100"/>
                                </a:cubicBezTo>
                                <a:lnTo>
                                  <a:pt x="9525" y="844550"/>
                                </a:lnTo>
                                <a:cubicBezTo>
                                  <a:pt x="9525" y="860267"/>
                                  <a:pt x="22384" y="873125"/>
                                  <a:pt x="38100" y="873125"/>
                                </a:cubicBezTo>
                                <a:lnTo>
                                  <a:pt x="3132000" y="873125"/>
                                </a:lnTo>
                                <a:lnTo>
                                  <a:pt x="3132000" y="882650"/>
                                </a:lnTo>
                                <a:lnTo>
                                  <a:pt x="38100" y="882650"/>
                                </a:lnTo>
                                <a:cubicBezTo>
                                  <a:pt x="17145" y="882650"/>
                                  <a:pt x="0" y="865505"/>
                                  <a:pt x="0" y="844550"/>
                                </a:cubicBezTo>
                                <a:lnTo>
                                  <a:pt x="0" y="38100"/>
                                </a:lnTo>
                                <a:cubicBezTo>
                                  <a:pt x="0" y="17145"/>
                                  <a:pt x="17145" y="0"/>
                                  <a:pt x="38100" y="0"/>
                                </a:cubicBezTo>
                                <a:close/>
                              </a:path>
                            </a:pathLst>
                          </a:custGeom>
                          <a:ln w="0" cap="flat">
                            <a:miter lim="127000"/>
                          </a:ln>
                        </wps:spPr>
                        <wps:style>
                          <a:lnRef idx="0">
                            <a:srgbClr val="000000">
                              <a:alpha val="0"/>
                            </a:srgbClr>
                          </a:lnRef>
                          <a:fillRef idx="1">
                            <a:srgbClr val="BEE3F8"/>
                          </a:fillRef>
                          <a:effectRef idx="0">
                            <a:scrgbClr r="0" g="0" b="0"/>
                          </a:effectRef>
                          <a:fontRef idx="none"/>
                        </wps:style>
                        <wps:bodyPr/>
                      </wps:wsp>
                      <wps:wsp>
                        <wps:cNvPr id="100" name="Shape 100"/>
                        <wps:cNvSpPr/>
                        <wps:spPr>
                          <a:xfrm>
                            <a:off x="3132000" y="0"/>
                            <a:ext cx="3132000" cy="882650"/>
                          </a:xfrm>
                          <a:custGeom>
                            <a:avLst/>
                            <a:gdLst/>
                            <a:ahLst/>
                            <a:cxnLst/>
                            <a:rect l="0" t="0" r="0" b="0"/>
                            <a:pathLst>
                              <a:path w="3132000" h="882650">
                                <a:moveTo>
                                  <a:pt x="0" y="0"/>
                                </a:moveTo>
                                <a:lnTo>
                                  <a:pt x="3093900" y="0"/>
                                </a:lnTo>
                                <a:cubicBezTo>
                                  <a:pt x="3114855" y="0"/>
                                  <a:pt x="3132000" y="17145"/>
                                  <a:pt x="3132000" y="38100"/>
                                </a:cubicBezTo>
                                <a:lnTo>
                                  <a:pt x="3132000" y="844550"/>
                                </a:lnTo>
                                <a:cubicBezTo>
                                  <a:pt x="3132000" y="865505"/>
                                  <a:pt x="3114855" y="882650"/>
                                  <a:pt x="3093900" y="882650"/>
                                </a:cubicBezTo>
                                <a:lnTo>
                                  <a:pt x="0" y="882650"/>
                                </a:lnTo>
                                <a:lnTo>
                                  <a:pt x="0" y="873125"/>
                                </a:lnTo>
                                <a:lnTo>
                                  <a:pt x="3093900" y="873125"/>
                                </a:lnTo>
                                <a:cubicBezTo>
                                  <a:pt x="3109616" y="873125"/>
                                  <a:pt x="3122475" y="860267"/>
                                  <a:pt x="3122475" y="844550"/>
                                </a:cubicBezTo>
                                <a:lnTo>
                                  <a:pt x="3122475" y="38100"/>
                                </a:lnTo>
                                <a:cubicBezTo>
                                  <a:pt x="3122475" y="22384"/>
                                  <a:pt x="3109616" y="9525"/>
                                  <a:pt x="3093900" y="9525"/>
                                </a:cubicBezTo>
                                <a:lnTo>
                                  <a:pt x="0" y="9525"/>
                                </a:lnTo>
                                <a:lnTo>
                                  <a:pt x="0" y="0"/>
                                </a:lnTo>
                                <a:close/>
                              </a:path>
                            </a:pathLst>
                          </a:custGeom>
                          <a:ln w="0" cap="flat">
                            <a:miter lim="127000"/>
                          </a:ln>
                        </wps:spPr>
                        <wps:style>
                          <a:lnRef idx="0">
                            <a:srgbClr val="000000">
                              <a:alpha val="0"/>
                            </a:srgbClr>
                          </a:lnRef>
                          <a:fillRef idx="1">
                            <a:srgbClr val="BEE3F8"/>
                          </a:fillRef>
                          <a:effectRef idx="0">
                            <a:scrgbClr r="0" g="0" b="0"/>
                          </a:effectRef>
                          <a:fontRef idx="none"/>
                        </wps:style>
                        <wps:bodyPr/>
                      </wps:wsp>
                    </wpg:wgp>
                  </a:graphicData>
                </a:graphic>
              </wp:anchor>
            </w:drawing>
          </mc:Choice>
          <mc:Fallback xmlns:a="http://schemas.openxmlformats.org/drawingml/2006/main">
            <w:pict>
              <v:group id="Group 3756" style="width:493.228pt;height:69.5pt;position:absolute;z-index:-2147483646;mso-position-horizontal-relative:text;mso-position-horizontal:absolute;margin-left:0pt;mso-position-vertical-relative:text;margin-top:-9.93671pt;" coordsize="62640,8826">
                <v:shape id="Shape 98" style="position:absolute;width:62640;height:8826;left:0;top:0;" coordsize="6264000,882650" path="m38100,0l6225900,0c6246855,0,6264000,17145,6264000,38100l6264000,844550c6264000,865505,6246855,882650,6225900,882650l38100,882650c17145,882650,0,865505,0,844550l0,38100c0,17145,17145,0,38100,0x">
                  <v:stroke weight="0pt" endcap="flat" joinstyle="miter" miterlimit="10" on="false" color="#000000" opacity="0"/>
                  <v:fill on="true" color="#ebf8ff"/>
                </v:shape>
                <v:shape id="Shape 99" style="position:absolute;width:31320;height:8826;left:0;top:0;" coordsize="3132000,882650" path="m38100,0l3132000,0l3132000,9525l38100,9525c22384,9525,9525,22384,9525,38100l9525,844550c9525,860267,22384,873125,38100,873125l3132000,873125l3132000,882650l38100,882650c17145,882650,0,865505,0,844550l0,38100c0,17145,17145,0,38100,0x">
                  <v:stroke weight="0pt" endcap="flat" joinstyle="miter" miterlimit="10" on="false" color="#000000" opacity="0"/>
                  <v:fill on="true" color="#bee3f8"/>
                </v:shape>
                <v:shape id="Shape 100" style="position:absolute;width:31320;height:8826;left:31320;top:0;" coordsize="3132000,882650" path="m0,0l3093900,0c3114855,0,3132000,17145,3132000,38100l3132000,844550c3132000,865505,3114855,882650,3093900,882650l0,882650l0,873125l3093900,873125c3109616,873125,3122475,860267,3122475,844550l3122475,38100c3122475,22384,3109616,9525,3093900,9525l0,9525l0,0x">
                  <v:stroke weight="0pt" endcap="flat" joinstyle="miter" miterlimit="10" on="false" color="#000000" opacity="0"/>
                  <v:fill on="true" color="#bee3f8"/>
                </v:shape>
              </v:group>
            </w:pict>
          </mc:Fallback>
        </mc:AlternateContent>
      </w:r>
      <w:r>
        <w:rPr>
          <w:rFonts w:cs="Calibri"/>
          <w:i/>
        </w:rPr>
        <w:t xml:space="preserve">No obstante, podrán acogerse a esta convocatoria aquellas personas que bajo informe de las trabajadoras sociales se considere oportuno para dar cobertura a situaciones sociales o familiares no previstas en estas bases, además de la indicadas: matrículas en otros centros, necesidad de otros materiales para alumnos que repiten, otras como traslado de domicilio familiar, etc. </w:t>
      </w:r>
    </w:p>
    <w:p w14:paraId="60F4AA19" w14:textId="77777777" w:rsidR="00E65A07" w:rsidRDefault="00972853">
      <w:pPr>
        <w:pStyle w:val="Ttulo1"/>
        <w:ind w:left="-5"/>
      </w:pPr>
      <w:r>
        <w:t>Artículo 5.- Las solicitudes: plazo, lugar de presentación y documentos obligatorios</w:t>
      </w:r>
    </w:p>
    <w:p w14:paraId="252E69D5"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24FA52AA" wp14:editId="32421CA0">
                <wp:extent cx="6264000" cy="9525"/>
                <wp:effectExtent l="0" t="0" r="0" b="0"/>
                <wp:docPr id="3757" name="Group 3757"/>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45" name="Shape 5045"/>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3757" style="width:493.228pt;height:0.75pt;mso-position-horizontal-relative:char;mso-position-vertical-relative:line" coordsize="62640,95">
                <v:shape id="Shape 5046"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009EE7AD" w14:textId="77777777" w:rsidR="00E65A07" w:rsidRDefault="00972853">
      <w:pPr>
        <w:spacing w:after="127"/>
        <w:ind w:left="-5" w:right="8"/>
      </w:pPr>
      <w:r>
        <w:t>Las solicitudes para concurrir a las convocatorias que emanen de las presentes Bases deberán ser formuladas mediante impresos normalizados que se facilitarán en las oficinas municipales. Cada familia tramitará una sola solicitud.</w:t>
      </w:r>
    </w:p>
    <w:p w14:paraId="6B2A7C69" w14:textId="77777777" w:rsidR="00E65A07" w:rsidRDefault="00972853">
      <w:pPr>
        <w:spacing w:after="127"/>
        <w:ind w:left="-5" w:right="8"/>
      </w:pPr>
      <w:r>
        <w:t>La solicitud deberá ser cumplimentada y firmada necesariamente por el padre y/o la madre del alumno/a o, en su caso, por su tutor/a legal, excepto en los supuestos de separación o divorcio, en los que podrá ser firmada únicamente por el/la progenitor/a que tenga la custodia del menor. En caso de situación de custodia compartida, podrá ser firmada por cualquiera de los/as dos progenitores.</w:t>
      </w:r>
    </w:p>
    <w:p w14:paraId="57F3BA8F" w14:textId="77777777" w:rsidR="00E65A07" w:rsidRDefault="00972853">
      <w:pPr>
        <w:spacing w:after="127"/>
        <w:ind w:left="-5" w:right="8"/>
      </w:pPr>
      <w:r>
        <w:rPr>
          <w:rFonts w:cs="Calibri"/>
          <w:b/>
        </w:rPr>
        <w:t>Plazo:</w:t>
      </w:r>
      <w:r>
        <w:t xml:space="preserve"> El plazo para presentar las solicitudes y los documentos será hasta el </w:t>
      </w:r>
      <w:r>
        <w:rPr>
          <w:rFonts w:cs="Calibri"/>
          <w:b/>
        </w:rPr>
        <w:t>31 de octubre de 2026</w:t>
      </w:r>
      <w:r>
        <w:t xml:space="preserve"> (a contar desde el siguiente al de la publicación del anuncio en el Boletín Oficial de Bizkaia, del 15 al 31 de octubre de 2026, ambos incluidos). La presentación de solicitudes fuera de plazo dará lugar a la no admisión a trámite de estas.</w:t>
      </w:r>
    </w:p>
    <w:p w14:paraId="3C48F344" w14:textId="77777777" w:rsidR="00E65A07" w:rsidRDefault="00972853">
      <w:pPr>
        <w:spacing w:after="136" w:line="259" w:lineRule="auto"/>
        <w:ind w:left="-5" w:right="0"/>
        <w:jc w:val="left"/>
      </w:pPr>
      <w:proofErr w:type="gramStart"/>
      <w:r>
        <w:rPr>
          <w:rFonts w:cs="Calibri"/>
          <w:b/>
        </w:rPr>
        <w:t>Documentación obligatoria a adjuntar</w:t>
      </w:r>
      <w:proofErr w:type="gramEnd"/>
      <w:r>
        <w:rPr>
          <w:rFonts w:cs="Calibri"/>
          <w:b/>
        </w:rPr>
        <w:t>:</w:t>
      </w:r>
    </w:p>
    <w:p w14:paraId="55A94015" w14:textId="77777777" w:rsidR="00E65A07" w:rsidRDefault="00972853">
      <w:pPr>
        <w:numPr>
          <w:ilvl w:val="0"/>
          <w:numId w:val="3"/>
        </w:numPr>
        <w:ind w:right="8" w:hanging="126"/>
      </w:pPr>
      <w:r>
        <w:rPr>
          <w:rFonts w:cs="Calibri"/>
          <w:b/>
        </w:rPr>
        <w:t>Certificado del centro</w:t>
      </w:r>
      <w:r>
        <w:t xml:space="preserve"> donde curse sus estudios indicando el nombre del/la menor y el curso matriculado (sustituible por autorización de consulta al Ayuntamiento).</w:t>
      </w:r>
    </w:p>
    <w:p w14:paraId="590C514D" w14:textId="77777777" w:rsidR="00E65A07" w:rsidRDefault="00972853">
      <w:pPr>
        <w:numPr>
          <w:ilvl w:val="0"/>
          <w:numId w:val="3"/>
        </w:numPr>
        <w:ind w:right="8" w:hanging="126"/>
      </w:pPr>
      <w:r>
        <w:rPr>
          <w:rFonts w:cs="Calibri"/>
          <w:b/>
        </w:rPr>
        <w:t>Justificante de pago</w:t>
      </w:r>
      <w:r>
        <w:t xml:space="preserve"> de los libros, material escolar y equipos informáticos (facturas originales emitidas a nombre del solicitante con desglose de importe y unidades). No se aceptarán </w:t>
      </w:r>
      <w:proofErr w:type="gramStart"/>
      <w:r>
        <w:t>tickets</w:t>
      </w:r>
      <w:proofErr w:type="gramEnd"/>
      <w:r>
        <w:t xml:space="preserve"> de compra ni albaranes. Las compras online sólo se aceptarán si el domicilio de la factura corresponde al Territorio Histórico de Bizkaia. En el caso de planes de préstamo de centros, se aportará el documento acreditativo expedido por el centro escolar.</w:t>
      </w:r>
    </w:p>
    <w:p w14:paraId="4897D17C" w14:textId="77777777" w:rsidR="00E65A07" w:rsidRDefault="00972853">
      <w:pPr>
        <w:numPr>
          <w:ilvl w:val="0"/>
          <w:numId w:val="3"/>
        </w:numPr>
        <w:ind w:right="8" w:hanging="126"/>
      </w:pPr>
      <w:r>
        <w:rPr>
          <w:rFonts w:cs="Calibri"/>
          <w:b/>
        </w:rPr>
        <w:t>Declaración de la Renta de 2025</w:t>
      </w:r>
      <w:r>
        <w:t xml:space="preserve"> de todos los miembros de la unidad familiar o Certificado de IRPF del ejercicio 2025 expedido por la Diputación Foral de Bizkaia en caso de no estar obligados. La suma total de ingresos se computará conforme a la normativa del ejercicio 2025.</w:t>
      </w:r>
    </w:p>
    <w:p w14:paraId="034C6C13" w14:textId="77777777" w:rsidR="00E65A07" w:rsidRDefault="00972853">
      <w:pPr>
        <w:numPr>
          <w:ilvl w:val="0"/>
          <w:numId w:val="3"/>
        </w:numPr>
        <w:ind w:right="8" w:hanging="126"/>
      </w:pPr>
      <w:r>
        <w:rPr>
          <w:rFonts w:cs="Calibri"/>
          <w:b/>
        </w:rPr>
        <w:t>Alta de terceros</w:t>
      </w:r>
      <w:r>
        <w:t xml:space="preserve"> cumplimentada o sellada por la entidad bancaria (no necesaria si se aportó en la Convocatoria 2025-2026).</w:t>
      </w:r>
    </w:p>
    <w:p w14:paraId="25DAC934" w14:textId="77777777" w:rsidR="00E65A07" w:rsidRDefault="00972853">
      <w:pPr>
        <w:numPr>
          <w:ilvl w:val="0"/>
          <w:numId w:val="3"/>
        </w:numPr>
        <w:ind w:right="8" w:hanging="126"/>
      </w:pPr>
      <w:r>
        <w:rPr>
          <w:rFonts w:cs="Calibri"/>
          <w:b/>
        </w:rPr>
        <w:t>Declaración jurada</w:t>
      </w:r>
      <w:r>
        <w:t xml:space="preserve"> de otras subvenciones percibidas para la misma finalidad.</w:t>
      </w:r>
    </w:p>
    <w:p w14:paraId="5565A17D" w14:textId="77777777" w:rsidR="00E65A07" w:rsidRDefault="00972853">
      <w:pPr>
        <w:numPr>
          <w:ilvl w:val="0"/>
          <w:numId w:val="3"/>
        </w:numPr>
        <w:spacing w:after="10"/>
        <w:ind w:right="8" w:hanging="126"/>
      </w:pPr>
      <w:r>
        <w:rPr>
          <w:rFonts w:cs="Calibri"/>
          <w:b/>
        </w:rPr>
        <w:t>Declaración responsable</w:t>
      </w:r>
      <w:r>
        <w:t xml:space="preserve"> de no hallarse incurso en prohibición de obtener subvenciones conforme al art.</w:t>
      </w:r>
    </w:p>
    <w:p w14:paraId="36F121D6" w14:textId="77777777" w:rsidR="00E65A07" w:rsidRDefault="00972853">
      <w:pPr>
        <w:spacing w:after="301"/>
        <w:ind w:left="310" w:right="8"/>
      </w:pPr>
      <w:r>
        <w:t>13.2 de la Ley 38/2003.</w:t>
      </w:r>
    </w:p>
    <w:p w14:paraId="5BABD805" w14:textId="77777777" w:rsidR="00E65A07" w:rsidRDefault="00972853">
      <w:pPr>
        <w:pStyle w:val="Ttulo1"/>
        <w:ind w:left="-5"/>
      </w:pPr>
      <w:r>
        <w:t>Artículo 6.- Subsanación de las solicitudes</w:t>
      </w:r>
    </w:p>
    <w:p w14:paraId="6A8B2A61"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2D50E9F0" wp14:editId="142B5E6D">
                <wp:extent cx="6264000" cy="9525"/>
                <wp:effectExtent l="0" t="0" r="0" b="0"/>
                <wp:docPr id="4315" name="Group 4315"/>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47" name="Shape 5047"/>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4315" style="width:493.228pt;height:0.749985pt;mso-position-horizontal-relative:char;mso-position-vertical-relative:line" coordsize="62640,95">
                <v:shape id="Shape 5048"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77E5C106" w14:textId="77777777" w:rsidR="00E65A07" w:rsidRDefault="00972853">
      <w:pPr>
        <w:spacing w:after="298"/>
        <w:ind w:left="-5" w:right="8"/>
      </w:pPr>
      <w:r>
        <w:t xml:space="preserve">En el caso de que la solicitud presentada o la documentación adjuntada sean incompletas o adolezcan de algún otro defecto subsanable, se establece para su subsanación un plazo máximo de 10 días hábiles, a contar desde el siguiente a la publicación de la relación de solicitudes admitidas y excluidas en el tablón de anuncios del Ayuntamiento. Transcurrido dicho plazo sin haber aportado la documentación </w:t>
      </w:r>
      <w:proofErr w:type="gramStart"/>
      <w:r>
        <w:t>solicitada,</w:t>
      </w:r>
      <w:proofErr w:type="gramEnd"/>
      <w:r>
        <w:t xml:space="preserve"> se tendrá por desistido de la solicitud.</w:t>
      </w:r>
    </w:p>
    <w:p w14:paraId="442AF1B3" w14:textId="77777777" w:rsidR="00E65A07" w:rsidRDefault="00972853">
      <w:pPr>
        <w:pStyle w:val="Ttulo1"/>
        <w:ind w:left="-5"/>
      </w:pPr>
      <w:r>
        <w:t>Artículo 7.- Cuantía de la ayuda</w:t>
      </w:r>
    </w:p>
    <w:p w14:paraId="3E8736DF"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5ED244F3" wp14:editId="43AC17D0">
                <wp:extent cx="6264000" cy="9525"/>
                <wp:effectExtent l="0" t="0" r="0" b="0"/>
                <wp:docPr id="4316" name="Group 4316"/>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49" name="Shape 5049"/>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4316" style="width:493.228pt;height:0.75pt;mso-position-horizontal-relative:char;mso-position-vertical-relative:line" coordsize="62640,95">
                <v:shape id="Shape 5050"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6450D07E" w14:textId="77777777" w:rsidR="00E65A07" w:rsidRDefault="00972853">
      <w:pPr>
        <w:spacing w:after="0"/>
        <w:ind w:left="-5" w:right="8"/>
      </w:pPr>
      <w:r>
        <w:t>El importe máximo de la ayuda para la compra de libros de texto, material escolar y equipos informáticos quedará fijado en los siguientes límites:</w:t>
      </w:r>
    </w:p>
    <w:tbl>
      <w:tblPr>
        <w:tblStyle w:val="TableGrid"/>
        <w:tblW w:w="9850" w:type="dxa"/>
        <w:tblInd w:w="8" w:type="dxa"/>
        <w:tblCellMar>
          <w:left w:w="158" w:type="dxa"/>
          <w:right w:w="115" w:type="dxa"/>
        </w:tblCellMar>
        <w:tblLook w:val="04A0" w:firstRow="1" w:lastRow="0" w:firstColumn="1" w:lastColumn="0" w:noHBand="0" w:noVBand="1"/>
      </w:tblPr>
      <w:tblGrid>
        <w:gridCol w:w="4953"/>
        <w:gridCol w:w="3063"/>
        <w:gridCol w:w="1834"/>
      </w:tblGrid>
      <w:tr w:rsidR="00E65A07" w14:paraId="71F51B45" w14:textId="77777777">
        <w:trPr>
          <w:trHeight w:val="447"/>
        </w:trPr>
        <w:tc>
          <w:tcPr>
            <w:tcW w:w="4953" w:type="dxa"/>
            <w:tcBorders>
              <w:top w:val="single" w:sz="6" w:space="0" w:color="CBD5E0"/>
              <w:left w:val="single" w:sz="6" w:space="0" w:color="CBD5E0"/>
              <w:bottom w:val="single" w:sz="6" w:space="0" w:color="CBD5E0"/>
              <w:right w:val="single" w:sz="6" w:space="0" w:color="CBD5E0"/>
            </w:tcBorders>
            <w:shd w:val="clear" w:color="auto" w:fill="2B6CB0"/>
            <w:vAlign w:val="center"/>
          </w:tcPr>
          <w:p w14:paraId="0B5B568E" w14:textId="77777777" w:rsidR="00E65A07" w:rsidRDefault="00972853">
            <w:pPr>
              <w:spacing w:after="0" w:line="259" w:lineRule="auto"/>
              <w:ind w:left="0" w:right="0" w:firstLine="0"/>
              <w:jc w:val="left"/>
            </w:pPr>
            <w:r>
              <w:rPr>
                <w:b/>
                <w:color w:val="FFFFFF"/>
                <w:sz w:val="18"/>
              </w:rPr>
              <w:t>Concepto / Etapa Educativa</w:t>
            </w:r>
          </w:p>
        </w:tc>
        <w:tc>
          <w:tcPr>
            <w:tcW w:w="3063" w:type="dxa"/>
            <w:tcBorders>
              <w:top w:val="single" w:sz="6" w:space="0" w:color="CBD5E0"/>
              <w:left w:val="single" w:sz="6" w:space="0" w:color="CBD5E0"/>
              <w:bottom w:val="single" w:sz="6" w:space="0" w:color="CBD5E0"/>
              <w:right w:val="single" w:sz="6" w:space="0" w:color="CBD5E0"/>
            </w:tcBorders>
            <w:shd w:val="clear" w:color="auto" w:fill="2B6CB0"/>
            <w:vAlign w:val="center"/>
          </w:tcPr>
          <w:p w14:paraId="4A1444D3" w14:textId="77777777" w:rsidR="00E65A07" w:rsidRDefault="00972853">
            <w:pPr>
              <w:spacing w:after="0" w:line="259" w:lineRule="auto"/>
              <w:ind w:left="0" w:right="0" w:firstLine="0"/>
              <w:jc w:val="left"/>
            </w:pPr>
            <w:r>
              <w:rPr>
                <w:b/>
                <w:color w:val="FFFFFF"/>
                <w:sz w:val="18"/>
              </w:rPr>
              <w:t>Comercio Minorista de Güeñes</w:t>
            </w:r>
          </w:p>
        </w:tc>
        <w:tc>
          <w:tcPr>
            <w:tcW w:w="1834" w:type="dxa"/>
            <w:tcBorders>
              <w:top w:val="single" w:sz="6" w:space="0" w:color="CBD5E0"/>
              <w:left w:val="single" w:sz="6" w:space="0" w:color="CBD5E0"/>
              <w:bottom w:val="single" w:sz="6" w:space="0" w:color="CBD5E0"/>
              <w:right w:val="single" w:sz="6" w:space="0" w:color="CBD5E0"/>
            </w:tcBorders>
            <w:shd w:val="clear" w:color="auto" w:fill="2B6CB0"/>
            <w:vAlign w:val="center"/>
          </w:tcPr>
          <w:p w14:paraId="06A1382F" w14:textId="77777777" w:rsidR="00E65A07" w:rsidRDefault="00972853">
            <w:pPr>
              <w:spacing w:after="0" w:line="259" w:lineRule="auto"/>
              <w:ind w:left="0" w:right="0" w:firstLine="0"/>
              <w:jc w:val="left"/>
            </w:pPr>
            <w:r>
              <w:rPr>
                <w:b/>
                <w:color w:val="FFFFFF"/>
                <w:sz w:val="18"/>
              </w:rPr>
              <w:t>Otros Comercios</w:t>
            </w:r>
          </w:p>
        </w:tc>
      </w:tr>
      <w:tr w:rsidR="00E65A07" w14:paraId="2579DCF3" w14:textId="77777777">
        <w:trPr>
          <w:trHeight w:val="447"/>
        </w:trPr>
        <w:tc>
          <w:tcPr>
            <w:tcW w:w="4953" w:type="dxa"/>
            <w:tcBorders>
              <w:top w:val="single" w:sz="6" w:space="0" w:color="CBD5E0"/>
              <w:left w:val="single" w:sz="6" w:space="0" w:color="CBD5E0"/>
              <w:bottom w:val="single" w:sz="6" w:space="0" w:color="CBD5E0"/>
              <w:right w:val="single" w:sz="6" w:space="0" w:color="CBD5E0"/>
            </w:tcBorders>
            <w:vAlign w:val="center"/>
          </w:tcPr>
          <w:p w14:paraId="632408BF" w14:textId="77777777" w:rsidR="00E65A07" w:rsidRDefault="00972853">
            <w:pPr>
              <w:spacing w:after="0" w:line="259" w:lineRule="auto"/>
              <w:ind w:left="0" w:right="0" w:firstLine="0"/>
              <w:jc w:val="left"/>
            </w:pPr>
            <w:r>
              <w:rPr>
                <w:b/>
                <w:sz w:val="18"/>
              </w:rPr>
              <w:t>Libros y Material - 2º Ciclo Infantil</w:t>
            </w:r>
          </w:p>
        </w:tc>
        <w:tc>
          <w:tcPr>
            <w:tcW w:w="3063" w:type="dxa"/>
            <w:tcBorders>
              <w:top w:val="single" w:sz="6" w:space="0" w:color="CBD5E0"/>
              <w:left w:val="single" w:sz="6" w:space="0" w:color="CBD5E0"/>
              <w:bottom w:val="single" w:sz="6" w:space="0" w:color="CBD5E0"/>
              <w:right w:val="single" w:sz="6" w:space="0" w:color="CBD5E0"/>
            </w:tcBorders>
            <w:vAlign w:val="center"/>
          </w:tcPr>
          <w:p w14:paraId="787069C4" w14:textId="77777777" w:rsidR="00E65A07" w:rsidRDefault="00972853">
            <w:pPr>
              <w:spacing w:after="0" w:line="259" w:lineRule="auto"/>
              <w:ind w:left="0" w:right="0" w:firstLine="0"/>
              <w:jc w:val="left"/>
            </w:pPr>
            <w:r>
              <w:rPr>
                <w:sz w:val="18"/>
              </w:rPr>
              <w:t>50 €</w:t>
            </w:r>
          </w:p>
        </w:tc>
        <w:tc>
          <w:tcPr>
            <w:tcW w:w="1834" w:type="dxa"/>
            <w:tcBorders>
              <w:top w:val="single" w:sz="6" w:space="0" w:color="CBD5E0"/>
              <w:left w:val="single" w:sz="6" w:space="0" w:color="CBD5E0"/>
              <w:bottom w:val="single" w:sz="6" w:space="0" w:color="CBD5E0"/>
              <w:right w:val="single" w:sz="6" w:space="0" w:color="CBD5E0"/>
            </w:tcBorders>
            <w:vAlign w:val="center"/>
          </w:tcPr>
          <w:p w14:paraId="0B967101" w14:textId="77777777" w:rsidR="00E65A07" w:rsidRDefault="00972853">
            <w:pPr>
              <w:spacing w:after="0" w:line="259" w:lineRule="auto"/>
              <w:ind w:left="0" w:right="0" w:firstLine="0"/>
              <w:jc w:val="left"/>
            </w:pPr>
            <w:r>
              <w:rPr>
                <w:sz w:val="18"/>
              </w:rPr>
              <w:t>35 €</w:t>
            </w:r>
          </w:p>
        </w:tc>
      </w:tr>
      <w:tr w:rsidR="00E65A07" w14:paraId="482B3884" w14:textId="77777777">
        <w:trPr>
          <w:trHeight w:val="447"/>
        </w:trPr>
        <w:tc>
          <w:tcPr>
            <w:tcW w:w="4953"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4F1E28D9" w14:textId="77777777" w:rsidR="00E65A07" w:rsidRDefault="00972853">
            <w:pPr>
              <w:spacing w:after="0" w:line="259" w:lineRule="auto"/>
              <w:ind w:left="0" w:right="0" w:firstLine="0"/>
              <w:jc w:val="left"/>
            </w:pPr>
            <w:r>
              <w:rPr>
                <w:b/>
                <w:sz w:val="18"/>
              </w:rPr>
              <w:lastRenderedPageBreak/>
              <w:t>Libros y Material - Educación Primaria</w:t>
            </w:r>
          </w:p>
        </w:tc>
        <w:tc>
          <w:tcPr>
            <w:tcW w:w="3063"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5311ED1D" w14:textId="77777777" w:rsidR="00E65A07" w:rsidRDefault="00972853">
            <w:pPr>
              <w:spacing w:after="0" w:line="259" w:lineRule="auto"/>
              <w:ind w:left="0" w:right="0" w:firstLine="0"/>
              <w:jc w:val="left"/>
            </w:pPr>
            <w:r>
              <w:rPr>
                <w:sz w:val="18"/>
              </w:rPr>
              <w:t>100 €</w:t>
            </w:r>
          </w:p>
        </w:tc>
        <w:tc>
          <w:tcPr>
            <w:tcW w:w="1834"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71C25B08" w14:textId="77777777" w:rsidR="00E65A07" w:rsidRDefault="00972853">
            <w:pPr>
              <w:spacing w:after="0" w:line="259" w:lineRule="auto"/>
              <w:ind w:left="0" w:right="0" w:firstLine="0"/>
              <w:jc w:val="left"/>
            </w:pPr>
            <w:r>
              <w:rPr>
                <w:sz w:val="18"/>
              </w:rPr>
              <w:t>70 €</w:t>
            </w:r>
          </w:p>
        </w:tc>
      </w:tr>
      <w:tr w:rsidR="00E65A07" w14:paraId="179F2C88" w14:textId="77777777">
        <w:trPr>
          <w:trHeight w:val="447"/>
        </w:trPr>
        <w:tc>
          <w:tcPr>
            <w:tcW w:w="4953" w:type="dxa"/>
            <w:tcBorders>
              <w:top w:val="single" w:sz="6" w:space="0" w:color="CBD5E0"/>
              <w:left w:val="single" w:sz="6" w:space="0" w:color="CBD5E0"/>
              <w:bottom w:val="single" w:sz="6" w:space="0" w:color="CBD5E0"/>
              <w:right w:val="single" w:sz="6" w:space="0" w:color="CBD5E0"/>
            </w:tcBorders>
            <w:vAlign w:val="center"/>
          </w:tcPr>
          <w:p w14:paraId="3D240E79" w14:textId="77777777" w:rsidR="00E65A07" w:rsidRDefault="00972853">
            <w:pPr>
              <w:spacing w:after="0" w:line="259" w:lineRule="auto"/>
              <w:ind w:left="0" w:right="0" w:firstLine="0"/>
              <w:jc w:val="left"/>
            </w:pPr>
            <w:r>
              <w:rPr>
                <w:b/>
                <w:sz w:val="18"/>
              </w:rPr>
              <w:t>Libros y Material - Educación Secundaria (ESO)</w:t>
            </w:r>
          </w:p>
        </w:tc>
        <w:tc>
          <w:tcPr>
            <w:tcW w:w="3063" w:type="dxa"/>
            <w:tcBorders>
              <w:top w:val="single" w:sz="6" w:space="0" w:color="CBD5E0"/>
              <w:left w:val="single" w:sz="6" w:space="0" w:color="CBD5E0"/>
              <w:bottom w:val="single" w:sz="6" w:space="0" w:color="CBD5E0"/>
              <w:right w:val="single" w:sz="6" w:space="0" w:color="CBD5E0"/>
            </w:tcBorders>
            <w:vAlign w:val="center"/>
          </w:tcPr>
          <w:p w14:paraId="2B4C0EBA" w14:textId="77777777" w:rsidR="00E65A07" w:rsidRDefault="00972853">
            <w:pPr>
              <w:spacing w:after="0" w:line="259" w:lineRule="auto"/>
              <w:ind w:left="0" w:right="0" w:firstLine="0"/>
              <w:jc w:val="left"/>
            </w:pPr>
            <w:r>
              <w:rPr>
                <w:sz w:val="18"/>
              </w:rPr>
              <w:t>155 €</w:t>
            </w:r>
          </w:p>
        </w:tc>
        <w:tc>
          <w:tcPr>
            <w:tcW w:w="1834" w:type="dxa"/>
            <w:tcBorders>
              <w:top w:val="single" w:sz="6" w:space="0" w:color="CBD5E0"/>
              <w:left w:val="single" w:sz="6" w:space="0" w:color="CBD5E0"/>
              <w:bottom w:val="single" w:sz="6" w:space="0" w:color="CBD5E0"/>
              <w:right w:val="single" w:sz="6" w:space="0" w:color="CBD5E0"/>
            </w:tcBorders>
            <w:vAlign w:val="center"/>
          </w:tcPr>
          <w:p w14:paraId="1FDDB616" w14:textId="77777777" w:rsidR="00E65A07" w:rsidRDefault="00972853">
            <w:pPr>
              <w:spacing w:after="0" w:line="259" w:lineRule="auto"/>
              <w:ind w:left="0" w:right="0" w:firstLine="0"/>
              <w:jc w:val="left"/>
            </w:pPr>
            <w:r>
              <w:rPr>
                <w:sz w:val="18"/>
              </w:rPr>
              <w:t>110 €</w:t>
            </w:r>
          </w:p>
        </w:tc>
      </w:tr>
      <w:tr w:rsidR="00E65A07" w14:paraId="4D5FBED6" w14:textId="77777777">
        <w:trPr>
          <w:trHeight w:val="447"/>
        </w:trPr>
        <w:tc>
          <w:tcPr>
            <w:tcW w:w="4953"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507C1C45" w14:textId="77777777" w:rsidR="00E65A07" w:rsidRDefault="00972853">
            <w:pPr>
              <w:spacing w:after="0" w:line="259" w:lineRule="auto"/>
              <w:ind w:left="0" w:right="0" w:firstLine="0"/>
              <w:jc w:val="left"/>
            </w:pPr>
            <w:r>
              <w:rPr>
                <w:b/>
                <w:sz w:val="18"/>
              </w:rPr>
              <w:t>Equipos Informáticos - 2º Ciclo Infantil</w:t>
            </w:r>
          </w:p>
        </w:tc>
        <w:tc>
          <w:tcPr>
            <w:tcW w:w="3063"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44556C1E" w14:textId="77777777" w:rsidR="00E65A07" w:rsidRDefault="00972853">
            <w:pPr>
              <w:spacing w:after="0" w:line="259" w:lineRule="auto"/>
              <w:ind w:left="0" w:right="0" w:firstLine="0"/>
              <w:jc w:val="left"/>
            </w:pPr>
            <w:r>
              <w:rPr>
                <w:sz w:val="18"/>
              </w:rPr>
              <w:t>90 €</w:t>
            </w:r>
          </w:p>
        </w:tc>
        <w:tc>
          <w:tcPr>
            <w:tcW w:w="1834"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1C2187B4" w14:textId="77777777" w:rsidR="00E65A07" w:rsidRDefault="00972853">
            <w:pPr>
              <w:spacing w:after="0" w:line="259" w:lineRule="auto"/>
              <w:ind w:left="0" w:right="0" w:firstLine="0"/>
              <w:jc w:val="left"/>
            </w:pPr>
            <w:r>
              <w:rPr>
                <w:sz w:val="18"/>
              </w:rPr>
              <w:t>65 €</w:t>
            </w:r>
          </w:p>
        </w:tc>
      </w:tr>
      <w:tr w:rsidR="00E65A07" w14:paraId="71A1FA41" w14:textId="77777777">
        <w:trPr>
          <w:trHeight w:val="447"/>
        </w:trPr>
        <w:tc>
          <w:tcPr>
            <w:tcW w:w="4953" w:type="dxa"/>
            <w:tcBorders>
              <w:top w:val="single" w:sz="6" w:space="0" w:color="CBD5E0"/>
              <w:left w:val="single" w:sz="6" w:space="0" w:color="CBD5E0"/>
              <w:bottom w:val="single" w:sz="6" w:space="0" w:color="CBD5E0"/>
              <w:right w:val="single" w:sz="6" w:space="0" w:color="CBD5E0"/>
            </w:tcBorders>
            <w:vAlign w:val="center"/>
          </w:tcPr>
          <w:p w14:paraId="6D28E54A" w14:textId="77777777" w:rsidR="00E65A07" w:rsidRDefault="00972853">
            <w:pPr>
              <w:spacing w:after="0" w:line="259" w:lineRule="auto"/>
              <w:ind w:left="0" w:right="0" w:firstLine="0"/>
              <w:jc w:val="left"/>
            </w:pPr>
            <w:r>
              <w:rPr>
                <w:b/>
                <w:sz w:val="18"/>
              </w:rPr>
              <w:t>Equipos Informáticos - Educación Primaria</w:t>
            </w:r>
          </w:p>
        </w:tc>
        <w:tc>
          <w:tcPr>
            <w:tcW w:w="3063" w:type="dxa"/>
            <w:tcBorders>
              <w:top w:val="single" w:sz="6" w:space="0" w:color="CBD5E0"/>
              <w:left w:val="single" w:sz="6" w:space="0" w:color="CBD5E0"/>
              <w:bottom w:val="single" w:sz="6" w:space="0" w:color="CBD5E0"/>
              <w:right w:val="single" w:sz="6" w:space="0" w:color="CBD5E0"/>
            </w:tcBorders>
            <w:vAlign w:val="center"/>
          </w:tcPr>
          <w:p w14:paraId="54F14802" w14:textId="77777777" w:rsidR="00E65A07" w:rsidRDefault="00972853">
            <w:pPr>
              <w:spacing w:after="0" w:line="259" w:lineRule="auto"/>
              <w:ind w:left="0" w:right="0" w:firstLine="0"/>
              <w:jc w:val="left"/>
            </w:pPr>
            <w:r>
              <w:rPr>
                <w:sz w:val="18"/>
              </w:rPr>
              <w:t>180 €</w:t>
            </w:r>
          </w:p>
        </w:tc>
        <w:tc>
          <w:tcPr>
            <w:tcW w:w="1834" w:type="dxa"/>
            <w:tcBorders>
              <w:top w:val="single" w:sz="6" w:space="0" w:color="CBD5E0"/>
              <w:left w:val="single" w:sz="6" w:space="0" w:color="CBD5E0"/>
              <w:bottom w:val="single" w:sz="6" w:space="0" w:color="CBD5E0"/>
              <w:right w:val="single" w:sz="6" w:space="0" w:color="CBD5E0"/>
            </w:tcBorders>
            <w:vAlign w:val="center"/>
          </w:tcPr>
          <w:p w14:paraId="476465CB" w14:textId="77777777" w:rsidR="00E65A07" w:rsidRDefault="00972853">
            <w:pPr>
              <w:spacing w:after="0" w:line="259" w:lineRule="auto"/>
              <w:ind w:left="0" w:right="0" w:firstLine="0"/>
              <w:jc w:val="left"/>
            </w:pPr>
            <w:r>
              <w:rPr>
                <w:sz w:val="18"/>
              </w:rPr>
              <w:t>125 €</w:t>
            </w:r>
          </w:p>
        </w:tc>
      </w:tr>
      <w:tr w:rsidR="00E65A07" w14:paraId="70977C00" w14:textId="77777777">
        <w:trPr>
          <w:trHeight w:val="447"/>
        </w:trPr>
        <w:tc>
          <w:tcPr>
            <w:tcW w:w="4953"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6E0A83D3" w14:textId="77777777" w:rsidR="00E65A07" w:rsidRDefault="00972853">
            <w:pPr>
              <w:spacing w:after="0" w:line="259" w:lineRule="auto"/>
              <w:ind w:left="0" w:right="0" w:firstLine="0"/>
              <w:jc w:val="left"/>
            </w:pPr>
            <w:r>
              <w:rPr>
                <w:b/>
                <w:sz w:val="18"/>
              </w:rPr>
              <w:t>Equipos Informáticos - Educación Secundaria (ESO)</w:t>
            </w:r>
          </w:p>
        </w:tc>
        <w:tc>
          <w:tcPr>
            <w:tcW w:w="3063"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24702B5E" w14:textId="77777777" w:rsidR="00E65A07" w:rsidRDefault="00972853">
            <w:pPr>
              <w:spacing w:after="0" w:line="259" w:lineRule="auto"/>
              <w:ind w:left="0" w:right="0" w:firstLine="0"/>
              <w:jc w:val="left"/>
            </w:pPr>
            <w:r>
              <w:rPr>
                <w:sz w:val="18"/>
              </w:rPr>
              <w:t>280 €</w:t>
            </w:r>
          </w:p>
        </w:tc>
        <w:tc>
          <w:tcPr>
            <w:tcW w:w="1834" w:type="dxa"/>
            <w:tcBorders>
              <w:top w:val="single" w:sz="6" w:space="0" w:color="CBD5E0"/>
              <w:left w:val="single" w:sz="6" w:space="0" w:color="CBD5E0"/>
              <w:bottom w:val="single" w:sz="6" w:space="0" w:color="CBD5E0"/>
              <w:right w:val="single" w:sz="6" w:space="0" w:color="CBD5E0"/>
            </w:tcBorders>
            <w:shd w:val="clear" w:color="auto" w:fill="F7FAFC"/>
            <w:vAlign w:val="center"/>
          </w:tcPr>
          <w:p w14:paraId="7E3C7668" w14:textId="77777777" w:rsidR="00E65A07" w:rsidRDefault="00972853">
            <w:pPr>
              <w:spacing w:after="0" w:line="259" w:lineRule="auto"/>
              <w:ind w:left="0" w:right="0" w:firstLine="0"/>
              <w:jc w:val="left"/>
            </w:pPr>
            <w:r>
              <w:rPr>
                <w:sz w:val="18"/>
              </w:rPr>
              <w:t>200 €</w:t>
            </w:r>
          </w:p>
        </w:tc>
      </w:tr>
    </w:tbl>
    <w:p w14:paraId="7E7CEE61" w14:textId="77777777" w:rsidR="00E65A07" w:rsidRDefault="00972853">
      <w:pPr>
        <w:spacing w:after="298"/>
        <w:ind w:left="-5" w:right="8"/>
      </w:pPr>
      <w:r>
        <w:t xml:space="preserve">En todo caso, el importe de la ayuda por alumno/a nunca será superior al importe del gasto acreditado. En el supuesto de que el importe total </w:t>
      </w:r>
      <w:proofErr w:type="gramStart"/>
      <w:r>
        <w:t>superara</w:t>
      </w:r>
      <w:proofErr w:type="gramEnd"/>
      <w:r>
        <w:t xml:space="preserve"> el crédito disponible (9.000 €), la cuantía de cada ayuda se reducirá de forma proporcional.</w:t>
      </w:r>
    </w:p>
    <w:p w14:paraId="19D1EC1D" w14:textId="77777777" w:rsidR="00E65A07" w:rsidRDefault="00972853">
      <w:pPr>
        <w:pStyle w:val="Ttulo1"/>
        <w:ind w:left="-5"/>
      </w:pPr>
      <w:r>
        <w:t>Artículo 8.- Instrucción del procedimiento</w:t>
      </w:r>
    </w:p>
    <w:p w14:paraId="255BC52A"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3C1A51DE" wp14:editId="58C37A2E">
                <wp:extent cx="6264000" cy="9525"/>
                <wp:effectExtent l="0" t="0" r="0" b="0"/>
                <wp:docPr id="4317" name="Group 4317"/>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51" name="Shape 5051"/>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4317" style="width:493.228pt;height:0.75pt;mso-position-horizontal-relative:char;mso-position-vertical-relative:line" coordsize="62640,95">
                <v:shape id="Shape 5052"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4CA7B1AD" w14:textId="77777777" w:rsidR="00E65A07" w:rsidRDefault="00972853">
      <w:pPr>
        <w:spacing w:after="298"/>
        <w:ind w:left="-5" w:right="8"/>
      </w:pPr>
      <w:r>
        <w:t>El órgano competente para la instrucción del procedimiento será el Alcalde-Presidente, sin perjuicio de las facultades reservadas a la Comisión Informativa de Acción Social y Empleo. La Comisión de Valoración propondrá la resolución tras el examen de las solicitudes.</w:t>
      </w:r>
    </w:p>
    <w:p w14:paraId="58581662" w14:textId="77777777" w:rsidR="00E65A07" w:rsidRDefault="00972853">
      <w:pPr>
        <w:pStyle w:val="Ttulo1"/>
        <w:ind w:left="-5"/>
      </w:pPr>
      <w:r>
        <w:t>Artículo 9.- Comisión de valoración</w:t>
      </w:r>
    </w:p>
    <w:p w14:paraId="465F93F4"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5E3309F4" wp14:editId="6711CE46">
                <wp:extent cx="6264000" cy="9525"/>
                <wp:effectExtent l="0" t="0" r="0" b="0"/>
                <wp:docPr id="4318" name="Group 4318"/>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53" name="Shape 5053"/>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4318" style="width:493.228pt;height:0.75pt;mso-position-horizontal-relative:char;mso-position-vertical-relative:line" coordsize="62640,95">
                <v:shape id="Shape 5054"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5BBBD620" w14:textId="77777777" w:rsidR="00E65A07" w:rsidRDefault="00972853">
      <w:pPr>
        <w:spacing w:after="10"/>
        <w:ind w:left="-5" w:right="8"/>
      </w:pPr>
      <w:r>
        <w:t>La Comisión de valoración estará compuesta por la Interventora, la persona que ostente la Presidencia de la</w:t>
      </w:r>
    </w:p>
    <w:p w14:paraId="50126556" w14:textId="77777777" w:rsidR="00E65A07" w:rsidRDefault="00972853">
      <w:pPr>
        <w:spacing w:after="298"/>
        <w:ind w:left="-5" w:right="8"/>
      </w:pPr>
      <w:r>
        <w:t>Comisión de Acción Social y la Secretaría del Ayuntamiento. Elevará su propuesta a la Junta de Gobierno Local para su aprobación. Los solicitantes dispondrán de 10 días hábiles a contar desde la publicación para presentar alegaciones.</w:t>
      </w:r>
    </w:p>
    <w:p w14:paraId="6CC67AAB" w14:textId="77777777" w:rsidR="00E65A07" w:rsidRDefault="00972853">
      <w:pPr>
        <w:pStyle w:val="Ttulo1"/>
        <w:ind w:left="-5"/>
      </w:pPr>
      <w:r>
        <w:t>Artículo 10.- Plazo de resolución y notificación</w:t>
      </w:r>
    </w:p>
    <w:p w14:paraId="155CD794"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31233E34" wp14:editId="30162483">
                <wp:extent cx="6264000" cy="9525"/>
                <wp:effectExtent l="0" t="0" r="0" b="0"/>
                <wp:docPr id="4319" name="Group 4319"/>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55" name="Shape 5055"/>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4319" style="width:493.228pt;height:0.75pt;mso-position-horizontal-relative:char;mso-position-vertical-relative:line" coordsize="62640,95">
                <v:shape id="Shape 5056"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25C6F9FF" w14:textId="77777777" w:rsidR="00E65A07" w:rsidRDefault="00972853">
      <w:pPr>
        <w:ind w:left="-5" w:right="8"/>
      </w:pPr>
      <w:r>
        <w:t>Resueltas las alegaciones, la Junta de Gobierno Local dictará resolución en un plazo máximo de seis meses a contar desde la finalización del plazo de presentación de solicitudes.</w:t>
      </w:r>
    </w:p>
    <w:p w14:paraId="5D716C13" w14:textId="77777777" w:rsidR="00E65A07" w:rsidRDefault="00972853">
      <w:pPr>
        <w:pStyle w:val="Ttulo1"/>
        <w:ind w:left="-5"/>
      </w:pPr>
      <w:r>
        <w:t>Artículo 11.- Abono de las ayudas</w:t>
      </w:r>
    </w:p>
    <w:p w14:paraId="634BF6D5"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5C838457" wp14:editId="3C78D3C6">
                <wp:extent cx="6264000" cy="9525"/>
                <wp:effectExtent l="0" t="0" r="0" b="0"/>
                <wp:docPr id="3548" name="Group 3548"/>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57" name="Shape 5057"/>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3548" style="width:493.228pt;height:0.75pt;mso-position-horizontal-relative:char;mso-position-vertical-relative:line" coordsize="62640,95">
                <v:shape id="Shape 5058"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744932BA" w14:textId="77777777" w:rsidR="00E65A07" w:rsidRDefault="00972853">
      <w:pPr>
        <w:spacing w:after="298"/>
        <w:ind w:left="-5" w:right="8"/>
      </w:pPr>
      <w:r>
        <w:t>El Ayuntamiento de Güeñes procederá al pago de las ayudas mediante transferencia bancaria a la cuenta indicada por cada solicitante.</w:t>
      </w:r>
    </w:p>
    <w:p w14:paraId="372BF23F" w14:textId="77777777" w:rsidR="00E65A07" w:rsidRDefault="00972853">
      <w:pPr>
        <w:pStyle w:val="Ttulo1"/>
        <w:ind w:left="-5"/>
      </w:pPr>
      <w:r>
        <w:t>Artículo 12 al 15.- Régimen de Infracciones, Reintegro, Recursos y Protección de Datos</w:t>
      </w:r>
    </w:p>
    <w:p w14:paraId="2BF92B49" w14:textId="77777777" w:rsidR="00E65A07" w:rsidRDefault="00972853">
      <w:pPr>
        <w:spacing w:after="184" w:line="259" w:lineRule="auto"/>
        <w:ind w:left="0" w:right="0" w:firstLine="0"/>
        <w:jc w:val="left"/>
      </w:pPr>
      <w:r>
        <w:rPr>
          <w:rFonts w:cs="Calibri"/>
          <w:noProof/>
          <w:color w:val="000000"/>
          <w:sz w:val="22"/>
        </w:rPr>
        <mc:AlternateContent>
          <mc:Choice Requires="wpg">
            <w:drawing>
              <wp:inline distT="0" distB="0" distL="0" distR="0" wp14:anchorId="0261286D" wp14:editId="64589ABD">
                <wp:extent cx="6264000" cy="9525"/>
                <wp:effectExtent l="0" t="0" r="0" b="0"/>
                <wp:docPr id="3549" name="Group 3549"/>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59" name="Shape 5059"/>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2B6CB0"/>
                          </a:fillRef>
                          <a:effectRef idx="0">
                            <a:scrgbClr r="0" g="0" b="0"/>
                          </a:effectRef>
                          <a:fontRef idx="none"/>
                        </wps:style>
                        <wps:bodyPr/>
                      </wps:wsp>
                    </wpg:wgp>
                  </a:graphicData>
                </a:graphic>
              </wp:inline>
            </w:drawing>
          </mc:Choice>
          <mc:Fallback xmlns:a="http://schemas.openxmlformats.org/drawingml/2006/main">
            <w:pict>
              <v:group id="Group 3549" style="width:493.228pt;height:0.749985pt;mso-position-horizontal-relative:char;mso-position-vertical-relative:line" coordsize="62640,95">
                <v:shape id="Shape 5060" style="position:absolute;width:62640;height:95;left:0;top:0;" coordsize="6264000,9525" path="m0,0l6264000,0l6264000,9525l0,9525l0,0">
                  <v:stroke weight="0pt" endcap="flat" joinstyle="miter" miterlimit="10" on="false" color="#000000" opacity="0"/>
                  <v:fill on="true" color="#2b6cb0"/>
                </v:shape>
              </v:group>
            </w:pict>
          </mc:Fallback>
        </mc:AlternateContent>
      </w:r>
    </w:p>
    <w:p w14:paraId="10FE658A" w14:textId="77777777" w:rsidR="00E65A07" w:rsidRDefault="00972853">
      <w:pPr>
        <w:spacing w:after="130"/>
        <w:ind w:left="-5" w:right="8"/>
      </w:pPr>
      <w:r>
        <w:t>El régimen sancionador se regirá por el Título IV de la Ley General de Subvenciones. Procederá el reintegro de las ayudas con intereses de demora en caso de incumplimiento o falsedad. Contra esta convocatoria cabe recurso de reposición en el plazo de un mes ante el Alcalde de Güeñes o recurso contencioso-administrativo en el plazo de dos meses. El tratamiento de datos personales queda sujeto a la Ley Orgánica 3/2018 (LOPDGDD).</w:t>
      </w:r>
    </w:p>
    <w:p w14:paraId="0A8A26B1" w14:textId="77777777" w:rsidR="00E65A07" w:rsidRDefault="00972853">
      <w:pPr>
        <w:spacing w:after="204" w:line="259" w:lineRule="auto"/>
        <w:ind w:left="0" w:right="0" w:firstLine="0"/>
        <w:jc w:val="left"/>
      </w:pPr>
      <w:r>
        <w:rPr>
          <w:rFonts w:cs="Calibri"/>
          <w:noProof/>
          <w:color w:val="000000"/>
          <w:sz w:val="22"/>
        </w:rPr>
        <mc:AlternateContent>
          <mc:Choice Requires="wpg">
            <w:drawing>
              <wp:inline distT="0" distB="0" distL="0" distR="0" wp14:anchorId="363526E5" wp14:editId="3021EEB1">
                <wp:extent cx="6264000" cy="9525"/>
                <wp:effectExtent l="0" t="0" r="0" b="0"/>
                <wp:docPr id="3550" name="Group 3550"/>
                <wp:cNvGraphicFramePr/>
                <a:graphic xmlns:a="http://schemas.openxmlformats.org/drawingml/2006/main">
                  <a:graphicData uri="http://schemas.microsoft.com/office/word/2010/wordprocessingGroup">
                    <wpg:wgp>
                      <wpg:cNvGrpSpPr/>
                      <wpg:grpSpPr>
                        <a:xfrm>
                          <a:off x="0" y="0"/>
                          <a:ext cx="6264000" cy="9525"/>
                          <a:chOff x="0" y="0"/>
                          <a:chExt cx="6264000" cy="9525"/>
                        </a:xfrm>
                      </wpg:grpSpPr>
                      <wps:wsp>
                        <wps:cNvPr id="5061" name="Shape 5061"/>
                        <wps:cNvSpPr/>
                        <wps:spPr>
                          <a:xfrm>
                            <a:off x="0" y="0"/>
                            <a:ext cx="6264000" cy="9525"/>
                          </a:xfrm>
                          <a:custGeom>
                            <a:avLst/>
                            <a:gdLst/>
                            <a:ahLst/>
                            <a:cxnLst/>
                            <a:rect l="0" t="0" r="0" b="0"/>
                            <a:pathLst>
                              <a:path w="6264000" h="9525">
                                <a:moveTo>
                                  <a:pt x="0" y="0"/>
                                </a:moveTo>
                                <a:lnTo>
                                  <a:pt x="6264000" y="0"/>
                                </a:lnTo>
                                <a:lnTo>
                                  <a:pt x="6264000" y="9525"/>
                                </a:lnTo>
                                <a:lnTo>
                                  <a:pt x="0" y="9525"/>
                                </a:lnTo>
                                <a:lnTo>
                                  <a:pt x="0" y="0"/>
                                </a:lnTo>
                              </a:path>
                            </a:pathLst>
                          </a:custGeom>
                          <a:ln w="0" cap="flat">
                            <a:miter lim="127000"/>
                          </a:ln>
                        </wps:spPr>
                        <wps:style>
                          <a:lnRef idx="0">
                            <a:srgbClr val="000000">
                              <a:alpha val="0"/>
                            </a:srgbClr>
                          </a:lnRef>
                          <a:fillRef idx="1">
                            <a:srgbClr val="E2E8F0"/>
                          </a:fillRef>
                          <a:effectRef idx="0">
                            <a:scrgbClr r="0" g="0" b="0"/>
                          </a:effectRef>
                          <a:fontRef idx="none"/>
                        </wps:style>
                        <wps:bodyPr/>
                      </wps:wsp>
                    </wpg:wgp>
                  </a:graphicData>
                </a:graphic>
              </wp:inline>
            </w:drawing>
          </mc:Choice>
          <mc:Fallback xmlns:a="http://schemas.openxmlformats.org/drawingml/2006/main">
            <w:pict>
              <v:group id="Group 3550" style="width:493.228pt;height:0.75pt;mso-position-horizontal-relative:char;mso-position-vertical-relative:line" coordsize="62640,95">
                <v:shape id="Shape 5062" style="position:absolute;width:62640;height:95;left:0;top:0;" coordsize="6264000,9525" path="m0,0l6264000,0l6264000,9525l0,9525l0,0">
                  <v:stroke weight="0pt" endcap="flat" joinstyle="miter" miterlimit="10" on="false" color="#000000" opacity="0"/>
                  <v:fill on="true" color="#e2e8f0"/>
                </v:shape>
              </v:group>
            </w:pict>
          </mc:Fallback>
        </mc:AlternateContent>
      </w:r>
    </w:p>
    <w:p w14:paraId="70FB19AF" w14:textId="77777777" w:rsidR="00E65A07" w:rsidRDefault="00972853">
      <w:pPr>
        <w:spacing w:after="0" w:line="259" w:lineRule="auto"/>
        <w:ind w:left="0" w:right="0" w:firstLine="0"/>
        <w:jc w:val="left"/>
      </w:pPr>
      <w:r>
        <w:rPr>
          <w:color w:val="4A5568"/>
          <w:sz w:val="17"/>
        </w:rPr>
        <w:t xml:space="preserve">Documento actualizado formalmente para el ejercicio municipal 2026-2027 — Ayuntamiento de Güeñes. </w:t>
      </w:r>
    </w:p>
    <w:sectPr w:rsidR="00E65A07">
      <w:footerReference w:type="even" r:id="rId7"/>
      <w:footerReference w:type="default" r:id="rId8"/>
      <w:footerReference w:type="first" r:id="rId9"/>
      <w:pgSz w:w="11906" w:h="16838"/>
      <w:pgMar w:top="1198" w:right="1001" w:bottom="1256" w:left="1020" w:header="72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44D9E" w14:textId="77777777" w:rsidR="003029A6" w:rsidRDefault="003029A6">
      <w:pPr>
        <w:spacing w:after="0" w:line="240" w:lineRule="auto"/>
      </w:pPr>
      <w:r>
        <w:separator/>
      </w:r>
    </w:p>
  </w:endnote>
  <w:endnote w:type="continuationSeparator" w:id="0">
    <w:p w14:paraId="4DD5AAB6" w14:textId="77777777" w:rsidR="003029A6" w:rsidRDefault="00302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93BA" w14:textId="77777777" w:rsidR="00E65A07" w:rsidRDefault="00972853">
    <w:pPr>
      <w:spacing w:after="0" w:line="259" w:lineRule="auto"/>
      <w:ind w:left="0" w:right="19" w:firstLine="0"/>
      <w:jc w:val="right"/>
    </w:pPr>
    <w:r>
      <w:rPr>
        <w:color w:val="666666"/>
        <w:sz w:val="16"/>
      </w:rPr>
      <w:t xml:space="preserve">Página </w:t>
    </w:r>
    <w:r>
      <w:fldChar w:fldCharType="begin"/>
    </w:r>
    <w:r>
      <w:instrText xml:space="preserve"> PAGE   \* MERGEFORMAT </w:instrText>
    </w:r>
    <w:r>
      <w:fldChar w:fldCharType="separate"/>
    </w:r>
    <w:r>
      <w:rPr>
        <w:color w:val="666666"/>
        <w:sz w:val="16"/>
      </w:rPr>
      <w:t>1</w:t>
    </w:r>
    <w:r>
      <w:rPr>
        <w:color w:val="666666"/>
        <w:sz w:val="16"/>
      </w:rPr>
      <w:fldChar w:fldCharType="end"/>
    </w:r>
    <w:r>
      <w:rPr>
        <w:color w:val="666666"/>
        <w:sz w:val="16"/>
      </w:rPr>
      <w:t xml:space="preserve"> de </w:t>
    </w:r>
    <w:fldSimple w:instr=" NUMPAGES   \* MERGEFORMAT ">
      <w:r>
        <w:rPr>
          <w:color w:val="666666"/>
          <w:sz w:val="16"/>
        </w:rPr>
        <w:t>4</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81B14" w14:textId="77777777" w:rsidR="00E65A07" w:rsidRDefault="00972853">
    <w:pPr>
      <w:spacing w:after="0" w:line="259" w:lineRule="auto"/>
      <w:ind w:left="0" w:right="19" w:firstLine="0"/>
      <w:jc w:val="right"/>
    </w:pPr>
    <w:r>
      <w:rPr>
        <w:color w:val="666666"/>
        <w:sz w:val="16"/>
      </w:rPr>
      <w:t xml:space="preserve">Página </w:t>
    </w:r>
    <w:r>
      <w:fldChar w:fldCharType="begin"/>
    </w:r>
    <w:r>
      <w:instrText xml:space="preserve"> PAGE   \* MERGEFORMAT </w:instrText>
    </w:r>
    <w:r>
      <w:fldChar w:fldCharType="separate"/>
    </w:r>
    <w:r>
      <w:rPr>
        <w:color w:val="666666"/>
        <w:sz w:val="16"/>
      </w:rPr>
      <w:t>1</w:t>
    </w:r>
    <w:r>
      <w:rPr>
        <w:color w:val="666666"/>
        <w:sz w:val="16"/>
      </w:rPr>
      <w:fldChar w:fldCharType="end"/>
    </w:r>
    <w:r>
      <w:rPr>
        <w:color w:val="666666"/>
        <w:sz w:val="16"/>
      </w:rPr>
      <w:t xml:space="preserve"> de </w:t>
    </w:r>
    <w:fldSimple w:instr=" NUMPAGES   \* MERGEFORMAT ">
      <w:r>
        <w:rPr>
          <w:color w:val="666666"/>
          <w:sz w:val="16"/>
        </w:rPr>
        <w:t>4</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33EAE" w14:textId="77777777" w:rsidR="00E65A07" w:rsidRDefault="00972853">
    <w:pPr>
      <w:spacing w:after="0" w:line="259" w:lineRule="auto"/>
      <w:ind w:left="0" w:right="19" w:firstLine="0"/>
      <w:jc w:val="right"/>
    </w:pPr>
    <w:r>
      <w:rPr>
        <w:color w:val="666666"/>
        <w:sz w:val="16"/>
      </w:rPr>
      <w:t xml:space="preserve">Página </w:t>
    </w:r>
    <w:r>
      <w:fldChar w:fldCharType="begin"/>
    </w:r>
    <w:r>
      <w:instrText xml:space="preserve"> PAGE   \* MERGEFORMAT </w:instrText>
    </w:r>
    <w:r>
      <w:fldChar w:fldCharType="separate"/>
    </w:r>
    <w:r>
      <w:rPr>
        <w:color w:val="666666"/>
        <w:sz w:val="16"/>
      </w:rPr>
      <w:t>1</w:t>
    </w:r>
    <w:r>
      <w:rPr>
        <w:color w:val="666666"/>
        <w:sz w:val="16"/>
      </w:rPr>
      <w:fldChar w:fldCharType="end"/>
    </w:r>
    <w:r>
      <w:rPr>
        <w:color w:val="666666"/>
        <w:sz w:val="16"/>
      </w:rPr>
      <w:t xml:space="preserve"> de </w:t>
    </w:r>
    <w:fldSimple w:instr=" NUMPAGES   \* MERGEFORMAT ">
      <w:r>
        <w:rPr>
          <w:color w:val="666666"/>
          <w:sz w:val="16"/>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26775" w14:textId="77777777" w:rsidR="003029A6" w:rsidRDefault="003029A6">
      <w:pPr>
        <w:spacing w:after="0" w:line="240" w:lineRule="auto"/>
      </w:pPr>
      <w:r>
        <w:separator/>
      </w:r>
    </w:p>
  </w:footnote>
  <w:footnote w:type="continuationSeparator" w:id="0">
    <w:p w14:paraId="63856E1C" w14:textId="77777777" w:rsidR="003029A6" w:rsidRDefault="00302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12BF0"/>
    <w:multiLevelType w:val="hybridMultilevel"/>
    <w:tmpl w:val="FFFFFFFF"/>
    <w:lvl w:ilvl="0" w:tplc="B25A963A">
      <w:start w:val="1"/>
      <w:numFmt w:val="bullet"/>
      <w:lvlText w:val="•"/>
      <w:lvlJc w:val="left"/>
      <w:pPr>
        <w:ind w:left="300"/>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1" w:tplc="BB124230">
      <w:start w:val="1"/>
      <w:numFmt w:val="bullet"/>
      <w:lvlText w:val="o"/>
      <w:lvlJc w:val="left"/>
      <w:pPr>
        <w:ind w:left="125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2" w:tplc="AFFA8AA8">
      <w:start w:val="1"/>
      <w:numFmt w:val="bullet"/>
      <w:lvlText w:val="▪"/>
      <w:lvlJc w:val="left"/>
      <w:pPr>
        <w:ind w:left="197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3" w:tplc="C38C6E92">
      <w:start w:val="1"/>
      <w:numFmt w:val="bullet"/>
      <w:lvlText w:val="•"/>
      <w:lvlJc w:val="left"/>
      <w:pPr>
        <w:ind w:left="269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4" w:tplc="56403162">
      <w:start w:val="1"/>
      <w:numFmt w:val="bullet"/>
      <w:lvlText w:val="o"/>
      <w:lvlJc w:val="left"/>
      <w:pPr>
        <w:ind w:left="341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5" w:tplc="C7442544">
      <w:start w:val="1"/>
      <w:numFmt w:val="bullet"/>
      <w:lvlText w:val="▪"/>
      <w:lvlJc w:val="left"/>
      <w:pPr>
        <w:ind w:left="413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6" w:tplc="F06887DA">
      <w:start w:val="1"/>
      <w:numFmt w:val="bullet"/>
      <w:lvlText w:val="•"/>
      <w:lvlJc w:val="left"/>
      <w:pPr>
        <w:ind w:left="485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7" w:tplc="46D00122">
      <w:start w:val="1"/>
      <w:numFmt w:val="bullet"/>
      <w:lvlText w:val="o"/>
      <w:lvlJc w:val="left"/>
      <w:pPr>
        <w:ind w:left="557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8" w:tplc="DAE0797C">
      <w:start w:val="1"/>
      <w:numFmt w:val="bullet"/>
      <w:lvlText w:val="▪"/>
      <w:lvlJc w:val="left"/>
      <w:pPr>
        <w:ind w:left="629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abstractNum>
  <w:abstractNum w:abstractNumId="1" w15:restartNumberingAfterBreak="0">
    <w:nsid w:val="1DCC5D63"/>
    <w:multiLevelType w:val="hybridMultilevel"/>
    <w:tmpl w:val="FFFFFFFF"/>
    <w:lvl w:ilvl="0" w:tplc="B79EB686">
      <w:start w:val="1"/>
      <w:numFmt w:val="decimal"/>
      <w:lvlText w:val="%1."/>
      <w:lvlJc w:val="left"/>
      <w:pPr>
        <w:ind w:left="300"/>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1" w:tplc="C2B4FA18">
      <w:start w:val="1"/>
      <w:numFmt w:val="lowerLetter"/>
      <w:lvlText w:val="%2"/>
      <w:lvlJc w:val="left"/>
      <w:pPr>
        <w:ind w:left="1158"/>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2" w:tplc="117AF6F8">
      <w:start w:val="1"/>
      <w:numFmt w:val="lowerRoman"/>
      <w:lvlText w:val="%3"/>
      <w:lvlJc w:val="left"/>
      <w:pPr>
        <w:ind w:left="1878"/>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3" w:tplc="3F86808A">
      <w:start w:val="1"/>
      <w:numFmt w:val="decimal"/>
      <w:lvlText w:val="%4"/>
      <w:lvlJc w:val="left"/>
      <w:pPr>
        <w:ind w:left="2598"/>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4" w:tplc="B0ECCA5A">
      <w:start w:val="1"/>
      <w:numFmt w:val="lowerLetter"/>
      <w:lvlText w:val="%5"/>
      <w:lvlJc w:val="left"/>
      <w:pPr>
        <w:ind w:left="3318"/>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5" w:tplc="9D763736">
      <w:start w:val="1"/>
      <w:numFmt w:val="lowerRoman"/>
      <w:lvlText w:val="%6"/>
      <w:lvlJc w:val="left"/>
      <w:pPr>
        <w:ind w:left="4038"/>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6" w:tplc="95C0508C">
      <w:start w:val="1"/>
      <w:numFmt w:val="decimal"/>
      <w:lvlText w:val="%7"/>
      <w:lvlJc w:val="left"/>
      <w:pPr>
        <w:ind w:left="4758"/>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7" w:tplc="7B586C68">
      <w:start w:val="1"/>
      <w:numFmt w:val="lowerLetter"/>
      <w:lvlText w:val="%8"/>
      <w:lvlJc w:val="left"/>
      <w:pPr>
        <w:ind w:left="5478"/>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8" w:tplc="3A86AF04">
      <w:start w:val="1"/>
      <w:numFmt w:val="lowerRoman"/>
      <w:lvlText w:val="%9"/>
      <w:lvlJc w:val="left"/>
      <w:pPr>
        <w:ind w:left="6198"/>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abstractNum>
  <w:abstractNum w:abstractNumId="2" w15:restartNumberingAfterBreak="0">
    <w:nsid w:val="3D8B46E9"/>
    <w:multiLevelType w:val="hybridMultilevel"/>
    <w:tmpl w:val="FFFFFFFF"/>
    <w:lvl w:ilvl="0" w:tplc="4B08D0E4">
      <w:start w:val="1"/>
      <w:numFmt w:val="bullet"/>
      <w:lvlText w:val="•"/>
      <w:lvlJc w:val="left"/>
      <w:pPr>
        <w:ind w:left="300"/>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1" w:tplc="3BA462C4">
      <w:start w:val="1"/>
      <w:numFmt w:val="bullet"/>
      <w:lvlText w:val="o"/>
      <w:lvlJc w:val="left"/>
      <w:pPr>
        <w:ind w:left="125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2" w:tplc="96B4EEB2">
      <w:start w:val="1"/>
      <w:numFmt w:val="bullet"/>
      <w:lvlText w:val="▪"/>
      <w:lvlJc w:val="left"/>
      <w:pPr>
        <w:ind w:left="197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3" w:tplc="DCF09E34">
      <w:start w:val="1"/>
      <w:numFmt w:val="bullet"/>
      <w:lvlText w:val="•"/>
      <w:lvlJc w:val="left"/>
      <w:pPr>
        <w:ind w:left="269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4" w:tplc="BC129B82">
      <w:start w:val="1"/>
      <w:numFmt w:val="bullet"/>
      <w:lvlText w:val="o"/>
      <w:lvlJc w:val="left"/>
      <w:pPr>
        <w:ind w:left="341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5" w:tplc="36C8E644">
      <w:start w:val="1"/>
      <w:numFmt w:val="bullet"/>
      <w:lvlText w:val="▪"/>
      <w:lvlJc w:val="left"/>
      <w:pPr>
        <w:ind w:left="413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6" w:tplc="49501526">
      <w:start w:val="1"/>
      <w:numFmt w:val="bullet"/>
      <w:lvlText w:val="•"/>
      <w:lvlJc w:val="left"/>
      <w:pPr>
        <w:ind w:left="485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7" w:tplc="A9E43EB8">
      <w:start w:val="1"/>
      <w:numFmt w:val="bullet"/>
      <w:lvlText w:val="o"/>
      <w:lvlJc w:val="left"/>
      <w:pPr>
        <w:ind w:left="557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lvl w:ilvl="8" w:tplc="9190B0FE">
      <w:start w:val="1"/>
      <w:numFmt w:val="bullet"/>
      <w:lvlText w:val="▪"/>
      <w:lvlJc w:val="left"/>
      <w:pPr>
        <w:ind w:left="6294"/>
      </w:pPr>
      <w:rPr>
        <w:rFonts w:ascii="Calibri" w:eastAsia="Calibri" w:hAnsi="Calibri" w:cs="Calibri"/>
        <w:b w:val="0"/>
        <w:i w:val="0"/>
        <w:strike w:val="0"/>
        <w:dstrike w:val="0"/>
        <w:color w:val="222222"/>
        <w:sz w:val="20"/>
        <w:szCs w:val="20"/>
        <w:u w:val="none" w:color="000000"/>
        <w:bdr w:val="none" w:sz="0" w:space="0" w:color="auto"/>
        <w:shd w:val="clear" w:color="auto" w:fill="auto"/>
        <w:vertAlign w:val="baseline"/>
      </w:rPr>
    </w:lvl>
  </w:abstractNum>
  <w:num w:numId="1" w16cid:durableId="314993609">
    <w:abstractNumId w:val="2"/>
  </w:num>
  <w:num w:numId="2" w16cid:durableId="1748460038">
    <w:abstractNumId w:val="1"/>
  </w:num>
  <w:num w:numId="3" w16cid:durableId="170336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A07"/>
    <w:rsid w:val="002569E9"/>
    <w:rsid w:val="003029A6"/>
    <w:rsid w:val="003D43A8"/>
    <w:rsid w:val="004A79A4"/>
    <w:rsid w:val="008B7585"/>
    <w:rsid w:val="00972853"/>
    <w:rsid w:val="009F2DF5"/>
    <w:rsid w:val="00A80887"/>
    <w:rsid w:val="00B76C28"/>
    <w:rsid w:val="00D5357C"/>
    <w:rsid w:val="00E65A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AD1D"/>
  <w15:docId w15:val="{DCECFD6F-BCFF-DC40-9A5B-C3E1F81F2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8" w:line="267" w:lineRule="auto"/>
      <w:ind w:left="10" w:right="23" w:hanging="10"/>
      <w:jc w:val="both"/>
    </w:pPr>
    <w:rPr>
      <w:rFonts w:ascii="Calibri" w:eastAsia="Calibri" w:hAnsi="Calibri" w:cs="Times New Roman"/>
      <w:color w:val="222222"/>
      <w:sz w:val="20"/>
      <w:lang w:val="es" w:eastAsia="es"/>
    </w:rPr>
  </w:style>
  <w:style w:type="paragraph" w:styleId="Ttulo1">
    <w:name w:val="heading 1"/>
    <w:next w:val="Normal"/>
    <w:link w:val="Ttulo1Car"/>
    <w:uiPriority w:val="9"/>
    <w:qFormat/>
    <w:pPr>
      <w:keepNext/>
      <w:keepLines/>
      <w:spacing w:after="0" w:line="259" w:lineRule="auto"/>
      <w:ind w:left="10" w:hanging="10"/>
      <w:outlineLvl w:val="0"/>
    </w:pPr>
    <w:rPr>
      <w:rFonts w:ascii="Calibri" w:eastAsia="Calibri" w:hAnsi="Calibri" w:cs="Calibri"/>
      <w:b/>
      <w:color w:val="1A365D"/>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1A365D"/>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1413</Words>
  <Characters>7773</Characters>
  <Application>Microsoft Office Word</Application>
  <DocSecurity>0</DocSecurity>
  <Lines>64</Lines>
  <Paragraphs>18</Paragraphs>
  <ScaleCrop>false</ScaleCrop>
  <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Susana Lopez-Para Urquijo</cp:lastModifiedBy>
  <cp:revision>6</cp:revision>
  <cp:lastPrinted>2026-09-29T11:58:00Z</cp:lastPrinted>
  <dcterms:created xsi:type="dcterms:W3CDTF">2026-09-24T10:56:00Z</dcterms:created>
  <dcterms:modified xsi:type="dcterms:W3CDTF">2026-10-01T12:27:00Z</dcterms:modified>
</cp:coreProperties>
</file>