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ookman Old Style" w:hAnsi="Bookman Old Style"/>
          <w:b/>
        </w:rPr>
      </w:pPr>
      <w:r>
        <w:rPr>
          <w:rFonts w:ascii="Cambria" w:hAnsi="Cambria"/>
          <w:b/>
          <w:sz w:val="22"/>
          <w:szCs w:val="22"/>
        </w:rPr>
        <w:t>E</w:t>
      </w:r>
      <w:r>
        <w:rPr>
          <w:rFonts w:ascii="Cambria" w:hAnsi="Cambria"/>
          <w:b/>
          <w:color w:val="000000"/>
          <w:sz w:val="22"/>
          <w:szCs w:val="22"/>
        </w:rPr>
        <w:t xml:space="preserve">XTRACTO DE LA CONVOCATORIA DE SUBVENCIONES POR CONCURRENCIA COMPETITIVA </w:t>
      </w:r>
      <w:r>
        <w:rPr>
          <w:rFonts w:cs="Tahoma" w:ascii="Cambria" w:hAnsi="Cambria"/>
          <w:b/>
          <w:bCs/>
          <w:color w:val="000000"/>
          <w:sz w:val="22"/>
          <w:szCs w:val="22"/>
        </w:rPr>
        <w:t>PARA LA CONCESIÓN DE AYUDAS A LA EDUCACIÓN INFANTIL DE 0 A 3 AÑOS , 202</w:t>
      </w:r>
      <w:r>
        <w:rPr>
          <w:rFonts w:cs="Tahoma" w:ascii="Cambria" w:hAnsi="Cambria"/>
          <w:b/>
          <w:bCs/>
          <w:color w:val="000000"/>
          <w:sz w:val="22"/>
          <w:szCs w:val="22"/>
        </w:rPr>
        <w:t>6</w:t>
      </w:r>
      <w:r>
        <w:rPr>
          <w:rFonts w:ascii="Cambria" w:hAnsi="Cambria"/>
          <w:b/>
          <w:color w:val="000000"/>
          <w:sz w:val="22"/>
          <w:szCs w:val="22"/>
        </w:rPr>
        <w:t>.</w:t>
      </w:r>
    </w:p>
    <w:p>
      <w:pPr>
        <w:pStyle w:val="Normal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Título en castellano del extracto de la convocatoria:</w:t>
      </w:r>
    </w:p>
    <w:p>
      <w:pPr>
        <w:pStyle w:val="Normal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</w:t>
      </w:r>
      <w:r>
        <w:rPr>
          <w:rFonts w:ascii="Cambria" w:hAnsi="Cambria"/>
          <w:sz w:val="22"/>
          <w:szCs w:val="22"/>
        </w:rPr>
        <w:t>Extracto de la Resolución de Alcaldía D</w:t>
      </w:r>
      <w:r>
        <w:rPr>
          <w:rFonts w:ascii="Cambria" w:hAnsi="Cambria"/>
          <w:sz w:val="22"/>
          <w:szCs w:val="22"/>
          <w:shd w:fill="auto" w:val="clear"/>
        </w:rPr>
        <w:t xml:space="preserve">ecreto </w:t>
      </w:r>
      <w:r>
        <w:rPr>
          <w:rFonts w:ascii="Cambria" w:hAnsi="Cambria"/>
          <w:b/>
          <w:sz w:val="22"/>
          <w:szCs w:val="22"/>
          <w:shd w:fill="auto" w:val="clear"/>
        </w:rPr>
        <w:t>202</w:t>
      </w:r>
      <w:r>
        <w:rPr>
          <w:rFonts w:ascii="Cambria" w:hAnsi="Cambria"/>
          <w:b/>
          <w:sz w:val="22"/>
          <w:szCs w:val="22"/>
          <w:shd w:fill="auto" w:val="clear"/>
        </w:rPr>
        <w:t>6</w:t>
      </w:r>
      <w:r>
        <w:rPr>
          <w:rFonts w:ascii="Cambria" w:hAnsi="Cambria"/>
          <w:b/>
          <w:sz w:val="22"/>
          <w:szCs w:val="22"/>
          <w:shd w:fill="auto" w:val="clear"/>
        </w:rPr>
        <w:t>/00001</w:t>
      </w:r>
      <w:r>
        <w:rPr>
          <w:rFonts w:ascii="Cambria" w:hAnsi="Cambria"/>
          <w:b/>
          <w:sz w:val="22"/>
          <w:szCs w:val="22"/>
          <w:shd w:fill="auto" w:val="clear"/>
        </w:rPr>
        <w:t>707</w:t>
      </w:r>
      <w:r>
        <w:rPr>
          <w:rFonts w:ascii="Cambria" w:hAnsi="Cambria"/>
          <w:sz w:val="22"/>
          <w:szCs w:val="22"/>
          <w:shd w:fill="auto" w:val="clear"/>
        </w:rPr>
        <w:t xml:space="preserve">, de fecha </w:t>
      </w:r>
      <w:r>
        <w:rPr>
          <w:rFonts w:ascii="Cambria" w:hAnsi="Cambria"/>
          <w:b/>
          <w:sz w:val="22"/>
          <w:szCs w:val="22"/>
          <w:shd w:fill="auto" w:val="clear"/>
        </w:rPr>
        <w:t>2</w:t>
      </w:r>
      <w:r>
        <w:rPr>
          <w:rFonts w:ascii="Cambria" w:hAnsi="Cambria"/>
          <w:b/>
          <w:sz w:val="22"/>
          <w:szCs w:val="22"/>
          <w:shd w:fill="auto" w:val="clear"/>
        </w:rPr>
        <w:t>1</w:t>
      </w:r>
      <w:r>
        <w:rPr>
          <w:rFonts w:ascii="Cambria" w:hAnsi="Cambria"/>
          <w:b/>
          <w:sz w:val="22"/>
          <w:szCs w:val="22"/>
          <w:shd w:fill="auto" w:val="clear"/>
        </w:rPr>
        <w:t>/0</w:t>
      </w:r>
      <w:r>
        <w:rPr>
          <w:rFonts w:ascii="Cambria" w:hAnsi="Cambria"/>
          <w:b/>
          <w:sz w:val="22"/>
          <w:szCs w:val="22"/>
          <w:shd w:fill="auto" w:val="clear"/>
        </w:rPr>
        <w:t>9</w:t>
      </w:r>
      <w:r>
        <w:rPr>
          <w:rFonts w:ascii="Cambria" w:hAnsi="Cambria"/>
          <w:b/>
          <w:sz w:val="22"/>
          <w:szCs w:val="22"/>
          <w:shd w:fill="auto" w:val="clear"/>
        </w:rPr>
        <w:t>/202</w:t>
      </w:r>
      <w:r>
        <w:rPr>
          <w:rFonts w:ascii="Cambria" w:hAnsi="Cambria"/>
          <w:b/>
          <w:sz w:val="22"/>
          <w:szCs w:val="22"/>
          <w:shd w:fill="auto" w:val="clear"/>
        </w:rPr>
        <w:t>6</w:t>
      </w:r>
      <w:r>
        <w:rPr>
          <w:rFonts w:ascii="Cambria" w:hAnsi="Cambria"/>
          <w:sz w:val="22"/>
          <w:szCs w:val="22"/>
          <w:shd w:fill="auto" w:val="clear"/>
        </w:rPr>
        <w:t xml:space="preserve"> </w:t>
      </w:r>
      <w:r>
        <w:rPr>
          <w:rFonts w:ascii="Cambria" w:hAnsi="Cambria"/>
          <w:sz w:val="22"/>
          <w:szCs w:val="22"/>
        </w:rPr>
        <w:t xml:space="preserve">por el que se aprueban las Bases de la </w:t>
      </w:r>
      <w:r>
        <w:rPr>
          <w:rFonts w:ascii="Cambria" w:hAnsi="Cambria"/>
          <w:b/>
          <w:sz w:val="22"/>
          <w:szCs w:val="22"/>
        </w:rPr>
        <w:t>Convocatoria para la Concesión de AYUDAS A LA EDUCACIÓN INFANTIL DE 0 A 3 AÑOS</w:t>
      </w:r>
    </w:p>
    <w:p>
      <w:pPr>
        <w:pStyle w:val="Normal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Texto del extracto:</w:t>
      </w:r>
    </w:p>
    <w:p>
      <w:pPr>
        <w:pStyle w:val="Normal"/>
        <w:jc w:val="both"/>
        <w:rPr/>
      </w:pPr>
      <w:r>
        <w:rPr>
          <w:rFonts w:ascii="Cambria" w:hAnsi="Cambria"/>
          <w:sz w:val="22"/>
          <w:szCs w:val="22"/>
        </w:rPr>
        <w:t xml:space="preserve">     </w:t>
      </w:r>
      <w:r>
        <w:rPr>
          <w:rFonts w:ascii="Cambria" w:hAnsi="Cambria"/>
          <w:sz w:val="22"/>
          <w:szCs w:val="22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2">
        <w:r>
          <w:rPr>
            <w:rStyle w:val="Hyperlink"/>
            <w:rFonts w:ascii="Cambria" w:hAnsi="Cambria"/>
            <w:sz w:val="22"/>
            <w:szCs w:val="22"/>
          </w:rPr>
          <w:t>http://.www.pap.mihhap.gob.es/bdnstrans/index</w:t>
        </w:r>
      </w:hyperlink>
      <w:r>
        <w:rPr>
          <w:rFonts w:ascii="Cambria" w:hAnsi="Cambria"/>
          <w:sz w:val="22"/>
          <w:szCs w:val="22"/>
        </w:rPr>
        <w:t>):</w:t>
      </w:r>
    </w:p>
    <w:p>
      <w:pPr>
        <w:pStyle w:val="western"/>
        <w:spacing w:lineRule="auto" w:line="240" w:before="280" w:after="0"/>
        <w:ind w:hanging="0" w:left="720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i w:val="false"/>
          <w:sz w:val="22"/>
          <w:szCs w:val="22"/>
        </w:rPr>
        <w:t>Primero. Beneficiarios:</w:t>
      </w:r>
    </w:p>
    <w:p>
      <w:pPr>
        <w:pStyle w:val="Normal"/>
        <w:ind w:firstLine="284" w:right="-2"/>
        <w:jc w:val="both"/>
        <w:rPr>
          <w:rFonts w:ascii="Cambria" w:hAnsi="Cambria"/>
          <w:sz w:val="22"/>
          <w:szCs w:val="22"/>
        </w:rPr>
      </w:pPr>
      <w:r>
        <w:rPr>
          <w:rFonts w:cs="Segoe UI" w:ascii="Cambria" w:hAnsi="Cambria"/>
          <w:color w:val="auto"/>
          <w:sz w:val="22"/>
          <w:szCs w:val="22"/>
        </w:rPr>
        <w:t>Podrán solicitar las ayudas de esta convocatoria padres, madres o tutores legales de niños/as menores de 3 años, inscritos en centros autorizados y que reúnan los siguientes requisitos:</w:t>
      </w:r>
    </w:p>
    <w:p>
      <w:pPr>
        <w:pStyle w:val="Normal"/>
        <w:ind w:firstLine="284" w:right="-2"/>
        <w:jc w:val="both"/>
        <w:rPr>
          <w:rFonts w:ascii="Cambria" w:hAnsi="Cambria"/>
          <w:sz w:val="22"/>
          <w:szCs w:val="22"/>
        </w:rPr>
      </w:pPr>
      <w:r>
        <w:rPr>
          <w:rFonts w:cs="Segoe UI" w:ascii="Cambria" w:hAnsi="Cambria"/>
          <w:color w:val="auto"/>
          <w:sz w:val="22"/>
          <w:szCs w:val="22"/>
        </w:rPr>
        <w:t xml:space="preserve">a) Ser mayor de 18 años o estar emancipado legalmente o, en su defecto, haber iniciado el trámite legal de emancipación. </w:t>
      </w:r>
    </w:p>
    <w:p>
      <w:pPr>
        <w:pStyle w:val="Normal"/>
        <w:ind w:firstLine="284" w:right="-2"/>
        <w:jc w:val="both"/>
        <w:rPr>
          <w:rFonts w:ascii="Cambria" w:hAnsi="Cambria"/>
          <w:sz w:val="22"/>
          <w:szCs w:val="22"/>
        </w:rPr>
      </w:pPr>
      <w:r>
        <w:rPr>
          <w:rFonts w:cs="Segoe UI" w:ascii="Cambria" w:hAnsi="Cambria"/>
          <w:color w:val="auto"/>
          <w:sz w:val="22"/>
          <w:szCs w:val="22"/>
        </w:rPr>
        <w:t>b) Estar empadronado/a en Hornachuelos o que, por circunstancias laborales, debidamente justificadas, pasen la mayor parte de la jornada laboral en el municipio.</w:t>
      </w:r>
    </w:p>
    <w:p>
      <w:pPr>
        <w:pStyle w:val="Normal"/>
        <w:ind w:firstLine="284" w:right="-2"/>
        <w:jc w:val="both"/>
        <w:rPr>
          <w:rFonts w:ascii="Cambria" w:hAnsi="Cambria"/>
          <w:sz w:val="22"/>
          <w:szCs w:val="22"/>
        </w:rPr>
      </w:pPr>
      <w:r>
        <w:rPr>
          <w:rFonts w:cs="Segoe UI" w:ascii="Cambria" w:hAnsi="Cambria"/>
          <w:color w:val="auto"/>
          <w:sz w:val="22"/>
          <w:szCs w:val="22"/>
        </w:rPr>
        <w:t>c) La renta per cápita neta anual de la familia solicitante no podrá superar en ningún caso 2,5 veces el IPREM de 202</w:t>
      </w:r>
      <w:r>
        <w:rPr>
          <w:rFonts w:cs="Segoe UI" w:ascii="Cambria" w:hAnsi="Cambria"/>
          <w:color w:val="auto"/>
          <w:sz w:val="22"/>
          <w:szCs w:val="22"/>
        </w:rPr>
        <w:t>5</w:t>
      </w:r>
      <w:r>
        <w:rPr>
          <w:rFonts w:cs="Segoe UI" w:ascii="Cambria" w:hAnsi="Cambria"/>
          <w:color w:val="auto"/>
          <w:sz w:val="22"/>
          <w:szCs w:val="22"/>
        </w:rPr>
        <w:t xml:space="preserve"> (7200 </w:t>
      </w:r>
      <w:r>
        <w:rPr>
          <w:rFonts w:cs="Segoe UI" w:ascii="Cambria" w:hAnsi="Cambria"/>
          <w:color w:val="auto"/>
          <w:sz w:val="22"/>
          <w:szCs w:val="22"/>
        </w:rPr>
        <w:t>euros</w:t>
      </w:r>
      <w:r>
        <w:rPr>
          <w:rFonts w:cs="Segoe UI" w:ascii="Cambria" w:hAnsi="Cambria"/>
          <w:color w:val="auto"/>
          <w:sz w:val="22"/>
          <w:szCs w:val="22"/>
        </w:rPr>
        <w:t>).</w:t>
      </w:r>
    </w:p>
    <w:p>
      <w:pPr>
        <w:pStyle w:val="Normal"/>
        <w:ind w:firstLine="284" w:right="-2"/>
        <w:jc w:val="both"/>
        <w:rPr>
          <w:rFonts w:ascii="Cambria" w:hAnsi="Cambria"/>
          <w:sz w:val="22"/>
          <w:szCs w:val="22"/>
        </w:rPr>
      </w:pPr>
      <w:r>
        <w:rPr>
          <w:rFonts w:cs="Segoe UI" w:ascii="Cambria" w:hAnsi="Cambria"/>
          <w:color w:val="auto"/>
          <w:sz w:val="22"/>
          <w:szCs w:val="22"/>
        </w:rPr>
        <w:t xml:space="preserve">d) En todo caso, se deberá estar al corriente en el cumplimiento de las obligaciones tributarias con la AEAT estatal y autonómica, con el propio Ayuntamiento, así como con las relativas a la Seguridad Social, en el momento de presentar la solicitud, salvo que se trate de deudas y de sanciones que se encuentren aplazadas, fraccionadas o cuya ejecución estuviese suspendida. </w:t>
      </w:r>
    </w:p>
    <w:p>
      <w:pPr>
        <w:pStyle w:val="Normal"/>
        <w:ind w:firstLine="284" w:right="-2"/>
        <w:jc w:val="both"/>
        <w:rPr>
          <w:rFonts w:ascii="Cambria" w:hAnsi="Cambria"/>
          <w:sz w:val="22"/>
          <w:szCs w:val="22"/>
        </w:rPr>
      </w:pPr>
      <w:r>
        <w:rPr>
          <w:rFonts w:cs="Segoe UI" w:ascii="Cambria" w:hAnsi="Cambria"/>
          <w:color w:val="auto"/>
          <w:sz w:val="22"/>
          <w:szCs w:val="22"/>
        </w:rPr>
        <w:t xml:space="preserve">e) No estar incurso en alguna de las prohibiciones establecidas en el artículo 13 de la Ley 38/2003, de 17 de noviembre, General de Subvenciones. </w:t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      </w:t>
      </w:r>
      <w:r>
        <w:rPr>
          <w:rFonts w:ascii="Cambria" w:hAnsi="Cambria"/>
          <w:b/>
          <w:i w:val="false"/>
          <w:sz w:val="22"/>
          <w:szCs w:val="22"/>
        </w:rPr>
        <w:t xml:space="preserve">          </w:t>
      </w:r>
      <w:r>
        <w:rPr>
          <w:rFonts w:ascii="Cambria" w:hAnsi="Cambria"/>
          <w:b/>
          <w:i w:val="false"/>
          <w:sz w:val="22"/>
          <w:szCs w:val="22"/>
        </w:rPr>
        <w:t>Segundo. Objeto:</w:t>
      </w:r>
    </w:p>
    <w:p>
      <w:pPr>
        <w:pStyle w:val="Normal"/>
        <w:shd w:fill="FFFFFF" w:val="clear"/>
        <w:ind w:firstLine="284" w:right="-427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color w:themeColor="dark1" w:themeTint="d9" w:val="262626"/>
          <w:sz w:val="22"/>
          <w:szCs w:val="22"/>
        </w:rPr>
        <w:t>La concesión de ayudas a las familias con niños/as menores de 3 años, para contribuir al gasto que el centro privado, dedicado a su custodia y educación le ocasione a la familia durante 202</w:t>
      </w:r>
      <w:r>
        <w:rPr>
          <w:rFonts w:ascii="Cambria" w:hAnsi="Cambria"/>
          <w:color w:themeColor="dark1" w:themeTint="d9" w:val="262626"/>
          <w:sz w:val="22"/>
          <w:szCs w:val="22"/>
        </w:rPr>
        <w:t>6</w:t>
      </w:r>
      <w:r>
        <w:rPr>
          <w:rFonts w:ascii="Cambria" w:hAnsi="Cambria"/>
          <w:color w:themeColor="dark1" w:themeTint="d9" w:val="262626"/>
          <w:sz w:val="22"/>
          <w:szCs w:val="22"/>
        </w:rPr>
        <w:t xml:space="preserve">. </w:t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       </w:t>
      </w:r>
      <w:r>
        <w:rPr>
          <w:rFonts w:ascii="Cambria" w:hAnsi="Cambria"/>
          <w:b/>
          <w:i w:val="false"/>
          <w:sz w:val="22"/>
          <w:szCs w:val="22"/>
        </w:rPr>
        <w:t>Tercero. Bases Reguladoras:</w:t>
      </w:r>
    </w:p>
    <w:p>
      <w:pPr>
        <w:pStyle w:val="Normal"/>
        <w:jc w:val="both"/>
        <w:rPr/>
      </w:pPr>
      <w:r>
        <w:rPr>
          <w:rFonts w:ascii="Cambria" w:hAnsi="Cambria"/>
          <w:sz w:val="22"/>
          <w:szCs w:val="22"/>
        </w:rPr>
        <w:t xml:space="preserve">     </w:t>
      </w:r>
      <w:r>
        <w:rPr>
          <w:rFonts w:ascii="Cambria" w:hAnsi="Cambria"/>
          <w:sz w:val="22"/>
          <w:szCs w:val="22"/>
        </w:rPr>
        <w:t xml:space="preserve">Bases de la Convocatoria para la Concesión </w:t>
      </w:r>
      <w:r>
        <w:rPr>
          <w:rFonts w:ascii="Cambria" w:hAnsi="Cambria"/>
          <w:b/>
          <w:sz w:val="22"/>
          <w:szCs w:val="22"/>
        </w:rPr>
        <w:t>la Concesión de AYUDAS A LA EDUCACIÓN INFANTIL DE 0 A 3 AÑOS,</w:t>
      </w:r>
      <w:r>
        <w:rPr>
          <w:rFonts w:ascii="Cambria" w:hAnsi="Cambria"/>
          <w:sz w:val="22"/>
          <w:szCs w:val="22"/>
        </w:rPr>
        <w:t xml:space="preserve"> que se pueden consultar en la web del Ayuntamiento </w:t>
      </w:r>
      <w:hyperlink r:id="rId3">
        <w:r>
          <w:rPr>
            <w:rStyle w:val="Hyperlink"/>
            <w:rFonts w:ascii="Cambria" w:hAnsi="Cambria"/>
            <w:sz w:val="22"/>
            <w:szCs w:val="22"/>
          </w:rPr>
          <w:t>http://www.hornachuelos.es</w:t>
        </w:r>
      </w:hyperlink>
      <w:r>
        <w:rPr>
          <w:rFonts w:ascii="Cambria" w:hAnsi="Cambria"/>
          <w:sz w:val="22"/>
          <w:szCs w:val="22"/>
        </w:rPr>
        <w:t>.</w:t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</w:t>
      </w:r>
      <w:r>
        <w:rPr>
          <w:rFonts w:ascii="Cambria" w:hAnsi="Cambria"/>
          <w:i w:val="false"/>
          <w:sz w:val="22"/>
          <w:szCs w:val="22"/>
        </w:rPr>
        <w:t xml:space="preserve">   </w:t>
      </w:r>
      <w:r>
        <w:rPr>
          <w:rFonts w:ascii="Cambria" w:hAnsi="Cambria"/>
          <w:b/>
          <w:i w:val="false"/>
          <w:sz w:val="22"/>
          <w:szCs w:val="22"/>
        </w:rPr>
        <w:t>Cuarto. Importe:</w:t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i w:val="false"/>
          <w:sz w:val="22"/>
          <w:szCs w:val="22"/>
        </w:rPr>
        <w:t xml:space="preserve">     </w:t>
      </w:r>
      <w:r>
        <w:rPr>
          <w:rFonts w:ascii="Cambria" w:hAnsi="Cambria"/>
          <w:i w:val="false"/>
          <w:sz w:val="22"/>
          <w:szCs w:val="22"/>
        </w:rPr>
        <w:t>Cuantía total: 8.000,00 €.</w:t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i w:val="false"/>
          <w:sz w:val="22"/>
          <w:szCs w:val="22"/>
        </w:rPr>
        <w:t xml:space="preserve">       </w:t>
      </w:r>
      <w:r>
        <w:rPr>
          <w:rFonts w:ascii="Cambria" w:hAnsi="Cambria"/>
          <w:b/>
          <w:i w:val="false"/>
          <w:sz w:val="22"/>
          <w:szCs w:val="22"/>
        </w:rPr>
        <w:t>Quinto. Plazo de presentación de solicitudes:</w:t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i w:val="false"/>
          <w:sz w:val="22"/>
          <w:szCs w:val="22"/>
        </w:rPr>
        <w:t xml:space="preserve">       </w:t>
      </w:r>
      <w:r>
        <w:rPr>
          <w:rFonts w:ascii="Cambria" w:hAnsi="Cambria"/>
          <w:i w:val="false"/>
          <w:sz w:val="22"/>
          <w:szCs w:val="22"/>
        </w:rPr>
        <w:t>A partir del día siguiente al de la publicación de este extracto en el BOP de Córdoba hasta el día 2 de diciembre de 202</w:t>
      </w:r>
      <w:r>
        <w:rPr>
          <w:rFonts w:ascii="Cambria" w:hAnsi="Cambria"/>
          <w:i w:val="false"/>
          <w:sz w:val="22"/>
          <w:szCs w:val="22"/>
        </w:rPr>
        <w:t>6</w:t>
      </w:r>
      <w:r>
        <w:rPr>
          <w:rFonts w:ascii="Cambria" w:hAnsi="Cambria"/>
          <w:i w:val="false"/>
          <w:sz w:val="22"/>
          <w:szCs w:val="22"/>
        </w:rPr>
        <w:t>.</w:t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i w:val="false"/>
          <w:sz w:val="22"/>
          <w:szCs w:val="22"/>
        </w:rPr>
        <w:t xml:space="preserve">     </w:t>
      </w:r>
      <w:r>
        <w:rPr>
          <w:rFonts w:ascii="Cambria" w:hAnsi="Cambria"/>
          <w:b/>
          <w:i w:val="false"/>
          <w:sz w:val="22"/>
          <w:szCs w:val="22"/>
        </w:rPr>
        <w:t>Sexto. Otros datos:</w:t>
      </w:r>
      <w:r>
        <w:rPr>
          <w:rFonts w:ascii="Cambria" w:hAnsi="Cambria"/>
          <w:i w:val="false"/>
          <w:sz w:val="22"/>
          <w:szCs w:val="22"/>
        </w:rPr>
        <w:t xml:space="preserve">  Las solicitudes deberán contener la documentación fijada en </w:t>
      </w:r>
      <w:r>
        <w:rPr>
          <w:rFonts w:ascii="Cambria" w:hAnsi="Cambria"/>
          <w:b/>
          <w:i w:val="false"/>
          <w:sz w:val="22"/>
          <w:szCs w:val="22"/>
        </w:rPr>
        <w:t>la base 6ª</w:t>
      </w:r>
      <w:r>
        <w:rPr>
          <w:rFonts w:ascii="Cambria" w:hAnsi="Cambria"/>
          <w:i w:val="false"/>
          <w:sz w:val="22"/>
          <w:szCs w:val="22"/>
        </w:rPr>
        <w:t xml:space="preserve"> de la Convocatoria.</w:t>
      </w:r>
    </w:p>
    <w:p>
      <w:pPr>
        <w:pStyle w:val="western"/>
        <w:spacing w:lineRule="auto" w:line="240" w:before="280" w:after="0"/>
        <w:rPr>
          <w:rFonts w:ascii="Cambria" w:hAnsi="Cambria"/>
          <w:i w:val="false"/>
          <w:sz w:val="22"/>
          <w:szCs w:val="22"/>
        </w:rPr>
      </w:pPr>
      <w:r>
        <w:rPr>
          <w:rFonts w:ascii="Cambria" w:hAnsi="Cambria"/>
          <w:i w:val="false"/>
          <w:sz w:val="22"/>
          <w:szCs w:val="22"/>
        </w:rPr>
      </w:r>
    </w:p>
    <w:p>
      <w:pPr>
        <w:pStyle w:val="western"/>
        <w:spacing w:lineRule="auto" w:line="240" w:before="280" w:after="0"/>
        <w:rPr>
          <w:rFonts w:ascii="Cambria" w:hAnsi="Cambria"/>
          <w:i w:val="false"/>
          <w:sz w:val="22"/>
          <w:szCs w:val="22"/>
        </w:rPr>
      </w:pPr>
      <w:r>
        <w:rPr>
          <w:rFonts w:ascii="Cambria" w:hAnsi="Cambria"/>
          <w:i w:val="false"/>
          <w:sz w:val="22"/>
          <w:szCs w:val="22"/>
        </w:rPr>
      </w:r>
    </w:p>
    <w:p>
      <w:pPr>
        <w:pStyle w:val="western"/>
        <w:spacing w:lineRule="auto" w:line="240" w:before="280" w:after="0"/>
        <w:rPr>
          <w:rFonts w:ascii="Cambria" w:hAnsi="Cambria"/>
          <w:sz w:val="22"/>
          <w:szCs w:val="22"/>
        </w:rPr>
      </w:pPr>
      <w:r>
        <w:rPr>
          <w:rFonts w:ascii="Cambria" w:hAnsi="Cambria"/>
          <w:i w:val="false"/>
          <w:sz w:val="22"/>
          <w:szCs w:val="22"/>
        </w:rPr>
        <w:t xml:space="preserve">En Hornachuelos, </w:t>
      </w:r>
    </w:p>
    <w:p>
      <w:pPr>
        <w:pStyle w:val="western"/>
        <w:spacing w:lineRule="auto" w:line="240" w:before="280" w:after="0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i w:val="false"/>
          <w:sz w:val="22"/>
          <w:szCs w:val="22"/>
        </w:rPr>
        <w:t xml:space="preserve">El Sr. Alcalde </w:t>
      </w:r>
    </w:p>
    <w:p>
      <w:pPr>
        <w:pStyle w:val="western"/>
        <w:spacing w:lineRule="auto" w:line="240" w:before="280" w:after="0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i w:val="false"/>
          <w:sz w:val="22"/>
          <w:szCs w:val="22"/>
        </w:rPr>
        <w:t>D. Julián López Vázquez.</w:t>
      </w:r>
    </w:p>
    <w:p>
      <w:pPr>
        <w:pStyle w:val="western"/>
        <w:spacing w:lineRule="auto" w:line="240" w:before="280" w:after="0"/>
        <w:jc w:val="center"/>
        <w:rPr>
          <w:i/>
          <w:iCs/>
        </w:rPr>
      </w:pPr>
      <w:r>
        <w:rPr>
          <w:rFonts w:ascii="Cambria" w:hAnsi="Cambria"/>
          <w:i/>
          <w:iCs/>
          <w:sz w:val="22"/>
          <w:szCs w:val="22"/>
        </w:rPr>
        <w:t>(</w:t>
      </w:r>
      <w:r>
        <w:rPr>
          <w:rFonts w:ascii="Cambria" w:hAnsi="Cambria"/>
          <w:i/>
          <w:iCs/>
          <w:sz w:val="22"/>
          <w:szCs w:val="22"/>
        </w:rPr>
        <w:t>Fecha y firma electrónicas</w:t>
      </w:r>
      <w:r>
        <w:rPr>
          <w:rFonts w:ascii="Cambria" w:hAnsi="Cambria"/>
          <w:i/>
          <w:iCs/>
          <w:sz w:val="22"/>
          <w:szCs w:val="22"/>
        </w:rPr>
        <w:t>)</w:t>
      </w:r>
    </w:p>
    <w:p>
      <w:pPr>
        <w:pStyle w:val="Normal"/>
        <w:spacing w:before="0" w:after="1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  <w:bookmarkStart w:id="0" w:name="_GoBack_Copia_1"/>
      <w:bookmarkStart w:id="1" w:name="_GoBack"/>
      <w:bookmarkEnd w:id="0"/>
      <w:bookmarkEnd w:id="1"/>
    </w:p>
    <w:sectPr>
      <w:headerReference w:type="defaul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Bookman Old Style">
    <w:charset w:val="00"/>
    <w:family w:val="roman"/>
    <w:pitch w:val="variable"/>
  </w:font>
  <w:font w:name="Segoe UI Light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center" w:pos="2410" w:leader="none"/>
      </w:tabs>
      <w:ind w:hanging="0" w:left="851"/>
      <w:rPr>
        <w:rFonts w:ascii="Bookman Old Style" w:hAnsi="Bookman Old Style"/>
      </w:rPr>
    </w:pPr>
    <w:r>
      <w:rPr>
        <w:rFonts w:ascii="Bookman Old Style" w:hAnsi="Bookman Old Style"/>
      </w:rP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-332105</wp:posOffset>
          </wp:positionH>
          <wp:positionV relativeFrom="paragraph">
            <wp:posOffset>635</wp:posOffset>
          </wp:positionV>
          <wp:extent cx="673100" cy="774700"/>
          <wp:effectExtent l="0" t="0" r="0" b="0"/>
          <wp:wrapNone/>
          <wp:docPr id="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774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tabs>
        <w:tab w:val="clear" w:pos="4252"/>
        <w:tab w:val="center" w:pos="2410" w:leader="none"/>
      </w:tabs>
      <w:ind w:firstLine="425" w:left="851"/>
      <w:rPr>
        <w:rFonts w:ascii="Bookman Old Style" w:hAnsi="Bookman Old Style"/>
        <w:sz w:val="28"/>
        <w:szCs w:val="28"/>
      </w:rPr>
    </w:pPr>
    <w:r>
      <w:rPr>
        <w:rFonts w:ascii="Bookman Old Style" w:hAnsi="Bookman Old Style"/>
        <w:sz w:val="28"/>
        <w:szCs w:val="28"/>
      </w:rPr>
      <w:t>Ayuntamiento de</w:t>
    </w:r>
  </w:p>
  <w:p>
    <w:pPr>
      <w:pStyle w:val="Header"/>
      <w:tabs>
        <w:tab w:val="clear" w:pos="4252"/>
        <w:tab w:val="center" w:pos="2410" w:leader="none"/>
      </w:tabs>
      <w:spacing w:before="0" w:after="120"/>
      <w:rPr>
        <w:rFonts w:ascii="Bookman Old Style" w:hAnsi="Bookman Old Style"/>
        <w:b/>
        <w:spacing w:val="20"/>
        <w:sz w:val="32"/>
        <w:szCs w:val="32"/>
      </w:rPr>
    </w:pPr>
    <w:r>
      <mc:AlternateContent>
        <mc:Choice Requires="wps">
          <w:drawing>
            <wp:anchor distT="3810" distB="3175" distL="3175" distR="3810" simplePos="0" relativeHeight="3" behindDoc="1" locked="0" layoutInCell="1" allowOverlap="1">
              <wp:simplePos x="0" y="0"/>
              <wp:positionH relativeFrom="column">
                <wp:posOffset>-486410</wp:posOffset>
              </wp:positionH>
              <wp:positionV relativeFrom="paragraph">
                <wp:posOffset>248285</wp:posOffset>
              </wp:positionV>
              <wp:extent cx="6483350" cy="635"/>
              <wp:effectExtent l="3175" t="3810" r="3810" b="3175"/>
              <wp:wrapNone/>
              <wp:docPr id="2" name="Conector recto de flech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3240" cy="720"/>
                      </a:xfrm>
                      <a:prstGeom prst="straightConnector1">
                        <a:avLst/>
                      </a:prstGeom>
                      <a:noFill/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stroked="t" o:allowincell="f" style="position:absolute;margin-left:-38.3pt;margin-top:19.55pt;width:510.45pt;height:0pt;mso-wrap-style:none;v-text-anchor:middle" type="_x0000_t32" path="m0,0l-2147483648,-2147483647e">
              <v:fill o:detectmouseclick="t" on="false"/>
              <v:stroke color="black" weight="6480" joinstyle="round" endcap="flat"/>
              <w10:wrap type="none"/>
            </v:shape>
          </w:pict>
        </mc:Fallback>
      </mc:AlternateContent>
    </w:r>
    <w:r>
      <w:rPr>
        <w:rFonts w:ascii="Bookman Old Style" w:hAnsi="Bookman Old Style"/>
        <w:b/>
        <w:spacing w:val="20"/>
        <w:sz w:val="32"/>
        <w:szCs w:val="32"/>
      </w:rPr>
      <w:tab/>
      <w:t>HORNACHUELOS</w:t>
    </w:r>
  </w:p>
  <w:p>
    <w:pPr>
      <w:pStyle w:val="Header"/>
      <w:tabs>
        <w:tab w:val="clear" w:pos="4252"/>
        <w:tab w:val="clear" w:pos="8504"/>
        <w:tab w:val="center" w:pos="2410" w:leader="none"/>
        <w:tab w:val="right" w:pos="9356" w:leader="none"/>
      </w:tabs>
      <w:ind w:hanging="0" w:right="-852"/>
      <w:rPr>
        <w:rFonts w:ascii="Segoe UI Light" w:hAnsi="Segoe UI Light" w:cs="Segoe UI Semilight"/>
        <w:sz w:val="18"/>
        <w:szCs w:val="18"/>
      </w:rPr>
    </w:pPr>
    <w:r>
      <w:rPr>
        <w:rFonts w:cs="Segoe UI Semilight" w:ascii="Segoe UI Light" w:hAnsi="Segoe UI Light"/>
        <w:sz w:val="18"/>
        <w:szCs w:val="18"/>
      </w:rPr>
      <w:tab/>
      <w:t>Plaza de la Constitución, nº 1 – C.P. 14.740</w:t>
      <w:tab/>
      <w:t xml:space="preserve">Departamento: </w:t>
    </w:r>
    <w:r>
      <w:rPr>
        <w:rFonts w:cs="Segoe UI Semilight" w:ascii="Segoe UI Light" w:hAnsi="Segoe UI Light"/>
        <w:b/>
      </w:rPr>
      <w:t>Área de Bienestar Social</w:t>
    </w:r>
  </w:p>
  <w:p>
    <w:pPr>
      <w:pStyle w:val="Header"/>
      <w:tabs>
        <w:tab w:val="clear" w:pos="8504"/>
        <w:tab w:val="center" w:pos="2410" w:leader="none"/>
        <w:tab w:val="right" w:pos="9356" w:leader="none"/>
      </w:tabs>
      <w:ind w:hanging="0" w:right="-852"/>
      <w:rPr>
        <w:rFonts w:ascii="Segoe UI Light" w:hAnsi="Segoe UI Light" w:cs="Segoe UI Semilight"/>
        <w:sz w:val="18"/>
        <w:szCs w:val="18"/>
        <w:lang w:val="x-none"/>
      </w:rPr>
    </w:pPr>
    <w:r>
      <w:rPr>
        <w:rFonts w:cs="Segoe UI Semilight" w:ascii="Segoe UI Light" w:hAnsi="Segoe UI Light"/>
        <w:sz w:val="18"/>
        <w:szCs w:val="18"/>
      </w:rPr>
      <w:tab/>
    </w:r>
    <w:r>
      <w:rPr>
        <w:rFonts w:cs="Segoe UI Semilight" w:ascii="Segoe UI Light" w:hAnsi="Segoe UI Light"/>
        <w:b/>
        <w:sz w:val="18"/>
        <w:szCs w:val="18"/>
      </w:rPr>
      <w:t>Tel.:</w:t>
    </w:r>
    <w:r>
      <w:rPr>
        <w:rFonts w:cs="Segoe UI Semilight" w:ascii="Segoe UI Light" w:hAnsi="Segoe UI Light"/>
        <w:sz w:val="18"/>
        <w:szCs w:val="18"/>
      </w:rPr>
      <w:t xml:space="preserve"> 957 641 051 – 957 641 052     </w:t>
    </w:r>
    <w:r>
      <w:rPr>
        <w:rFonts w:cs="Segoe UI Semilight" w:ascii="Segoe UI Light" w:hAnsi="Segoe UI Light"/>
        <w:b/>
        <w:sz w:val="18"/>
        <w:szCs w:val="18"/>
      </w:rPr>
      <w:t>Fax:</w:t>
    </w:r>
    <w:r>
      <w:rPr>
        <w:rFonts w:cs="Segoe UI Semilight" w:ascii="Segoe UI Light" w:hAnsi="Segoe UI Light"/>
        <w:sz w:val="18"/>
        <w:szCs w:val="18"/>
      </w:rPr>
      <w:t xml:space="preserve"> 957 640 499</w:t>
      <w:tab/>
      <w:t>bienestarsocial@hornachuelos.es</w:t>
    </w:r>
  </w:p>
  <w:p>
    <w:pPr>
      <w:pStyle w:val="Header"/>
      <w:tabs>
        <w:tab w:val="clear" w:pos="8504"/>
        <w:tab w:val="center" w:pos="2410" w:leader="none"/>
        <w:tab w:val="right" w:pos="9356" w:leader="none"/>
      </w:tabs>
      <w:ind w:hanging="0" w:right="-285"/>
      <w:rPr>
        <w:rFonts w:ascii="Segoe UI Light" w:hAnsi="Segoe UI Light" w:cs="Segoe UI Semilight"/>
        <w:sz w:val="18"/>
        <w:szCs w:val="18"/>
      </w:rPr>
    </w:pPr>
    <w:r>
      <w:rPr>
        <w:rFonts w:cs="Segoe UI Semilight" w:ascii="Segoe UI Light" w:hAnsi="Segoe UI Light"/>
        <w:sz w:val="18"/>
        <w:szCs w:val="18"/>
      </w:rPr>
      <w:tab/>
    </w:r>
    <w:r>
      <w:rPr>
        <w:rFonts w:cs="Segoe UI Semilight" w:ascii="Segoe UI Light" w:hAnsi="Segoe UI Light"/>
        <w:b/>
        <w:sz w:val="18"/>
        <w:szCs w:val="18"/>
      </w:rPr>
      <w:t>Correo electrónico:</w:t>
    </w:r>
    <w:r>
      <w:rPr>
        <w:rFonts w:cs="Segoe UI Semilight" w:ascii="Segoe UI Light" w:hAnsi="Segoe UI Light"/>
        <w:sz w:val="18"/>
        <w:szCs w:val="18"/>
      </w:rPr>
      <w:t xml:space="preserve"> ayuntamiento@hornachuelos.es</w:t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useWord2013TrackBottomHyphen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es-ES" w:eastAsia="en-US" w:bidi="ar-SA"/>
    </w:rPr>
  </w:style>
  <w:style w:type="character" w:styleId="DefaultParagraphFont">
    <w:name w:val="Default Paragraph Font"/>
    <w:qFormat/>
    <w:rPr/>
  </w:style>
  <w:style w:type="character" w:styleId="EncabezadoCar">
    <w:name w:val="Encabezado Car"/>
    <w:basedOn w:val="DefaultParagraphFont"/>
    <w:qFormat/>
    <w:rPr/>
  </w:style>
  <w:style w:type="character" w:styleId="PiedepginaCar">
    <w:name w:val="Pie de página Car"/>
    <w:basedOn w:val="DefaultParagraphFont"/>
    <w:qFormat/>
    <w:rPr/>
  </w:style>
  <w:style w:type="character" w:styleId="Hyperlink">
    <w:name w:val="Hyperlink"/>
    <w:basedOn w:val="DefaultParagraphFont"/>
    <w:rPr>
      <w:color w:themeColor="hyperlink"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epginaC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western">
    <w:name w:val="western"/>
    <w:basedOn w:val="Normal"/>
    <w:qFormat/>
    <w:pPr>
      <w:spacing w:lineRule="atLeast" w:line="238" w:before="280" w:after="0"/>
      <w:jc w:val="both"/>
    </w:pPr>
    <w:rPr>
      <w:rFonts w:ascii="Arial" w:hAnsi="Arial" w:cs="Arial"/>
      <w:i/>
      <w:iCs/>
      <w:sz w:val="24"/>
      <w:szCs w:val="24"/>
    </w:rPr>
  </w:style>
  <w:style w:type="numbering" w:styleId="Ningunalista">
    <w:name w:val="Ninguna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.www.pap.mihhap.gob.es/bdnstrans/index" TargetMode="External"/><Relationship Id="rId3" Type="http://schemas.openxmlformats.org/officeDocument/2006/relationships/hyperlink" Target="http://www.hornachuelos.es/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LibreOffice/26.2.5.2$Windows_X86_64 LibreOffice_project/cd7284b4cbbfeb507e630c1aac019f4157393acb</Application>
  <AppVersion>15.0000</AppVersion>
  <Pages>2</Pages>
  <Words>466</Words>
  <Characters>2477</Characters>
  <CharactersWithSpaces>2999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2022-03-18T11:45:00Z</dcterms:created>
  <dc:creator>Herminia Domínguez Martín</dc:creator>
  <dc:description/>
  <dc:language>es-ES</dc:language>
  <cp:lastModifiedBy/>
  <dcterms:modified xsi:type="dcterms:W3CDTF">2026-09-22T08:41:46Z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