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numbering.xml" ContentType="application/vnd.openxmlformats-officedocument.wordprocessingml.numbering+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13"/>
        <w:ind w:hanging="0" w:left="0" w:right="7"/>
        <w:jc w:val="left"/>
        <w:rPr>
          <w:b/>
          <w:sz w:val="26"/>
        </w:rPr>
      </w:pPr>
      <w:r>
        <w:rPr>
          <w:b/>
          <w:sz w:val="26"/>
        </w:rPr>
        <w:t xml:space="preserve">CONVOCATORIA PARA A CONCESIÓN DE </w:t>
      </w:r>
      <w:bookmarkStart w:id="0" w:name="_Hlk180501230"/>
      <w:r>
        <w:rPr>
          <w:b/>
          <w:sz w:val="26"/>
        </w:rPr>
        <w:t>SUBVENCIÓNS A</w:t>
      </w:r>
      <w:r>
        <w:rPr/>
        <w:t xml:space="preserve"> </w:t>
      </w:r>
      <w:r>
        <w:rPr>
          <w:b/>
          <w:sz w:val="26"/>
        </w:rPr>
        <w:t>ASOCIACIÓNS E ENTIDADES SEN ÁNIMO DE LUCRO QUE DESENVOLVAN ACCIÓNS NO EIDO DA CULTURA NO ANO 202</w:t>
      </w:r>
      <w:bookmarkEnd w:id="0"/>
      <w:r>
        <w:rPr>
          <w:b/>
          <w:sz w:val="26"/>
        </w:rPr>
        <w:t>6.</w:t>
      </w:r>
    </w:p>
    <w:p>
      <w:pPr>
        <w:pStyle w:val="Normal"/>
        <w:spacing w:before="0" w:after="13"/>
        <w:ind w:hanging="10" w:left="10" w:right="7"/>
        <w:jc w:val="left"/>
        <w:rPr/>
      </w:pPr>
      <w:r>
        <w:rPr/>
      </w:r>
    </w:p>
    <w:p>
      <w:pPr>
        <w:pStyle w:val="Normal"/>
        <w:spacing w:before="0" w:after="516"/>
        <w:ind w:hanging="10" w:left="-5" w:right="10"/>
        <w:rPr/>
      </w:pPr>
      <w:r>
        <w:rPr/>
        <w:t>Bases reguladoras do programa de subvencións a asociacións e entidades sen ánimo de lucro que desenvolvan accións no eido da cultura durante o exercicio 2026.</w:t>
      </w:r>
    </w:p>
    <w:p>
      <w:pPr>
        <w:pStyle w:val="Normal"/>
        <w:spacing w:before="0" w:after="516"/>
        <w:ind w:hanging="10" w:left="-5" w:right="10"/>
        <w:rPr/>
      </w:pPr>
      <w:r>
        <w:rPr/>
        <w:t xml:space="preserve">O Concello de San Sadurniño, ten a vontade de prestar todo o seu apoio ao asociacionismo veciñal, por consideralo un dos instrumentos máis importantes que garanten a participación colectiva da cidadanía, contribuíndo á construción colectiva do noso Concello. Nesta convocatoria preséntanse subvencións, en réxime de concorrencia competitiva, dirixidas ás asociacións veciñais e destinadas a apoiar o funcionamento e a dinamización de actividades de interese cultural do Concello de San Sadurniño para o exercicio 2026. </w:t>
      </w:r>
    </w:p>
    <w:p>
      <w:pPr>
        <w:pStyle w:val="Heading1"/>
        <w:ind w:hanging="10" w:left="-5"/>
        <w:rPr>
          <w:lang w:val="pt-PT"/>
        </w:rPr>
      </w:pPr>
      <w:r>
        <w:rPr>
          <w:lang w:val="pt-PT"/>
        </w:rPr>
        <w:t>Artigo 1.- OBXECTO DA CONVOCATORIA.</w:t>
      </w:r>
    </w:p>
    <w:p>
      <w:pPr>
        <w:pStyle w:val="Normal"/>
        <w:ind w:hanging="10" w:left="-5" w:right="10"/>
        <w:rPr>
          <w:lang w:val="pt-PT"/>
        </w:rPr>
      </w:pPr>
      <w:r>
        <w:rPr>
          <w:lang w:val="pt-PT"/>
        </w:rPr>
        <w:t>Estas bases teñen por obxecto establecer os criterios e o procedemento para a concesión de subvencións municipais dirixidas ao apoio e promoción da cultura e todas as súas facetas, de acordo cos principios de publicidade, transparencia, obxectividade, libre concorrencia, non discriminación e igualdade, para a realización de actividades que en xeral, contribúan ó fomento dos intereses xerais ou sectoriais dos veciños e veciñas do Concello.</w:t>
      </w:r>
    </w:p>
    <w:p>
      <w:pPr>
        <w:pStyle w:val="Normal"/>
        <w:ind w:hanging="10" w:left="-5" w:right="10"/>
        <w:rPr>
          <w:lang w:val="pt-PT"/>
        </w:rPr>
      </w:pPr>
      <w:r>
        <w:rPr>
          <w:lang w:val="pt-PT"/>
        </w:rPr>
        <w:t>O Concello de San Sadurniño quere contribuír a promover a difusión e a posta en valor de todas as manifestacións da cultura e identidade propia de Galiza, así coma as destinadas a recuperar o rico patrimonio tradicional, histórico, musical, folclórico, etnográfico, lingüístico etc.</w:t>
      </w:r>
    </w:p>
    <w:p>
      <w:pPr>
        <w:pStyle w:val="Normal"/>
        <w:spacing w:before="0" w:after="516"/>
        <w:ind w:hanging="10" w:left="-5" w:right="9"/>
        <w:rPr>
          <w:lang w:val="pt-PT"/>
        </w:rPr>
      </w:pPr>
      <w:r>
        <w:rPr>
          <w:lang w:val="pt-PT"/>
        </w:rPr>
        <w:t>Os fins indicados anteriormente efectuaranse de conformidade coa normativa aplicable especialmente prevista nos artigos: 25 da Lei 7/1985, de 2 de abril, Reguladora das Bases do Réxime Local; 294 da Lei 5/1997, do 22 de xullo de Administración Local; 40.2 do RDL 2/2004, do 5 de marzo, polo que se aproba o Texto Refundido da Lei de Facendas Locais; e 23 e seguintes do Regulamento de Servizos das Corporacións Locais; Lei 38/2003, do 17 de novembro, Xeral de Subvencións; RD 887/2006, de 21 de xullo, polo que se aproba o Regulamento da Lei 38/2003 de 17 de novembro; a Lei de Subvencións de Galiza e demais normas concordantes.</w:t>
      </w:r>
    </w:p>
    <w:p>
      <w:pPr>
        <w:pStyle w:val="Heading1"/>
        <w:ind w:hanging="10" w:left="-5"/>
        <w:rPr>
          <w:lang w:val="pt-PT"/>
        </w:rPr>
      </w:pPr>
      <w:r>
        <w:rPr>
          <w:lang w:val="pt-PT"/>
        </w:rPr>
        <w:t>Artigo 2.- ENTIDADES BENEFICIARIAS.</w:t>
      </w:r>
    </w:p>
    <w:p>
      <w:pPr>
        <w:pStyle w:val="Normal"/>
        <w:ind w:hanging="10" w:left="718" w:right="10"/>
        <w:rPr>
          <w:lang w:val="pt-PT"/>
        </w:rPr>
      </w:pPr>
      <w:r>
        <w:rPr>
          <w:lang w:val="pt-PT"/>
        </w:rPr>
        <w:t>2.1.- Poderán solicitar as subvencións reguladas na presente convocatoria:</w:t>
      </w:r>
    </w:p>
    <w:p>
      <w:pPr>
        <w:pStyle w:val="Normal"/>
        <w:numPr>
          <w:ilvl w:val="0"/>
          <w:numId w:val="2"/>
        </w:numPr>
        <w:ind w:hanging="360" w:left="720" w:right="10"/>
        <w:rPr>
          <w:lang w:val="pt-PT"/>
        </w:rPr>
      </w:pPr>
      <w:r>
        <w:rPr>
          <w:lang w:val="pt-PT"/>
        </w:rPr>
        <w:t>As asociacións e entidades validamente constituídas sen fin de lucro, que teñan o seu domicilio social no Concello de San Sadurniño, realicen actividades de interese municipal e se atopen debidamente inscritas no Rexistro municipal de entidades.</w:t>
      </w:r>
    </w:p>
    <w:p>
      <w:pPr>
        <w:pStyle w:val="Normal"/>
        <w:numPr>
          <w:ilvl w:val="0"/>
          <w:numId w:val="2"/>
        </w:numPr>
        <w:ind w:hanging="360" w:left="720" w:right="10"/>
        <w:rPr>
          <w:lang w:val="pt-PT"/>
        </w:rPr>
      </w:pPr>
      <w:r>
        <w:rPr>
          <w:lang w:val="pt-PT"/>
        </w:rPr>
        <w:t>Excepcionalmente, as entidades e asociacións sen finalidade de lucro, validamente constituídas, aínda que non estean domiciliadas no Concello de San Sadurniño, para financiar actividades de interese municipal dentro do Concello ou en beneficio do mesmo.</w:t>
      </w:r>
    </w:p>
    <w:p>
      <w:pPr>
        <w:pStyle w:val="Normal"/>
        <w:numPr>
          <w:ilvl w:val="0"/>
          <w:numId w:val="2"/>
        </w:numPr>
        <w:ind w:hanging="360" w:left="720" w:right="10"/>
        <w:rPr>
          <w:lang w:val="pt-PT"/>
        </w:rPr>
      </w:pPr>
      <w:r>
        <w:rPr>
          <w:lang w:val="pt-PT"/>
        </w:rPr>
        <w:t>As agrupacións de persoas físicas ou xurídicas, nos termos sinalados no artigo 8 da Lei 9/2007, do 13 de xuño, de subvencións de Galiza</w:t>
      </w:r>
      <w:r>
        <w:rPr>
          <w:color w:val="0000FF"/>
          <w:lang w:val="pt-PT"/>
        </w:rPr>
        <w:t xml:space="preserve"> </w:t>
      </w:r>
      <w:r>
        <w:rPr>
          <w:lang w:val="pt-PT"/>
        </w:rPr>
        <w:t>constituídas sen fin de lucro.</w:t>
      </w:r>
    </w:p>
    <w:p>
      <w:pPr>
        <w:pStyle w:val="Normal"/>
        <w:spacing w:before="0" w:after="145"/>
        <w:ind w:hanging="10" w:left="718" w:right="10"/>
        <w:rPr/>
      </w:pPr>
      <w:r>
        <w:rPr/>
        <w:t>2.2.- Non poderán ser destinatarias de subvencións municipais:</w:t>
      </w:r>
    </w:p>
    <w:p>
      <w:pPr>
        <w:pStyle w:val="Normal"/>
        <w:numPr>
          <w:ilvl w:val="0"/>
          <w:numId w:val="3"/>
        </w:numPr>
        <w:spacing w:before="0" w:after="152"/>
        <w:ind w:hanging="360" w:left="720" w:right="10"/>
        <w:rPr>
          <w:lang w:val="pt-PT"/>
        </w:rPr>
      </w:pPr>
      <w:r>
        <w:rPr>
          <w:lang w:val="pt-PT"/>
        </w:rPr>
        <w:t>Aquelas entidades ou persoas físicas que non se atopen ao corrente das súas obrigas fiscais e coa Seguridade Social.</w:t>
      </w:r>
    </w:p>
    <w:p>
      <w:pPr>
        <w:pStyle w:val="Normal"/>
        <w:numPr>
          <w:ilvl w:val="0"/>
          <w:numId w:val="3"/>
        </w:numPr>
        <w:spacing w:before="0" w:after="150"/>
        <w:ind w:hanging="360" w:left="720" w:right="10"/>
        <w:rPr/>
      </w:pPr>
      <w:r>
        <w:rPr/>
        <w:t>Aquelas entidades que teñan pendente de xustificación algunha subvención concedida polo Concello.</w:t>
      </w:r>
    </w:p>
    <w:p>
      <w:pPr>
        <w:pStyle w:val="Normal"/>
        <w:numPr>
          <w:ilvl w:val="0"/>
          <w:numId w:val="3"/>
        </w:numPr>
        <w:ind w:hanging="360" w:left="720" w:right="10"/>
        <w:rPr/>
      </w:pPr>
      <w:r>
        <w:rPr/>
        <w:t>As entidades coas que o Concello asine algún tipo de convenio de contido económico.</w:t>
      </w:r>
    </w:p>
    <w:p>
      <w:pPr>
        <w:pStyle w:val="Normal"/>
        <w:spacing w:before="0" w:after="147"/>
        <w:ind w:hanging="10" w:left="718" w:right="10"/>
        <w:rPr/>
      </w:pPr>
      <w:r>
        <w:rPr/>
        <w:t>2.3.- Quedan excluídas desta convocatoria:</w:t>
      </w:r>
    </w:p>
    <w:p>
      <w:pPr>
        <w:pStyle w:val="Normal"/>
        <w:numPr>
          <w:ilvl w:val="0"/>
          <w:numId w:val="3"/>
        </w:numPr>
        <w:ind w:hanging="360" w:left="720" w:right="10"/>
        <w:rPr/>
      </w:pPr>
      <w:r>
        <w:rPr/>
        <w:t>Actividades que non cumpran algún requisito das presentes bases.</w:t>
      </w:r>
    </w:p>
    <w:p>
      <w:pPr>
        <w:pStyle w:val="Normal"/>
        <w:numPr>
          <w:ilvl w:val="0"/>
          <w:numId w:val="3"/>
        </w:numPr>
        <w:spacing w:lineRule="auto" w:line="235" w:before="0" w:after="161"/>
        <w:ind w:hanging="360" w:left="720" w:right="10"/>
        <w:rPr/>
      </w:pPr>
      <w:r>
        <w:rPr/>
        <w:t>As viaxes de ocio que non teñan marcado carácter cultural e os gastos de manutención; por esta razón, este tipo de gastos, tampouco poderán incluírse nos presupostos que se presenten.</w:t>
      </w:r>
    </w:p>
    <w:p>
      <w:pPr>
        <w:pStyle w:val="Normal"/>
        <w:numPr>
          <w:ilvl w:val="0"/>
          <w:numId w:val="3"/>
        </w:numPr>
        <w:spacing w:before="0" w:after="771"/>
        <w:ind w:hanging="360" w:left="720" w:right="10"/>
        <w:rPr>
          <w:lang w:val="pt-PT"/>
        </w:rPr>
      </w:pPr>
      <w:r>
        <w:rPr>
          <w:lang w:val="pt-PT"/>
        </w:rPr>
        <w:t>As actividades de carácter confesional nin as festas</w:t>
      </w:r>
      <w:r>
        <w:rPr>
          <w:color w:val="C9211E"/>
          <w:lang w:val="pt-PT"/>
        </w:rPr>
        <w:t>.</w:t>
      </w:r>
    </w:p>
    <w:p>
      <w:pPr>
        <w:pStyle w:val="Heading1"/>
        <w:ind w:hanging="10" w:left="-5"/>
        <w:rPr>
          <w:lang w:val="pt-PT"/>
        </w:rPr>
      </w:pPr>
      <w:r>
        <w:rPr>
          <w:lang w:val="pt-PT"/>
        </w:rPr>
        <w:t>Artigo 3.- PROGRAMAS SUBVENCIONÁBEIS.</w:t>
      </w:r>
    </w:p>
    <w:p>
      <w:pPr>
        <w:pStyle w:val="Normal"/>
        <w:ind w:hanging="10" w:left="-5" w:right="10"/>
        <w:rPr>
          <w:lang w:val="pt-PT"/>
        </w:rPr>
      </w:pPr>
      <w:r>
        <w:rPr>
          <w:lang w:val="pt-PT"/>
        </w:rPr>
        <w:t xml:space="preserve">Establécense dúas liñas subvencionables dentro da presente convocatoria: </w:t>
      </w:r>
    </w:p>
    <w:p>
      <w:pPr>
        <w:pStyle w:val="Normal"/>
        <w:ind w:hanging="10" w:left="-5" w:right="0"/>
        <w:jc w:val="left"/>
        <w:rPr>
          <w:lang w:val="pt-PT"/>
        </w:rPr>
      </w:pPr>
      <w:r>
        <w:rPr>
          <w:b/>
          <w:lang w:val="pt-PT"/>
        </w:rPr>
        <w:t>Liña 1.</w:t>
      </w:r>
    </w:p>
    <w:p>
      <w:pPr>
        <w:pStyle w:val="Normal"/>
        <w:ind w:hanging="10" w:left="-5" w:right="10"/>
        <w:rPr>
          <w:lang w:val="pt-PT"/>
        </w:rPr>
      </w:pPr>
      <w:r>
        <w:rPr>
          <w:lang w:val="pt-PT"/>
        </w:rPr>
        <w:t>3.1.- Actividades culturais:</w:t>
      </w:r>
    </w:p>
    <w:p>
      <w:pPr>
        <w:pStyle w:val="Normal"/>
        <w:ind w:hanging="10" w:left="-5" w:right="10"/>
        <w:rPr>
          <w:lang w:val="pt-PT"/>
        </w:rPr>
      </w:pPr>
      <w:r>
        <w:rPr>
          <w:lang w:val="pt-PT"/>
        </w:rPr>
        <w:t>As dirixidas á realización de actividades puntuais ou de carácter anual, no eido cultural. Entenderase por actividades culturais, actividades tales como: celebracións, homenaxes, exposicións, publicacións, concursos, certames, mostras, eventos musicais, encontros, conferencias, estudios, etc., en xeral, calquera actividade de conservación, promoción e divulgación dos valores culturais galegos</w:t>
      </w:r>
      <w:r>
        <w:rPr>
          <w:color w:val="C9211E"/>
          <w:lang w:val="pt-PT"/>
        </w:rPr>
        <w:t>.</w:t>
      </w:r>
    </w:p>
    <w:p>
      <w:pPr>
        <w:pStyle w:val="Normal"/>
        <w:ind w:hanging="10" w:left="-5" w:right="10"/>
        <w:rPr/>
      </w:pPr>
      <w:r>
        <w:rPr/>
        <w:t xml:space="preserve">Serán gastos subvencionables os seguintes: </w:t>
      </w:r>
    </w:p>
    <w:p>
      <w:pPr>
        <w:pStyle w:val="Normal"/>
        <w:numPr>
          <w:ilvl w:val="0"/>
          <w:numId w:val="1"/>
        </w:numPr>
        <w:ind w:hanging="10" w:left="118" w:right="15"/>
        <w:rPr/>
      </w:pPr>
      <w:r>
        <w:rPr/>
        <w:t xml:space="preserve">Gastos de persoal para a dirección, coordinación e monitorizado das actividades. </w:t>
      </w:r>
    </w:p>
    <w:p>
      <w:pPr>
        <w:pStyle w:val="Normal"/>
        <w:numPr>
          <w:ilvl w:val="0"/>
          <w:numId w:val="1"/>
        </w:numPr>
        <w:ind w:hanging="10" w:left="118" w:right="15"/>
        <w:rPr/>
      </w:pPr>
      <w:r>
        <w:rPr/>
        <w:t>Gastos de materiais funxibles necesarios para a realización das actividades. (Máximo 25% do orzamento total admitido).</w:t>
      </w:r>
    </w:p>
    <w:p>
      <w:pPr>
        <w:pStyle w:val="Normal"/>
        <w:numPr>
          <w:ilvl w:val="0"/>
          <w:numId w:val="1"/>
        </w:numPr>
        <w:ind w:hanging="10" w:left="118" w:right="15"/>
        <w:rPr/>
      </w:pPr>
      <w:r>
        <w:rPr/>
        <w:t xml:space="preserve">Gastos de mantemento e aloxamento en caso de intercambios de grupos folclóricos ou artísticos. </w:t>
      </w:r>
    </w:p>
    <w:p>
      <w:pPr>
        <w:pStyle w:val="Normal"/>
        <w:numPr>
          <w:ilvl w:val="0"/>
          <w:numId w:val="1"/>
        </w:numPr>
        <w:ind w:hanging="10" w:left="118" w:right="15"/>
        <w:rPr/>
      </w:pPr>
      <w:r>
        <w:rPr/>
        <w:t xml:space="preserve">Material didáctico. </w:t>
      </w:r>
    </w:p>
    <w:p>
      <w:pPr>
        <w:pStyle w:val="Normal"/>
        <w:numPr>
          <w:ilvl w:val="0"/>
          <w:numId w:val="1"/>
        </w:numPr>
        <w:ind w:hanging="10" w:left="118" w:right="15"/>
        <w:rPr/>
      </w:pPr>
      <w:r>
        <w:rPr/>
        <w:t xml:space="preserve">Alugueiro de elementos precisos para a realización das actividades (palcos, carpas, tarimas, amplificación, iluminación, etc). </w:t>
      </w:r>
    </w:p>
    <w:p>
      <w:pPr>
        <w:pStyle w:val="Normal"/>
        <w:numPr>
          <w:ilvl w:val="0"/>
          <w:numId w:val="1"/>
        </w:numPr>
        <w:ind w:hanging="10" w:left="118" w:right="15"/>
        <w:rPr/>
      </w:pPr>
      <w:r>
        <w:rPr/>
        <w:t xml:space="preserve">Contratación de artistas. </w:t>
      </w:r>
    </w:p>
    <w:p>
      <w:pPr>
        <w:pStyle w:val="Normal"/>
        <w:numPr>
          <w:ilvl w:val="0"/>
          <w:numId w:val="1"/>
        </w:numPr>
        <w:ind w:hanging="10" w:left="118" w:right="15"/>
        <w:rPr/>
      </w:pPr>
      <w:r>
        <w:rPr/>
        <w:t xml:space="preserve">Gastos de publicidade. </w:t>
      </w:r>
    </w:p>
    <w:p>
      <w:pPr>
        <w:pStyle w:val="Normal"/>
        <w:numPr>
          <w:ilvl w:val="0"/>
          <w:numId w:val="1"/>
        </w:numPr>
        <w:ind w:hanging="10" w:left="118" w:right="15"/>
        <w:rPr>
          <w:lang w:val="pt-PT"/>
        </w:rPr>
      </w:pPr>
      <w:r>
        <w:rPr>
          <w:lang w:val="pt-PT"/>
        </w:rPr>
        <w:t>Seguros de accidentes das actividades subvencionadas e de responsabilidade civil.</w:t>
      </w:r>
    </w:p>
    <w:p>
      <w:pPr>
        <w:pStyle w:val="Normal"/>
        <w:numPr>
          <w:ilvl w:val="0"/>
          <w:numId w:val="1"/>
        </w:numPr>
        <w:ind w:hanging="10" w:left="118" w:right="15"/>
        <w:rPr>
          <w:color w:val="auto"/>
          <w:lang w:val="pt-PT"/>
        </w:rPr>
      </w:pPr>
      <w:r>
        <w:rPr>
          <w:color w:val="auto"/>
          <w:lang w:val="pt-PT"/>
        </w:rPr>
        <w:t xml:space="preserve">Trasporte das viaxes culturais. </w:t>
      </w:r>
    </w:p>
    <w:p>
      <w:pPr>
        <w:pStyle w:val="Normal"/>
        <w:numPr>
          <w:ilvl w:val="0"/>
          <w:numId w:val="1"/>
        </w:numPr>
        <w:ind w:hanging="10" w:left="118" w:right="15"/>
        <w:rPr/>
      </w:pPr>
      <w:r>
        <w:rPr/>
        <w:t>Protección de datos.</w:t>
      </w:r>
    </w:p>
    <w:p>
      <w:pPr>
        <w:pStyle w:val="Normal"/>
        <w:ind w:hanging="10" w:left="-5" w:right="0"/>
        <w:jc w:val="left"/>
        <w:rPr>
          <w:lang w:val="pt-PT"/>
        </w:rPr>
      </w:pPr>
      <w:r>
        <w:rPr>
          <w:b/>
          <w:lang w:val="pt-PT"/>
        </w:rPr>
        <w:t>Liña 2.</w:t>
      </w:r>
    </w:p>
    <w:p>
      <w:pPr>
        <w:pStyle w:val="Normal"/>
        <w:ind w:hanging="10" w:left="-5" w:right="10"/>
        <w:rPr>
          <w:lang w:val="pt-PT"/>
        </w:rPr>
      </w:pPr>
      <w:r>
        <w:rPr>
          <w:lang w:val="pt-PT"/>
        </w:rPr>
        <w:t>3.2.- Gastos de mantemento, infraestrutura e equipamento cultural:</w:t>
      </w:r>
    </w:p>
    <w:p>
      <w:pPr>
        <w:pStyle w:val="Normal"/>
        <w:spacing w:lineRule="auto" w:line="259" w:before="0" w:after="0"/>
        <w:ind w:hanging="0" w:left="0" w:right="18"/>
        <w:rPr>
          <w:lang w:val="pt-PT"/>
        </w:rPr>
      </w:pPr>
      <w:r>
        <w:rPr>
          <w:lang w:val="pt-PT"/>
        </w:rPr>
        <w:t>Para gastos de mantemento, mellora das instalacións e equipamento cultural das</w:t>
      </w:r>
    </w:p>
    <w:p>
      <w:pPr>
        <w:pStyle w:val="Normal"/>
        <w:ind w:hanging="10" w:left="-5" w:right="0"/>
        <w:jc w:val="left"/>
        <w:rPr/>
      </w:pPr>
      <w:r>
        <w:rPr/>
        <w:t xml:space="preserve">asociacións e entidades sen fin de lucro que </w:t>
      </w:r>
      <w:r>
        <w:rPr>
          <w:b/>
        </w:rPr>
        <w:t>dispoñan de local en propiedade ou en réxime de aluguer.</w:t>
      </w:r>
    </w:p>
    <w:p>
      <w:pPr>
        <w:pStyle w:val="Normal"/>
        <w:spacing w:before="0" w:after="516"/>
        <w:ind w:hanging="10" w:left="-5" w:right="10"/>
        <w:rPr/>
      </w:pPr>
      <w:r>
        <w:rPr/>
        <w:t xml:space="preserve">A subvención por ter local en propiedade ou en réxime de aluguer deberá aplicarse a gastos directamente relacionados co local, tanto gasto corrente (enerxía eléctrica, materiais de limpeza, agua, calefacción, rc do local, gas, etc.) como gastos de mantemento ou mellora do local (reformas, ampliacións, equipamento do inmoble, etc.). </w:t>
      </w:r>
    </w:p>
    <w:p>
      <w:pPr>
        <w:pStyle w:val="Heading1"/>
        <w:ind w:hanging="10" w:left="-5"/>
        <w:rPr/>
      </w:pPr>
      <w:r>
        <w:rPr/>
        <w:t>Artigo 4.- LÍMITE DAS SUBVENCIÓNS E COMPATIBILIDADE CON OUTRAS.</w:t>
      </w:r>
    </w:p>
    <w:p>
      <w:pPr>
        <w:pStyle w:val="Normal"/>
        <w:spacing w:lineRule="auto" w:line="235" w:before="0" w:after="118"/>
        <w:ind w:hanging="10" w:left="-5" w:right="0"/>
        <w:jc w:val="left"/>
        <w:rPr>
          <w:lang w:val="pt-PT"/>
        </w:rPr>
      </w:pPr>
      <w:r>
        <w:rPr/>
        <w:t xml:space="preserve">A contía da subvención estará en función do custo dos programas, dos criterios de baremación e dos recursos con que conte para cubrir parcialmente os proxectos, e terá en todo caso un importe máximo por beneficiario de 4.000,00 euros (para actividades culturais. </w:t>
      </w:r>
      <w:r>
        <w:rPr>
          <w:lang w:val="pt-PT"/>
        </w:rPr>
        <w:t>Liña 1).</w:t>
      </w:r>
    </w:p>
    <w:p>
      <w:pPr>
        <w:pStyle w:val="Normal"/>
        <w:ind w:hanging="10" w:left="-5" w:right="10"/>
        <w:rPr>
          <w:lang w:val="pt-PT"/>
        </w:rPr>
      </w:pPr>
      <w:r>
        <w:rPr>
          <w:lang w:val="pt-PT"/>
        </w:rPr>
        <w:t>As subvencións que se outorguen ó abeiro do establecido nas presentes bases serán compatibles con outras axudas para a mesma finalidade, calquera que sexa a súa procedencia, pero en ningún caso o importe da subvención poderá ser de tal contía que, illadamente ou en concorrencia con subvencións ou axudas doutras Administracións públicas ou doutros entes públicos ou privados, supere o custo total da actividade que vai desenvolver a entidade beneficiaria.</w:t>
      </w:r>
    </w:p>
    <w:p>
      <w:pPr>
        <w:pStyle w:val="Normal"/>
        <w:spacing w:before="0" w:after="516"/>
        <w:ind w:hanging="10" w:left="-5" w:right="10"/>
        <w:rPr>
          <w:lang w:val="pt-PT"/>
        </w:rPr>
      </w:pPr>
      <w:r>
        <w:rPr>
          <w:lang w:val="pt-PT"/>
        </w:rPr>
        <w:t>A subvención aprobada poderá ser revisada unha vez coñecido o financiamento do gasto a través das achegas complementarias de axudas doutras entidades, así como, no seu caso, outros ingresos.</w:t>
      </w:r>
    </w:p>
    <w:p>
      <w:pPr>
        <w:pStyle w:val="Heading1"/>
        <w:ind w:hanging="10" w:left="-5"/>
        <w:rPr>
          <w:lang w:val="pt-PT"/>
        </w:rPr>
      </w:pPr>
      <w:r>
        <w:rPr>
          <w:lang w:val="pt-PT"/>
        </w:rPr>
        <w:t>Artigo 5.- APLICACIÓN ORZAMENTARIA.</w:t>
      </w:r>
    </w:p>
    <w:p>
      <w:pPr>
        <w:pStyle w:val="Normal"/>
        <w:ind w:hanging="10" w:left="-5" w:right="10"/>
        <w:rPr>
          <w:lang w:val="pt-PT"/>
        </w:rPr>
      </w:pPr>
      <w:r>
        <w:rPr>
          <w:lang w:val="pt-PT"/>
        </w:rPr>
        <w:t>Para o financiamento das subvencións establecidas nas presentes bases destínase a cantidade de</w:t>
      </w:r>
      <w:r>
        <w:rPr>
          <w:color w:val="C9211E"/>
          <w:lang w:val="pt-PT"/>
        </w:rPr>
        <w:t xml:space="preserve"> </w:t>
      </w:r>
      <w:r>
        <w:rPr>
          <w:lang w:val="pt-PT"/>
        </w:rPr>
        <w:t>12.000,00 €, que pode non esgotarse, establecida para tal finalidade no capítulo IV do orzamento municipal para o ano 2026. A distribución das cantidades farase da seguinte maneira:</w:t>
      </w:r>
    </w:p>
    <w:p>
      <w:pPr>
        <w:pStyle w:val="Normal"/>
        <w:ind w:hanging="10" w:left="708" w:right="10"/>
        <w:rPr>
          <w:lang w:val="pt-PT"/>
        </w:rPr>
      </w:pPr>
      <w:r>
        <w:rPr>
          <w:lang w:val="pt-PT"/>
        </w:rPr>
        <w:t>Liña 1</w:t>
      </w:r>
    </w:p>
    <w:p>
      <w:pPr>
        <w:pStyle w:val="Normal"/>
        <w:ind w:hanging="10" w:left="708" w:right="10"/>
        <w:rPr>
          <w:lang w:val="pt-PT"/>
        </w:rPr>
      </w:pPr>
      <w:r>
        <w:rPr>
          <w:lang w:val="pt-PT"/>
        </w:rPr>
        <w:t xml:space="preserve">A cantidade máxima asinada aos programas comprendidos na liña 1 das presentes bases será de 11.000 euros. </w:t>
      </w:r>
    </w:p>
    <w:p>
      <w:pPr>
        <w:pStyle w:val="Normal"/>
        <w:ind w:hanging="10" w:left="708" w:right="10"/>
        <w:rPr>
          <w:lang w:val="pt-PT"/>
        </w:rPr>
      </w:pPr>
      <w:r>
        <w:rPr>
          <w:lang w:val="pt-PT"/>
        </w:rPr>
        <w:t>Liña 2</w:t>
      </w:r>
    </w:p>
    <w:p>
      <w:pPr>
        <w:pStyle w:val="Normal"/>
        <w:spacing w:before="0" w:after="516"/>
        <w:ind w:hanging="10" w:left="708" w:right="10"/>
        <w:rPr>
          <w:lang w:val="pt-PT"/>
        </w:rPr>
      </w:pPr>
      <w:r>
        <w:rPr>
          <w:lang w:val="pt-PT"/>
        </w:rPr>
        <w:t>A cantidade máxima asinada aos programas comprendidos na liña 2 das presentes bases será de 1.000,00 euros.</w:t>
      </w:r>
    </w:p>
    <w:p>
      <w:pPr>
        <w:pStyle w:val="Normal"/>
        <w:spacing w:before="0" w:after="516"/>
        <w:ind w:hanging="10" w:left="-5" w:right="10"/>
        <w:rPr>
          <w:lang w:val="pt-PT"/>
        </w:rPr>
      </w:pPr>
      <w:r>
        <w:rPr>
          <w:lang w:val="pt-PT"/>
        </w:rPr>
        <w:t>Unha vez finalizado o prazo de presentación de solicitudes, e á vista das que tiveran entrada no Rexistro municipal, o Concello de San Sadurniño reservarase a posibilidade de modificar a contía da anterior partida, previo oportuno expediente de modificación de crédito, en caso de que este fora preciso.</w:t>
      </w:r>
    </w:p>
    <w:p>
      <w:pPr>
        <w:pStyle w:val="Heading1"/>
        <w:ind w:hanging="10" w:left="-5"/>
        <w:rPr>
          <w:lang w:val="pt-PT"/>
        </w:rPr>
      </w:pPr>
      <w:r>
        <w:rPr>
          <w:lang w:val="pt-PT"/>
        </w:rPr>
        <w:t>Artigo 6.- SOLICITUDE E DOCUMENTACIÓN QUE SE ACHEGARÁ.</w:t>
      </w:r>
    </w:p>
    <w:p>
      <w:pPr>
        <w:pStyle w:val="Normal"/>
        <w:ind w:hanging="10" w:left="-5" w:right="10"/>
        <w:rPr>
          <w:lang w:val="pt-PT"/>
        </w:rPr>
      </w:pPr>
      <w:r>
        <w:rPr>
          <w:lang w:val="pt-PT"/>
        </w:rPr>
        <w:t>As solicitudes de subvención deberán formularse, debidamente cubertas en todos os seus apartados, no modelo oficial que se facilitará gratuitamente ás entidades interesadas nas oficinas do Concello, e na Casa da Cultura</w:t>
      </w:r>
      <w:r>
        <w:rPr>
          <w:rFonts w:eastAsia="Arial" w:cs="Arial" w:ascii="Arial" w:hAnsi="Arial"/>
          <w:lang w:val="pt-PT"/>
        </w:rPr>
        <w:t xml:space="preserve"> </w:t>
      </w:r>
      <w:r>
        <w:rPr>
          <w:lang w:val="pt-PT"/>
        </w:rPr>
        <w:t xml:space="preserve">ou poderá descargarse directamente da páxina web do Concello </w:t>
      </w:r>
      <w:hyperlink r:id="rId2">
        <w:r>
          <w:rPr>
            <w:rStyle w:val="Style7"/>
            <w:color w:val="0000FF"/>
            <w:u w:val="single" w:color="0000FF"/>
            <w:lang w:val="pt-PT"/>
          </w:rPr>
          <w:t>www.sansadurnino.gal</w:t>
        </w:r>
      </w:hyperlink>
      <w:r>
        <w:rPr>
          <w:lang w:val="pt-PT"/>
        </w:rPr>
        <w:t>, e serán asinadas pola persoa nomeada como representante da entidade (Anexo I).</w:t>
      </w:r>
    </w:p>
    <w:p>
      <w:pPr>
        <w:pStyle w:val="Normal"/>
        <w:ind w:hanging="10" w:left="-5" w:right="10"/>
        <w:rPr>
          <w:lang w:val="pt-PT"/>
        </w:rPr>
      </w:pPr>
      <w:r>
        <w:rPr>
          <w:lang w:val="pt-PT"/>
        </w:rPr>
        <w:t>As solicitudes virán acompañadas da documentación, que se sinala a continuación, agás aquela que xa fora presentada e actualizada no Rexistro municipal de entidades do Concello:</w:t>
      </w:r>
    </w:p>
    <w:p>
      <w:pPr>
        <w:pStyle w:val="Normal"/>
        <w:numPr>
          <w:ilvl w:val="0"/>
          <w:numId w:val="4"/>
        </w:numPr>
        <w:ind w:hanging="360" w:left="720" w:right="10"/>
        <w:rPr/>
      </w:pPr>
      <w:r>
        <w:rPr/>
        <w:t>Acta fundacional.</w:t>
      </w:r>
    </w:p>
    <w:p>
      <w:pPr>
        <w:pStyle w:val="Normal"/>
        <w:numPr>
          <w:ilvl w:val="0"/>
          <w:numId w:val="4"/>
        </w:numPr>
        <w:ind w:hanging="360" w:left="720" w:right="10"/>
        <w:rPr/>
      </w:pPr>
      <w:r>
        <w:rPr/>
        <w:t>Estatutos da entidade.</w:t>
      </w:r>
    </w:p>
    <w:p>
      <w:pPr>
        <w:pStyle w:val="Normal"/>
        <w:numPr>
          <w:ilvl w:val="0"/>
          <w:numId w:val="4"/>
        </w:numPr>
        <w:ind w:hanging="360" w:left="720" w:right="10"/>
        <w:rPr/>
      </w:pPr>
      <w:r>
        <w:rPr/>
        <w:t>Certificación ou documentos xustificativos do número de inscrición no Rexistro xeral de asociacións e noutros rexistros públicos.</w:t>
      </w:r>
    </w:p>
    <w:p>
      <w:pPr>
        <w:pStyle w:val="Normal"/>
        <w:numPr>
          <w:ilvl w:val="0"/>
          <w:numId w:val="4"/>
        </w:numPr>
        <w:ind w:hanging="360" w:left="720" w:right="10"/>
        <w:rPr/>
      </w:pPr>
      <w:r>
        <w:rPr/>
        <w:t>Certificación dos datos de identificación das persoas que ocupan cargos directivos.</w:t>
      </w:r>
    </w:p>
    <w:p>
      <w:pPr>
        <w:pStyle w:val="Normal"/>
        <w:numPr>
          <w:ilvl w:val="0"/>
          <w:numId w:val="4"/>
        </w:numPr>
        <w:ind w:hanging="360" w:left="720" w:right="10"/>
        <w:rPr>
          <w:lang w:val="pt-PT"/>
        </w:rPr>
      </w:pPr>
      <w:r>
        <w:rPr>
          <w:lang w:val="pt-PT"/>
        </w:rPr>
        <w:t>Certificación ou documentos xustificativos do domicilio social e copia do CIF da entidade.</w:t>
      </w:r>
    </w:p>
    <w:p>
      <w:pPr>
        <w:pStyle w:val="Normal"/>
        <w:numPr>
          <w:ilvl w:val="0"/>
          <w:numId w:val="4"/>
        </w:numPr>
        <w:ind w:hanging="360" w:left="720" w:right="10"/>
        <w:rPr/>
      </w:pPr>
      <w:r>
        <w:rPr/>
        <w:t>Certificación orixinal dos datos bancarios.</w:t>
      </w:r>
    </w:p>
    <w:p>
      <w:pPr>
        <w:pStyle w:val="Normal"/>
        <w:numPr>
          <w:ilvl w:val="0"/>
          <w:numId w:val="4"/>
        </w:numPr>
        <w:ind w:hanging="360" w:left="720" w:right="10"/>
        <w:rPr>
          <w:lang w:val="pt-PT"/>
        </w:rPr>
      </w:pPr>
      <w:r>
        <w:rPr>
          <w:lang w:val="pt-PT"/>
        </w:rPr>
        <w:t>Fotocopia do NIF da persoa representante da entidade.</w:t>
      </w:r>
    </w:p>
    <w:p>
      <w:pPr>
        <w:pStyle w:val="Normal"/>
        <w:numPr>
          <w:ilvl w:val="0"/>
          <w:numId w:val="4"/>
        </w:numPr>
        <w:ind w:hanging="360" w:left="720" w:right="10"/>
        <w:rPr>
          <w:lang w:val="pt-PT"/>
        </w:rPr>
      </w:pPr>
      <w:r>
        <w:rPr>
          <w:lang w:val="pt-PT"/>
        </w:rPr>
        <w:t>Programación Anual de actividades culturais e presuposto (Anexo 2).</w:t>
      </w:r>
    </w:p>
    <w:p>
      <w:pPr>
        <w:pStyle w:val="Normal"/>
        <w:numPr>
          <w:ilvl w:val="0"/>
          <w:numId w:val="4"/>
        </w:numPr>
        <w:ind w:hanging="360" w:left="720" w:right="10"/>
        <w:rPr/>
      </w:pPr>
      <w:r>
        <w:rPr/>
        <w:t>Certificado de solicitude de subvención (Anexo 4).</w:t>
      </w:r>
    </w:p>
    <w:p>
      <w:pPr>
        <w:pStyle w:val="Normal"/>
        <w:numPr>
          <w:ilvl w:val="0"/>
          <w:numId w:val="4"/>
        </w:numPr>
        <w:spacing w:before="0" w:after="516"/>
        <w:ind w:hanging="360" w:left="720" w:right="10"/>
        <w:rPr/>
      </w:pPr>
      <w:r>
        <w:rPr/>
        <w:t>Declaración de non estar incurso en causa de incompatibilidade ou incapacidade para contratar e percibir subvencións da Administración pública (Anexo 5).</w:t>
      </w:r>
    </w:p>
    <w:p>
      <w:pPr>
        <w:pStyle w:val="Normal"/>
        <w:ind w:hanging="10" w:left="-5" w:right="10"/>
        <w:rPr/>
      </w:pPr>
      <w:r>
        <w:rPr/>
        <w:t>Á parte do anterior, no caso de solicitudes para obras de infraestrutura para entidades con local en propiedade, as entidades presentarán:</w:t>
      </w:r>
    </w:p>
    <w:p>
      <w:pPr>
        <w:pStyle w:val="Normal"/>
        <w:numPr>
          <w:ilvl w:val="0"/>
          <w:numId w:val="4"/>
        </w:numPr>
        <w:ind w:hanging="360" w:left="720" w:right="10"/>
        <w:rPr>
          <w:lang w:val="pt-PT"/>
        </w:rPr>
      </w:pPr>
      <w:r>
        <w:rPr>
          <w:lang w:val="pt-PT"/>
        </w:rPr>
        <w:t>Memoria estimada ou proxecto de técnico/a competente (Anexo 3).</w:t>
      </w:r>
    </w:p>
    <w:p>
      <w:pPr>
        <w:pStyle w:val="Normal"/>
        <w:numPr>
          <w:ilvl w:val="0"/>
          <w:numId w:val="4"/>
        </w:numPr>
        <w:ind w:hanging="360" w:left="720" w:right="10"/>
        <w:rPr>
          <w:lang w:val="pt-PT"/>
        </w:rPr>
      </w:pPr>
      <w:r>
        <w:rPr>
          <w:lang w:val="pt-PT"/>
        </w:rPr>
        <w:t>Compromiso de obtención das licenzas e autorizacións preceptivas aos efectos do cumprimento da legalidade urbanística (Anexo 6).</w:t>
      </w:r>
    </w:p>
    <w:p>
      <w:pPr>
        <w:pStyle w:val="Normal"/>
        <w:numPr>
          <w:ilvl w:val="0"/>
          <w:numId w:val="4"/>
        </w:numPr>
        <w:ind w:hanging="360" w:left="720" w:right="10"/>
        <w:rPr/>
      </w:pPr>
      <w:r>
        <w:rPr/>
        <w:t>Declaración de local en propiedade (Anexo 7).</w:t>
      </w:r>
    </w:p>
    <w:p>
      <w:pPr>
        <w:pStyle w:val="Normal"/>
        <w:ind w:hanging="0" w:left="-5" w:right="9"/>
        <w:rPr/>
      </w:pPr>
      <w:r>
        <w:rPr/>
        <w:t xml:space="preserve">Non será necesario achegar aquela documentación que xa estea rexistrada neste Concello, pero que debe estar </w:t>
      </w:r>
      <w:r>
        <w:rPr>
          <w:b/>
        </w:rPr>
        <w:t>actualizada</w:t>
      </w:r>
      <w:r>
        <w:rPr/>
        <w:t xml:space="preserve"> no momento da solicitude da subvención ao respecto do contexto real organizativo da entidade.</w:t>
      </w:r>
    </w:p>
    <w:p>
      <w:pPr>
        <w:pStyle w:val="Normal"/>
        <w:spacing w:before="0" w:after="516"/>
        <w:ind w:hanging="10" w:left="-5" w:right="10"/>
        <w:rPr>
          <w:lang w:val="pt-PT"/>
        </w:rPr>
      </w:pPr>
      <w:r>
        <w:rPr>
          <w:lang w:val="pt-PT"/>
        </w:rPr>
        <w:t>As asociacións ou entidades domiciliadas fóra do Concello deberán presentar ademais a documentación acreditativa dos datos comprendidos no artigo 236.4 do Regulamento de organización, funcionamento e réxime xurídico das entidades locais.</w:t>
      </w:r>
    </w:p>
    <w:p>
      <w:pPr>
        <w:pStyle w:val="Heading1"/>
        <w:ind w:hanging="10" w:left="-5"/>
        <w:rPr>
          <w:lang w:val="pt-PT"/>
        </w:rPr>
      </w:pPr>
      <w:r>
        <w:rPr>
          <w:lang w:val="pt-PT"/>
        </w:rPr>
        <w:t>Artigo 7.- PRESENTACIÓN E PRAZO.</w:t>
      </w:r>
    </w:p>
    <w:p>
      <w:pPr>
        <w:pStyle w:val="Normal"/>
        <w:spacing w:lineRule="auto" w:line="235" w:before="0" w:after="118"/>
        <w:ind w:hanging="10" w:left="-5" w:right="0"/>
        <w:jc w:val="left"/>
        <w:rPr>
          <w:lang w:val="pt-PT"/>
        </w:rPr>
      </w:pPr>
      <w:r>
        <w:rPr>
          <w:lang w:val="pt-PT"/>
        </w:rPr>
        <w:t xml:space="preserve">A solicitude de subvención presentarase na sede electrónica do Concello de San Sadurniño ou ben a través dos restantes rexistros electrónicos aos que fai referencia o artigo 16.4.a) da Lei 39/2015, do 1 de outubro, de Procedemento Administrativo Común das Administracións Públicas, </w:t>
      </w:r>
      <w:bookmarkStart w:id="1" w:name="_Hlk133930064"/>
      <w:r>
        <w:rPr>
          <w:lang w:val="pt-PT"/>
        </w:rPr>
        <w:t>no prazo dun mes contado a partir do día seguinte ao da publicación do extracto desta convocatoria no Boletín oficial da provincia da Coruña</w:t>
      </w:r>
      <w:bookmarkEnd w:id="1"/>
      <w:r>
        <w:rPr>
          <w:lang w:val="pt-PT"/>
        </w:rPr>
        <w:t xml:space="preserve">. </w:t>
      </w:r>
      <w:bookmarkStart w:id="2" w:name="_Hlk133930168"/>
      <w:r>
        <w:rPr>
          <w:lang w:val="pt-PT"/>
        </w:rPr>
        <w:t xml:space="preserve">Deberá presentarse nos anexos oficiais da convocatoria. </w:t>
      </w:r>
      <w:bookmarkEnd w:id="2"/>
    </w:p>
    <w:p>
      <w:pPr>
        <w:pStyle w:val="Normal"/>
        <w:spacing w:before="0" w:after="0"/>
        <w:ind w:hanging="10" w:left="-5" w:right="10"/>
        <w:rPr>
          <w:lang w:val="pt-PT"/>
        </w:rPr>
      </w:pPr>
      <w:r>
        <w:rPr>
          <w:lang w:val="pt-PT"/>
        </w:rPr>
        <w:t>No suposto de que as solicitudes presentadas non reúnan os requisitos sinalados, requirirase ás entidades ou persoas interesadas para que no prazo de dez días hábiles emenden as anomalías advertidas. No caso contrario procederase ao arquivo da solicitude.</w:t>
      </w:r>
    </w:p>
    <w:p>
      <w:pPr>
        <w:pStyle w:val="Normal"/>
        <w:spacing w:before="0" w:after="511"/>
        <w:ind w:hanging="10" w:left="-5" w:right="10"/>
        <w:rPr>
          <w:lang w:val="pt-PT"/>
        </w:rPr>
      </w:pPr>
      <w:r>
        <w:rPr>
          <w:lang w:val="pt-PT"/>
        </w:rPr>
        <w:t>As solicitudes presentadas fóra de prazo non terán dereito a participar na convocatoria.</w:t>
      </w:r>
    </w:p>
    <w:p>
      <w:pPr>
        <w:pStyle w:val="Heading1"/>
        <w:ind w:hanging="10" w:left="-5"/>
        <w:rPr/>
      </w:pPr>
      <w:r>
        <w:rPr/>
        <w:t>Artigo 8.- CRITERIOS PARA A CONCESIÓN DE SUBVENCIÓNS .</w:t>
      </w:r>
    </w:p>
    <w:p>
      <w:pPr>
        <w:pStyle w:val="Normal"/>
        <w:ind w:hanging="10" w:left="-5" w:right="10"/>
        <w:rPr/>
      </w:pPr>
      <w:r>
        <w:rPr/>
        <w:t>As subvencións teñen carácter voluntario e eventual, isto é que non supoñen obriga ou deber, polo que non poderán ser invocadas como precedente.</w:t>
      </w:r>
    </w:p>
    <w:p>
      <w:pPr>
        <w:pStyle w:val="Normal"/>
        <w:ind w:hanging="10" w:left="-5" w:right="10"/>
        <w:rPr/>
      </w:pPr>
      <w:r>
        <w:rPr/>
        <w:t>Os criterios de valoración, que serán ponderados de maneira xustificada para o outorgamento de subvención e fixación da súa contía, así como a puntuación correspondente a cada un deles serán os seguintes:</w:t>
      </w:r>
    </w:p>
    <w:p>
      <w:pPr>
        <w:pStyle w:val="Normal"/>
        <w:spacing w:before="0" w:after="145"/>
        <w:ind w:hanging="10" w:left="862" w:right="10"/>
        <w:rPr>
          <w:lang w:val="pt-PT"/>
        </w:rPr>
      </w:pPr>
      <w:r>
        <w:rPr>
          <w:lang w:val="pt-PT"/>
        </w:rPr>
        <w:t>8.1.- Para os programas comprendidos na liña 1 das presentes bases:</w:t>
      </w:r>
    </w:p>
    <w:p>
      <w:pPr>
        <w:pStyle w:val="Normal"/>
        <w:numPr>
          <w:ilvl w:val="0"/>
          <w:numId w:val="5"/>
        </w:numPr>
        <w:ind w:hanging="360" w:left="1212" w:right="10"/>
        <w:rPr>
          <w:lang w:val="pt-PT"/>
        </w:rPr>
      </w:pPr>
      <w:r>
        <w:rPr>
          <w:lang w:val="pt-PT"/>
        </w:rPr>
        <w:t>Interese xeral da actividade e a súa repercusión social: até 3 puntos.</w:t>
      </w:r>
    </w:p>
    <w:p>
      <w:pPr>
        <w:pStyle w:val="Normal"/>
        <w:numPr>
          <w:ilvl w:val="0"/>
          <w:numId w:val="5"/>
        </w:numPr>
        <w:spacing w:before="0" w:after="150"/>
        <w:ind w:hanging="360" w:left="1212" w:right="10"/>
        <w:rPr/>
      </w:pPr>
      <w:r>
        <w:rPr/>
        <w:t>Fomento da educación en valores de solidariedade, paz e respecto á natureza nas actuacións propostas: até 0,50 puntos.</w:t>
      </w:r>
    </w:p>
    <w:p>
      <w:pPr>
        <w:pStyle w:val="Normal"/>
        <w:numPr>
          <w:ilvl w:val="0"/>
          <w:numId w:val="5"/>
        </w:numPr>
        <w:spacing w:lineRule="auto" w:line="235" w:before="0" w:after="317"/>
        <w:ind w:hanging="360" w:left="1212" w:right="10"/>
        <w:rPr/>
      </w:pPr>
      <w:r>
        <w:rPr/>
        <w:t>Grao de innovación da proposta, considerada de forma global,</w:t>
      </w:r>
      <w:r>
        <w:rPr>
          <w:rFonts w:eastAsia="Times New Roman" w:cs="Times New Roman" w:ascii="Times New Roman" w:hAnsi="Times New Roman"/>
        </w:rPr>
        <w:t xml:space="preserve"> </w:t>
      </w:r>
      <w:r>
        <w:rPr/>
        <w:t>sobre todo naqueles sectores culturais que poidan aparecer como deficitarios: até 0,50 puntos</w:t>
      </w:r>
    </w:p>
    <w:p>
      <w:pPr>
        <w:pStyle w:val="Normal"/>
        <w:numPr>
          <w:ilvl w:val="0"/>
          <w:numId w:val="5"/>
        </w:numPr>
        <w:spacing w:before="0" w:after="76"/>
        <w:ind w:hanging="360" w:left="1212" w:right="10"/>
        <w:rPr/>
      </w:pPr>
      <w:r>
        <w:rPr/>
        <w:t>Contía orzamentaria admitida:</w:t>
      </w:r>
    </w:p>
    <w:p>
      <w:pPr>
        <w:pStyle w:val="Normal"/>
        <w:spacing w:lineRule="auto" w:line="348" w:before="0" w:after="43"/>
        <w:ind w:hanging="10" w:left="1222" w:right="3448"/>
        <w:jc w:val="left"/>
        <w:rPr>
          <w:lang w:val="pt-PT"/>
        </w:rPr>
      </w:pPr>
      <w:r>
        <w:rPr>
          <w:rFonts w:eastAsia="Courier New" w:cs="Courier New" w:ascii="Courier New" w:hAnsi="Courier New"/>
          <w:lang w:val="pt-PT"/>
        </w:rPr>
        <w:t xml:space="preserve">o </w:t>
      </w:r>
      <w:r>
        <w:rPr>
          <w:lang w:val="pt-PT"/>
        </w:rPr>
        <w:t xml:space="preserve">de 500 a 2.500 euros: até 0,50 puntos </w:t>
      </w:r>
    </w:p>
    <w:p>
      <w:pPr>
        <w:pStyle w:val="Normal"/>
        <w:spacing w:lineRule="auto" w:line="348" w:before="0" w:after="43"/>
        <w:ind w:hanging="10" w:left="1222" w:right="3448"/>
        <w:jc w:val="left"/>
        <w:rPr>
          <w:lang w:val="pt-PT"/>
        </w:rPr>
      </w:pPr>
      <w:r>
        <w:rPr>
          <w:rFonts w:eastAsia="Courier New" w:cs="Courier New" w:ascii="Courier New" w:hAnsi="Courier New"/>
          <w:lang w:val="pt-PT"/>
        </w:rPr>
        <w:t xml:space="preserve">o </w:t>
      </w:r>
      <w:r>
        <w:rPr>
          <w:lang w:val="pt-PT"/>
        </w:rPr>
        <w:t xml:space="preserve">de 2.501 a 5.000 euros: até 1 punto </w:t>
      </w:r>
    </w:p>
    <w:p>
      <w:pPr>
        <w:pStyle w:val="Normal"/>
        <w:spacing w:lineRule="auto" w:line="348" w:before="0" w:after="43"/>
        <w:ind w:hanging="10" w:left="1222" w:right="3448"/>
        <w:jc w:val="left"/>
        <w:rPr>
          <w:lang w:val="pt-PT"/>
        </w:rPr>
      </w:pPr>
      <w:r>
        <w:rPr>
          <w:rFonts w:eastAsia="Courier New" w:cs="Courier New" w:ascii="Courier New" w:hAnsi="Courier New"/>
          <w:lang w:val="pt-PT"/>
        </w:rPr>
        <w:t xml:space="preserve">o </w:t>
      </w:r>
      <w:r>
        <w:rPr>
          <w:lang w:val="pt-PT"/>
        </w:rPr>
        <w:t xml:space="preserve">de 5.001 a 10.000 euros: até 1,50 puntos </w:t>
      </w:r>
      <w:r>
        <w:rPr>
          <w:rFonts w:eastAsia="Courier New" w:cs="Courier New" w:ascii="Courier New" w:hAnsi="Courier New"/>
          <w:lang w:val="pt-PT"/>
        </w:rPr>
        <w:t xml:space="preserve">o </w:t>
      </w:r>
      <w:r>
        <w:rPr>
          <w:lang w:val="pt-PT"/>
        </w:rPr>
        <w:t xml:space="preserve">de 10.001 a 15.000 euros: até 2 puntos </w:t>
      </w:r>
    </w:p>
    <w:p>
      <w:pPr>
        <w:pStyle w:val="Normal"/>
        <w:spacing w:lineRule="auto" w:line="348" w:before="0" w:after="43"/>
        <w:ind w:hanging="10" w:left="1222" w:right="3448"/>
        <w:jc w:val="left"/>
        <w:rPr>
          <w:lang w:val="pt-PT"/>
        </w:rPr>
      </w:pPr>
      <w:r>
        <w:rPr>
          <w:rFonts w:eastAsia="Courier New" w:cs="Courier New" w:ascii="Courier New" w:hAnsi="Courier New"/>
          <w:lang w:val="pt-PT"/>
        </w:rPr>
        <w:t xml:space="preserve">o </w:t>
      </w:r>
      <w:r>
        <w:rPr>
          <w:lang w:val="pt-PT"/>
        </w:rPr>
        <w:t xml:space="preserve">máis de 15.000 euros: até 3 puntos </w:t>
      </w:r>
    </w:p>
    <w:p>
      <w:pPr>
        <w:pStyle w:val="Normal"/>
        <w:numPr>
          <w:ilvl w:val="0"/>
          <w:numId w:val="5"/>
        </w:numPr>
        <w:ind w:hanging="360" w:left="1212" w:right="10"/>
        <w:rPr/>
      </w:pPr>
      <w:r>
        <w:rPr/>
        <w:t xml:space="preserve">Accións de recuperación patrimonial (etnográfica, musical, tradición oral, recuperación do patrimonio material e inmaterial): até 2 puntos. </w:t>
      </w:r>
    </w:p>
    <w:p>
      <w:pPr>
        <w:pStyle w:val="Normal"/>
        <w:spacing w:before="0" w:after="150"/>
        <w:ind w:hanging="10" w:left="1222" w:right="10"/>
        <w:rPr>
          <w:lang w:val="pt-PT"/>
        </w:rPr>
      </w:pPr>
      <w:r>
        <w:rPr>
          <w:lang w:val="pt-PT"/>
        </w:rPr>
        <w:t>Eventos e/ou actividades que contribúan a manter tradicións culturais ou costumes propios da cultura Galega (recuperación de celebracións tradicionais, magosto, nadal, entroido, letras galegas e eventos de similar natureza).</w:t>
      </w:r>
    </w:p>
    <w:p>
      <w:pPr>
        <w:pStyle w:val="Normal"/>
        <w:numPr>
          <w:ilvl w:val="0"/>
          <w:numId w:val="5"/>
        </w:numPr>
        <w:spacing w:before="0" w:after="152"/>
        <w:ind w:hanging="360" w:left="1212" w:right="10"/>
        <w:rPr>
          <w:lang w:val="pt-PT"/>
        </w:rPr>
      </w:pPr>
      <w:r>
        <w:rPr>
          <w:lang w:val="pt-PT"/>
        </w:rPr>
        <w:t>Accións dirixidas á promover a participación da xuventude na vida social: até 0,50 puntos</w:t>
      </w:r>
    </w:p>
    <w:p>
      <w:pPr>
        <w:pStyle w:val="Normal"/>
        <w:numPr>
          <w:ilvl w:val="0"/>
          <w:numId w:val="5"/>
        </w:numPr>
        <w:ind w:hanging="360" w:left="1212" w:right="10"/>
        <w:rPr>
          <w:lang w:val="pt-PT"/>
        </w:rPr>
      </w:pPr>
      <w:r>
        <w:rPr>
          <w:lang w:val="pt-PT"/>
        </w:rPr>
        <w:t>Accións dirixidas á promover a igualdade entre mulleres e homes: até  3 puntos</w:t>
      </w:r>
    </w:p>
    <w:p>
      <w:pPr>
        <w:pStyle w:val="Normal"/>
        <w:numPr>
          <w:ilvl w:val="0"/>
          <w:numId w:val="5"/>
        </w:numPr>
        <w:spacing w:before="0" w:after="152"/>
        <w:ind w:hanging="360" w:left="1212" w:right="10"/>
        <w:rPr/>
      </w:pPr>
      <w:r>
        <w:rPr/>
        <w:t>A estabilidade e solvencia demostrada pola entidade solicitante no ámbito da actuación puntual desenvolta: até 1 punto</w:t>
      </w:r>
    </w:p>
    <w:p>
      <w:pPr>
        <w:pStyle w:val="Normal"/>
        <w:numPr>
          <w:ilvl w:val="0"/>
          <w:numId w:val="5"/>
        </w:numPr>
        <w:ind w:hanging="360" w:left="1212" w:right="10"/>
        <w:rPr>
          <w:lang w:val="pt-PT"/>
        </w:rPr>
      </w:pPr>
      <w:r>
        <w:rPr>
          <w:lang w:val="pt-PT"/>
        </w:rPr>
        <w:t>Grao de patrocinio doutras entidades públicas ou privadas: até 1 punto</w:t>
      </w:r>
    </w:p>
    <w:p>
      <w:pPr>
        <w:pStyle w:val="Normal"/>
        <w:numPr>
          <w:ilvl w:val="0"/>
          <w:numId w:val="5"/>
        </w:numPr>
        <w:ind w:hanging="360" w:left="1212" w:right="10"/>
        <w:rPr/>
      </w:pPr>
      <w:r>
        <w:rPr/>
        <w:t>Avaliación doutros contidos: até 3 puntos</w:t>
      </w:r>
      <w:r>
        <w:rPr>
          <w:color w:val="C9211E"/>
        </w:rPr>
        <w:t xml:space="preserve"> </w:t>
      </w:r>
    </w:p>
    <w:p>
      <w:pPr>
        <w:pStyle w:val="Normal"/>
        <w:numPr>
          <w:ilvl w:val="0"/>
          <w:numId w:val="5"/>
        </w:numPr>
        <w:spacing w:before="0" w:after="12"/>
        <w:ind w:hanging="360" w:left="1212" w:right="10"/>
        <w:rPr/>
      </w:pPr>
      <w:r>
        <w:rPr/>
        <w:t xml:space="preserve">Propostas conxuntas e de colaboración: até 3 puntos. Valoraranse os proxectos que se desenvolvan en conxunto con outras entidades na súa totalidade ou nalgún aspecto puntual. </w:t>
      </w:r>
    </w:p>
    <w:p>
      <w:pPr>
        <w:pStyle w:val="Normal"/>
        <w:spacing w:before="0" w:after="12"/>
        <w:ind w:hanging="0" w:left="852" w:right="10"/>
        <w:rPr/>
      </w:pPr>
      <w:r>
        <w:rPr/>
      </w:r>
    </w:p>
    <w:p>
      <w:pPr>
        <w:pStyle w:val="Heading1"/>
        <w:ind w:hanging="10" w:left="-5"/>
        <w:rPr>
          <w:lang w:val="pt-PT"/>
        </w:rPr>
      </w:pPr>
      <w:r>
        <w:rPr>
          <w:lang w:val="pt-PT"/>
        </w:rPr>
        <w:t>Artigo 9.- SISTEMA DE REPARTO.</w:t>
      </w:r>
    </w:p>
    <w:p>
      <w:pPr>
        <w:pStyle w:val="Normal"/>
        <w:ind w:hanging="10" w:left="-5" w:right="10"/>
        <w:rPr>
          <w:lang w:val="pt-PT"/>
        </w:rPr>
      </w:pPr>
      <w:r>
        <w:rPr>
          <w:lang w:val="pt-PT"/>
        </w:rPr>
        <w:t>Para os programas comprendidos na liña 1 das presentes bases a contía da subvención que se concederá a cada unha das solicitudes ficará a criterio da Comisión cualificadora, tendo en conta o establecido no artigo 4 das presentes bases e despois de aplicar a seguinte fórmula:</w:t>
      </w:r>
    </w:p>
    <w:p>
      <w:pPr>
        <w:pStyle w:val="Heading1"/>
        <w:spacing w:before="0" w:after="103"/>
        <w:ind w:hanging="10" w:left="10" w:right="1"/>
        <w:jc w:val="center"/>
        <w:rPr>
          <w:lang w:val="pt-PT"/>
        </w:rPr>
      </w:pPr>
      <w:r>
        <w:rPr>
          <w:lang w:val="pt-PT"/>
        </w:rPr>
        <w:t>Contía = (PE x PO) / PT</w:t>
      </w:r>
    </w:p>
    <w:p>
      <w:pPr>
        <w:pStyle w:val="Normal"/>
        <w:spacing w:before="0" w:after="924"/>
        <w:ind w:hanging="10" w:left="-5" w:right="10"/>
        <w:rPr>
          <w:lang w:val="pt-PT"/>
        </w:rPr>
      </w:pPr>
      <w:r>
        <w:rPr>
          <w:lang w:val="pt-PT"/>
        </w:rPr>
        <w:t>Sendo PT a puntuación total das entidades, PE a puntuación da entidade solicitante, e PO o importe da partida orzamentaria en euros.</w:t>
      </w:r>
    </w:p>
    <w:p>
      <w:pPr>
        <w:pStyle w:val="Heading1"/>
        <w:ind w:hanging="0" w:left="0"/>
        <w:rPr>
          <w:lang w:val="pt-PT"/>
        </w:rPr>
      </w:pPr>
      <w:r>
        <w:rPr>
          <w:lang w:val="pt-PT"/>
        </w:rPr>
        <w:t>Artigo 10.- INSTRUCIÓN E ÓRGANO INSTRUTOR.</w:t>
      </w:r>
    </w:p>
    <w:p>
      <w:pPr>
        <w:pStyle w:val="Normal"/>
        <w:ind w:hanging="10" w:left="-5" w:right="10"/>
        <w:rPr>
          <w:lang w:val="pt-PT"/>
        </w:rPr>
      </w:pPr>
      <w:r>
        <w:rPr>
          <w:lang w:val="pt-PT"/>
        </w:rPr>
        <w:t>A instrución do procedemento de concesión de subvencións correspóndelle ao técnico do Servizo de Cultura. O técnico do servizo realizará de oficio cantas actuacións estime necesarias para a determinación, coñecemento e comprobación dos datos en virtude dos cales debe formularse a proposta de resolución.</w:t>
      </w:r>
    </w:p>
    <w:p>
      <w:pPr>
        <w:pStyle w:val="Normal"/>
        <w:ind w:hanging="10" w:left="-5" w:right="10"/>
        <w:rPr/>
      </w:pPr>
      <w:r>
        <w:rPr/>
        <w:t>As actividades de instrución comprenderán:</w:t>
      </w:r>
    </w:p>
    <w:p>
      <w:pPr>
        <w:pStyle w:val="Normal"/>
        <w:numPr>
          <w:ilvl w:val="0"/>
          <w:numId w:val="6"/>
        </w:numPr>
        <w:ind w:hanging="360" w:left="720" w:right="10"/>
        <w:rPr/>
      </w:pPr>
      <w:r>
        <w:rPr/>
        <w:t>Petición de cantos informes estime necesarios ou aqueles que sexan esixidos polas normas que regulen as subvencións.</w:t>
      </w:r>
    </w:p>
    <w:p>
      <w:pPr>
        <w:pStyle w:val="Normal"/>
        <w:numPr>
          <w:ilvl w:val="0"/>
          <w:numId w:val="6"/>
        </w:numPr>
        <w:ind w:hanging="360" w:left="720" w:right="10"/>
        <w:rPr/>
      </w:pPr>
      <w:r>
        <w:rPr/>
        <w:t>Avaliación das solicitudes ou peticións, realizada segundo os criterios de valoración establecidos nas bases da convocatoria.</w:t>
      </w:r>
    </w:p>
    <w:p>
      <w:pPr>
        <w:pStyle w:val="Normal"/>
        <w:spacing w:before="0" w:after="516"/>
        <w:ind w:hanging="10" w:left="-5" w:right="10"/>
        <w:rPr/>
      </w:pPr>
      <w:r>
        <w:rPr/>
        <w:t>Unha vez avaliadas as solicitudes, a concesión de subvencións realizarase por resolución da Xunta de Goberno Local.</w:t>
      </w:r>
    </w:p>
    <w:p>
      <w:pPr>
        <w:pStyle w:val="Heading1"/>
        <w:ind w:hanging="10" w:left="-5"/>
        <w:rPr/>
      </w:pPr>
      <w:r>
        <w:rPr/>
        <w:t>Artigo 11.- RESOLUCIÓN.</w:t>
      </w:r>
    </w:p>
    <w:p>
      <w:pPr>
        <w:pStyle w:val="Normal"/>
        <w:ind w:hanging="10" w:left="-5" w:right="10"/>
        <w:rPr/>
      </w:pPr>
      <w:r>
        <w:rPr/>
        <w:t>O estudo e, de ser o caso, a concesión ou denegación de axudas económicas, realizarase tras o estudo do bloque de solicitudes presentadas en cada programa. Unha vez que se realicen todos os trámites relacionados con cada solicitude, elaborarase proposta de resolución que, logo do informe de Intervención, será resolta pola Xunta de Goberno Local concedendo ou denegando a subvención.</w:t>
      </w:r>
    </w:p>
    <w:p>
      <w:pPr>
        <w:pStyle w:val="Normal"/>
        <w:ind w:hanging="10" w:left="-5" w:right="10"/>
        <w:rPr/>
      </w:pPr>
      <w:r>
        <w:rPr/>
        <w:t>Na resolución, no caso de ser positiva, farase constar a contía da subvención.</w:t>
      </w:r>
    </w:p>
    <w:p>
      <w:pPr>
        <w:pStyle w:val="Normal"/>
        <w:spacing w:before="0" w:after="511"/>
        <w:ind w:hanging="10" w:left="-5" w:right="10"/>
        <w:rPr/>
      </w:pPr>
      <w:r>
        <w:rPr/>
        <w:t>A resolución pon fin á vía administrativa.</w:t>
      </w:r>
    </w:p>
    <w:p>
      <w:pPr>
        <w:pStyle w:val="Heading1"/>
        <w:ind w:hanging="10" w:left="-5"/>
        <w:rPr/>
      </w:pPr>
      <w:r>
        <w:rPr/>
        <w:t>Artigo 12.- ACEPTACIÓN DA SUBVENCIÓN E COMPROMISOS.</w:t>
      </w:r>
    </w:p>
    <w:p>
      <w:pPr>
        <w:pStyle w:val="Normal"/>
        <w:ind w:hanging="10" w:left="-5" w:right="10"/>
        <w:rPr/>
      </w:pPr>
      <w:r>
        <w:rPr/>
        <w:t>A subvención entenderase aceptada polo solicitante se dentro do prazo dun mes seguinte á recepción da comunicación da concesión, non manifesta nada en contra.</w:t>
      </w:r>
    </w:p>
    <w:p>
      <w:pPr>
        <w:pStyle w:val="Normal"/>
        <w:spacing w:before="0" w:after="516"/>
        <w:ind w:hanging="10" w:left="-5" w:right="10"/>
        <w:rPr>
          <w:lang w:val="pt-PT"/>
        </w:rPr>
      </w:pPr>
      <w:r>
        <w:rPr>
          <w:lang w:val="pt-PT"/>
        </w:rPr>
        <w:t>As entidades beneficiarias da subvención, unha vez aceptada esta, expresa ou tacitamente, quedarán obrigadas a destinar os fondos percibidos para o obxecto concreto para o que foron concedidas. As beneficiarias, ademais de realizaren a actividade que fundamenta a concesión da subvención nos prazos sinalados, someteranse ás actuacións de comprobación e seguimento da aplicación da subvención polo Concello de San Sadurniño, cos medios que estime oportunos e facilitará canta información sexa requirida polo Consello de Contas, de ser o caso. A obtención concorrente de subvencións ou axudas outorgadas por outras Administracións, entidades ou persoas físicas poden dar lugar á modificación da resolución de outorgamento.</w:t>
      </w:r>
    </w:p>
    <w:p>
      <w:pPr>
        <w:pStyle w:val="Heading1"/>
        <w:ind w:hanging="10" w:left="-5"/>
        <w:rPr>
          <w:lang w:val="pt-PT"/>
        </w:rPr>
      </w:pPr>
      <w:r>
        <w:rPr>
          <w:lang w:val="pt-PT"/>
        </w:rPr>
        <w:t>Artigo 13.- PATROCINIO.</w:t>
      </w:r>
    </w:p>
    <w:p>
      <w:pPr>
        <w:pStyle w:val="Normal"/>
        <w:ind w:hanging="10" w:left="-5" w:right="10"/>
        <w:rPr>
          <w:lang w:val="pt-PT"/>
        </w:rPr>
      </w:pPr>
      <w:r>
        <w:rPr>
          <w:lang w:val="pt-PT"/>
        </w:rPr>
        <w:t>As entidades solicitantes das subvencións da presente convocatoria fican comprometidas a establecer de forma clara nos exemplares dos programas, carteis anunciadores, fotografías e demais material publicitario que editen con motivo do programa ou das actividades subvencionadas, mención expresa do patrocinio do Concello de San Sadurniño, cumprindo cos seguintes puntos:</w:t>
      </w:r>
    </w:p>
    <w:p>
      <w:pPr>
        <w:pStyle w:val="Normal"/>
        <w:numPr>
          <w:ilvl w:val="0"/>
          <w:numId w:val="7"/>
        </w:numPr>
        <w:ind w:hanging="360" w:left="1080" w:right="10"/>
        <w:rPr/>
      </w:pPr>
      <w:r>
        <w:rPr/>
        <w:t>Deberán de estar sempre en lingua galega, sen que iso exclúa a posibilidade de utilizaren tamén outras linguas</w:t>
      </w:r>
    </w:p>
    <w:p>
      <w:pPr>
        <w:pStyle w:val="Normal"/>
        <w:numPr>
          <w:ilvl w:val="0"/>
          <w:numId w:val="7"/>
        </w:numPr>
        <w:ind w:hanging="360" w:left="1080" w:right="10"/>
        <w:rPr/>
      </w:pPr>
      <w:r>
        <w:rPr/>
        <w:t xml:space="preserve">Non se subvencionarán solicitudes que exclúan a lingua galega como lingua de uso vehicular dos soportes divulgativos das actividades. </w:t>
      </w:r>
    </w:p>
    <w:p>
      <w:pPr>
        <w:pStyle w:val="Normal"/>
        <w:numPr>
          <w:ilvl w:val="0"/>
          <w:numId w:val="7"/>
        </w:numPr>
        <w:ind w:hanging="360" w:left="1080" w:right="10"/>
        <w:rPr/>
      </w:pPr>
      <w:r>
        <w:rPr/>
        <w:t>Deberán respectar rigorosamente a toponimia oficial de acordo coa Lei 3/1983</w:t>
      </w:r>
    </w:p>
    <w:p>
      <w:pPr>
        <w:pStyle w:val="Normal"/>
        <w:numPr>
          <w:ilvl w:val="0"/>
          <w:numId w:val="7"/>
        </w:numPr>
        <w:ind w:hanging="360" w:left="1080" w:right="10"/>
        <w:rPr>
          <w:lang w:val="pt-PT"/>
        </w:rPr>
      </w:pPr>
      <w:r>
        <w:rPr>
          <w:lang w:val="pt-PT"/>
        </w:rPr>
        <w:t>Deberán facer uso dos elementos da imaxe corporativa municipal recollidos no anexo II do Regulamento de identidade visual corporativa, publicado no BOP nº 99, do 27 de maio de 2013.</w:t>
      </w:r>
    </w:p>
    <w:p>
      <w:pPr>
        <w:pStyle w:val="Normal"/>
        <w:numPr>
          <w:ilvl w:val="0"/>
          <w:numId w:val="7"/>
        </w:numPr>
        <w:ind w:hanging="360" w:left="1080" w:right="10"/>
        <w:rPr>
          <w:lang w:val="pt-PT"/>
        </w:rPr>
      </w:pPr>
      <w:r>
        <w:rPr>
          <w:lang w:val="pt-PT"/>
        </w:rPr>
        <w:t>Nas súas comunicacións e publicidade, as entidades beneficiarias comprométense á utilización da linguaxe inclusiva non sexista, e a empregar imaxes que promovan os valores da inclusión e da igualdade.</w:t>
      </w:r>
    </w:p>
    <w:p>
      <w:pPr>
        <w:pStyle w:val="Normal"/>
        <w:numPr>
          <w:ilvl w:val="0"/>
          <w:numId w:val="7"/>
        </w:numPr>
        <w:ind w:hanging="360" w:left="1080" w:right="10"/>
        <w:rPr>
          <w:lang w:val="pt-PT"/>
        </w:rPr>
      </w:pPr>
      <w:r>
        <w:rPr>
          <w:lang w:val="pt-PT"/>
        </w:rPr>
        <w:t>Paralelamente, debido a que o Concello de San Sadurniño forma parte do Xeoparque do Cabo Ortegal, e que este proxecto pode ser beneficioso directa e indirectamente para as entidades culturais, estas usarán tamén o logotipo do Xeoparque no material divulgativo que editen.</w:t>
      </w:r>
    </w:p>
    <w:p>
      <w:pPr>
        <w:pStyle w:val="Normal"/>
        <w:spacing w:before="0" w:after="516"/>
        <w:ind w:hanging="10" w:left="-5" w:right="10"/>
        <w:rPr>
          <w:lang w:val="pt-PT"/>
        </w:rPr>
      </w:pPr>
      <w:r>
        <w:rPr>
          <w:lang w:val="pt-PT"/>
        </w:rPr>
        <w:t xml:space="preserve">As entidades solicitantes das subvencións da presente convocatoria fican comprometidas a enviar ao email </w:t>
      </w:r>
      <w:r>
        <w:rPr>
          <w:color w:val="0000FF"/>
          <w:u w:val="single" w:color="0000FF"/>
          <w:lang w:val="pt-PT"/>
        </w:rPr>
        <w:t>agustin.perez@sansadurnino.gal</w:t>
      </w:r>
      <w:r>
        <w:rPr>
          <w:lang w:val="pt-PT"/>
        </w:rPr>
        <w:t xml:space="preserve"> o exemplar do programa e/ou cartel anunciador de cada actividade subvencionada antes do remate de dita actividade como medio de axuda á difusión de dita actividade nos medios do Concello.</w:t>
      </w:r>
    </w:p>
    <w:p>
      <w:pPr>
        <w:pStyle w:val="Heading1"/>
        <w:ind w:hanging="10" w:left="-5"/>
        <w:rPr>
          <w:lang w:val="pt-PT"/>
        </w:rPr>
      </w:pPr>
      <w:r>
        <w:rPr>
          <w:lang w:val="pt-PT"/>
        </w:rPr>
        <w:t>Artigo 14.- PUBLICIDADE DAS SUBVENCIÓNS CONCEDIDAS.</w:t>
      </w:r>
    </w:p>
    <w:p>
      <w:pPr>
        <w:pStyle w:val="Normal"/>
        <w:spacing w:before="0" w:after="516"/>
        <w:ind w:hanging="10" w:left="-5" w:right="10"/>
        <w:rPr>
          <w:lang w:val="pt-PT"/>
        </w:rPr>
      </w:pPr>
      <w:r>
        <w:rPr>
          <w:lang w:val="pt-PT"/>
        </w:rPr>
        <w:t>A concesión de subvencións será publicada, cando menos, no taboleiro de anuncios do Concello de San Sadurniño e no Boletín Oficial da Provincia.</w:t>
      </w:r>
    </w:p>
    <w:p>
      <w:pPr>
        <w:pStyle w:val="Heading1"/>
        <w:ind w:hanging="10" w:left="-5"/>
        <w:rPr>
          <w:lang w:val="pt-PT"/>
        </w:rPr>
      </w:pPr>
      <w:r>
        <w:rPr>
          <w:lang w:val="pt-PT"/>
        </w:rPr>
        <w:t>Artigo 15.- PRAZO E XUSTIFICACIÓN DAS SUBVENCIÓNS.</w:t>
      </w:r>
    </w:p>
    <w:p>
      <w:pPr>
        <w:pStyle w:val="Normal"/>
        <w:ind w:hanging="10" w:left="-5" w:right="10"/>
        <w:rPr>
          <w:lang w:val="pt-PT"/>
        </w:rPr>
      </w:pPr>
      <w:r>
        <w:rPr>
          <w:lang w:val="pt-PT"/>
        </w:rPr>
        <w:t>Para poder percibiren as subvencións concedidas de acordo coas presentes bases, as entidades beneficiarias presentarán a documentación xustificativa na sede electrónica do Concello de San Sadurniño ou ben a través dos restantes rexistros electrónicos antes do 30 de novembro de 2026, podendo ser ampliado este prazo en casos particulares, por un máximo de 50 días, e sempre con previa petición razoada e por causas xustificadas.</w:t>
      </w:r>
    </w:p>
    <w:p>
      <w:pPr>
        <w:pStyle w:val="Normal"/>
        <w:ind w:hanging="10" w:left="-5" w:right="9"/>
        <w:rPr>
          <w:lang w:val="pt-PT"/>
        </w:rPr>
      </w:pPr>
      <w:r>
        <w:rPr>
          <w:lang w:val="pt-PT"/>
        </w:rPr>
        <w:t>As subvencións concedidas aboaranse tras a xustificación do investimento por parte da entidade. Á vista da documentación xustificativa presentada, o órgano competente valorará o cumprimento da finalidade da subvención.</w:t>
      </w:r>
    </w:p>
    <w:p>
      <w:pPr>
        <w:pStyle w:val="Normal"/>
        <w:ind w:hanging="10" w:left="-5" w:right="9"/>
        <w:rPr>
          <w:lang w:val="pt-PT"/>
        </w:rPr>
      </w:pPr>
      <w:r>
        <w:rPr>
          <w:lang w:val="pt-PT"/>
        </w:rPr>
        <w:t>O aboamento da subvención materializarase mediante ingreso na conta da entidade financeira sinalada pola entidade beneficiaria na documentación presentada.</w:t>
      </w:r>
    </w:p>
    <w:p>
      <w:pPr>
        <w:pStyle w:val="Normal"/>
        <w:ind w:hanging="10" w:left="-5" w:right="10"/>
        <w:rPr>
          <w:lang w:val="pt-PT"/>
        </w:rPr>
      </w:pPr>
      <w:r>
        <w:rPr>
          <w:lang w:val="pt-PT"/>
        </w:rPr>
      </w:r>
    </w:p>
    <w:p>
      <w:pPr>
        <w:pStyle w:val="Normal"/>
        <w:ind w:hanging="10" w:left="-5" w:right="10"/>
        <w:rPr/>
      </w:pPr>
      <w:r>
        <w:rPr/>
        <w:t xml:space="preserve">A </w:t>
      </w:r>
      <w:r>
        <w:rPr>
          <w:b/>
        </w:rPr>
        <w:t>documentación xustificativa</w:t>
      </w:r>
      <w:r>
        <w:rPr/>
        <w:t xml:space="preserve"> será a seguinte:</w:t>
      </w:r>
    </w:p>
    <w:p>
      <w:pPr>
        <w:pStyle w:val="Normal"/>
        <w:numPr>
          <w:ilvl w:val="0"/>
          <w:numId w:val="8"/>
        </w:numPr>
        <w:ind w:hanging="360" w:left="720" w:right="10"/>
        <w:rPr>
          <w:lang w:val="pt-PT"/>
        </w:rPr>
      </w:pPr>
      <w:r>
        <w:rPr>
          <w:lang w:val="pt-PT"/>
        </w:rPr>
        <w:t>Instancia subscrita pola persoa representante da entidade ou particular dirixida ao Alcalde-Presidente do Concello de San Sadurniño, na que se solicite o pagamento da subvención no número de conta corrente indicada na solicitude.</w:t>
      </w:r>
    </w:p>
    <w:p>
      <w:pPr>
        <w:pStyle w:val="Normal"/>
        <w:numPr>
          <w:ilvl w:val="0"/>
          <w:numId w:val="8"/>
        </w:numPr>
        <w:ind w:hanging="360" w:left="720" w:right="10"/>
        <w:rPr>
          <w:lang w:val="pt-PT"/>
        </w:rPr>
      </w:pPr>
      <w:r>
        <w:rPr>
          <w:lang w:val="pt-PT"/>
        </w:rPr>
        <w:t>Memoria explicativa das actividades obxecto da subvención concedida, con especificación da denominación da actividade, datas e lugares de realización segundo memoria presentada na solicitude.</w:t>
      </w:r>
    </w:p>
    <w:p>
      <w:pPr>
        <w:pStyle w:val="Normal"/>
        <w:numPr>
          <w:ilvl w:val="0"/>
          <w:numId w:val="8"/>
        </w:numPr>
        <w:ind w:hanging="360" w:left="720" w:right="10"/>
        <w:rPr>
          <w:lang w:val="pt-PT"/>
        </w:rPr>
      </w:pPr>
      <w:r>
        <w:rPr>
          <w:lang w:val="pt-PT"/>
        </w:rPr>
        <w:t>Presentación de facturas ou demais documentos de valor probatorio equivalentes, con validez no tráfico xurídico mercantil ou laboral (TCs, cartas de pagamento etc). neste ámbito cómpre ter en conta o seguinte:</w:t>
      </w:r>
    </w:p>
    <w:p>
      <w:pPr>
        <w:pStyle w:val="Normal"/>
        <w:numPr>
          <w:ilvl w:val="1"/>
          <w:numId w:val="8"/>
        </w:numPr>
        <w:ind w:hanging="360" w:left="1440" w:right="10"/>
        <w:rPr>
          <w:lang w:val="pt-PT"/>
        </w:rPr>
      </w:pPr>
      <w:r>
        <w:rPr>
          <w:lang w:val="pt-PT"/>
        </w:rPr>
        <w:t xml:space="preserve">As entidades beneficiarias da subvención quedan obrigadas a xustificar a axuda, coa cantidade resultante da suma do importe da subvención concedida, máis o 20% do orzamento admitido na solicitude desta convocatoria. </w:t>
      </w:r>
    </w:p>
    <w:p>
      <w:pPr>
        <w:pStyle w:val="Normal"/>
        <w:ind w:hanging="10" w:left="1450" w:right="10"/>
        <w:rPr>
          <w:lang w:val="pt-PT"/>
        </w:rPr>
      </w:pPr>
      <w:r>
        <w:rPr>
          <w:lang w:val="pt-PT"/>
        </w:rPr>
        <w:t>No caso de recibiren axudas ou subvencións doutras entidades públicas ou privadas, o importe do gasto xustificado deberá ser como mínimo a suma total das cantidades recibidas, máis o 20% do orzamento admitido na solicitude desta convocatoria.</w:t>
      </w:r>
    </w:p>
    <w:p>
      <w:pPr>
        <w:pStyle w:val="Normal"/>
        <w:numPr>
          <w:ilvl w:val="1"/>
          <w:numId w:val="8"/>
        </w:numPr>
        <w:ind w:hanging="360" w:left="1440" w:right="10"/>
        <w:rPr>
          <w:lang w:val="pt-PT"/>
        </w:rPr>
      </w:pPr>
      <w:r>
        <w:rPr>
          <w:lang w:val="pt-PT"/>
        </w:rPr>
        <w:t>Os gastos correspondentes á compra de materiais necesarios e imprescindibles para a realización das actividades, poderán ser presentados como xustificantes, sempre que o seu importe non supere o 25% do presuposto total admitido na solicitude de subvención.</w:t>
      </w:r>
    </w:p>
    <w:p>
      <w:pPr>
        <w:pStyle w:val="Normal"/>
        <w:numPr>
          <w:ilvl w:val="1"/>
          <w:numId w:val="8"/>
        </w:numPr>
        <w:ind w:hanging="360" w:left="1440" w:right="10"/>
        <w:rPr>
          <w:lang w:val="pt-PT"/>
        </w:rPr>
      </w:pPr>
      <w:r>
        <w:rPr>
          <w:lang w:val="pt-PT"/>
        </w:rPr>
        <w:t>As facturas que se presenten como xustificantes, deberán corresponder cos gastos directamente relacionados con cada unha das actividades financiadas e deberán vir desglosadas, ademais vir acompañadas do correspondente xustificante bancario de pagamento. Só se admitiran pagamentos en efectivo cando o importe da factura sexa inferior a 100 euros e sen que poida ser obxeto de fraccionamento e adxuntando un xustificante do pago recibido.</w:t>
      </w:r>
    </w:p>
    <w:p>
      <w:pPr>
        <w:pStyle w:val="Normal"/>
        <w:numPr>
          <w:ilvl w:val="0"/>
          <w:numId w:val="8"/>
        </w:numPr>
        <w:ind w:hanging="360" w:left="720" w:right="10"/>
        <w:rPr/>
      </w:pPr>
      <w:r>
        <w:rPr/>
        <w:t>Relación detallada das subvencións recibidas doutras entidades públicas ou privadas, para a realización das actividades obxecto desta subvención.</w:t>
      </w:r>
    </w:p>
    <w:p>
      <w:pPr>
        <w:pStyle w:val="Normal"/>
        <w:numPr>
          <w:ilvl w:val="0"/>
          <w:numId w:val="8"/>
        </w:numPr>
        <w:spacing w:before="0" w:after="516"/>
        <w:ind w:hanging="360" w:left="720" w:right="10"/>
        <w:rPr/>
      </w:pPr>
      <w:r>
        <w:rPr/>
        <w:t>Exemplares de toda a documentación impresa xerada polas actividades realizadas que acredite a participación do Concello de San Sadurniño no seu financiamento.</w:t>
      </w:r>
    </w:p>
    <w:p>
      <w:pPr>
        <w:pStyle w:val="Heading1"/>
        <w:ind w:hanging="10" w:left="-5"/>
        <w:rPr>
          <w:lang w:val="pt-PT"/>
        </w:rPr>
      </w:pPr>
      <w:r>
        <w:rPr>
          <w:lang w:val="pt-PT"/>
        </w:rPr>
        <w:t>Artigo 16.- REQUISITOS DAS FACTURAS.</w:t>
      </w:r>
    </w:p>
    <w:p>
      <w:pPr>
        <w:pStyle w:val="Normal"/>
        <w:ind w:hanging="10" w:left="-5" w:right="10"/>
        <w:rPr>
          <w:lang w:val="pt-PT"/>
        </w:rPr>
      </w:pPr>
      <w:r>
        <w:rPr>
          <w:lang w:val="pt-PT"/>
        </w:rPr>
        <w:t>As facturas que se acheguen como xustificantes da subvención deberán cumprir os requisitos seguintes:</w:t>
      </w:r>
    </w:p>
    <w:p>
      <w:pPr>
        <w:pStyle w:val="Normal"/>
        <w:numPr>
          <w:ilvl w:val="0"/>
          <w:numId w:val="9"/>
        </w:numPr>
        <w:ind w:hanging="360" w:left="720" w:right="10"/>
        <w:rPr>
          <w:lang w:val="pt-PT"/>
        </w:rPr>
      </w:pPr>
      <w:r>
        <w:rPr>
          <w:lang w:val="pt-PT"/>
        </w:rPr>
        <w:t>Os estabelecidos para a súa expedición no RD 1496/2003, ou sexa, que datadas no período subvencionábel, e que sexan correspondentes a actividades dese período, que conteñan o DNI ou número de identificación fiscal da persoa perceptora.</w:t>
      </w:r>
    </w:p>
    <w:p>
      <w:pPr>
        <w:pStyle w:val="Normal"/>
        <w:numPr>
          <w:ilvl w:val="0"/>
          <w:numId w:val="9"/>
        </w:numPr>
        <w:ind w:hanging="360" w:left="720" w:right="10"/>
        <w:rPr>
          <w:lang w:val="pt-PT"/>
        </w:rPr>
      </w:pPr>
      <w:r>
        <w:rPr>
          <w:lang w:val="pt-PT"/>
        </w:rPr>
        <w:t>No suposto de que a subvención teña como destino o pagamento de persoas físicas que prestan servizos retribuídos, pagamento de premios ou pagamento de axudas de custo, a entidade beneficiaria vén obrigada á retención do IRPF nos límites e excepcións da lexislación que rexe. Os pagamentos ao persoal retribuído, coa súa pertinente retención, xustificaranse a través da nómina correspondente, acompañada dos TCS .</w:t>
      </w:r>
    </w:p>
    <w:p>
      <w:pPr>
        <w:pStyle w:val="Normal"/>
        <w:numPr>
          <w:ilvl w:val="0"/>
          <w:numId w:val="9"/>
        </w:numPr>
        <w:spacing w:before="0" w:after="516"/>
        <w:ind w:hanging="360" w:left="720" w:right="10"/>
        <w:rPr>
          <w:lang w:val="pt-PT"/>
        </w:rPr>
      </w:pPr>
      <w:r>
        <w:rPr>
          <w:lang w:val="pt-PT"/>
        </w:rPr>
        <w:t>Non se considerarán en ningún caso como xustificantes de gasto válidos as facturas relacionadas coa alimentación (víveres, bebidas etc.) e co transporte para viaxes de ocio.</w:t>
      </w:r>
    </w:p>
    <w:p>
      <w:pPr>
        <w:pStyle w:val="Heading1"/>
        <w:ind w:hanging="10" w:left="-5"/>
        <w:rPr/>
      </w:pPr>
      <w:r>
        <w:rPr/>
        <w:t>Artigo 17.- COMPROBACIÓN DA XUSTIFICACIÓN DAS SUBVENCIÓNS.</w:t>
      </w:r>
    </w:p>
    <w:p>
      <w:pPr>
        <w:pStyle w:val="Normal"/>
        <w:ind w:hanging="10" w:left="-5" w:right="10"/>
        <w:rPr/>
      </w:pPr>
      <w:r>
        <w:rPr/>
        <w:t>O técnico do Servizo de Cultura será o responsable da comprobación da xustificación da subvención, así como da realización da actividade e o cumprimento da finalidade que determinou a concesión ou aproveitamento da subvención.</w:t>
      </w:r>
    </w:p>
    <w:p>
      <w:pPr>
        <w:pStyle w:val="Normal"/>
        <w:spacing w:before="0" w:after="516"/>
        <w:ind w:hanging="10" w:left="-5" w:right="10"/>
        <w:rPr/>
      </w:pPr>
      <w:r>
        <w:rPr/>
        <w:t>No suposto de que non se presente a xustificación correspondente, procederase á minoración proporcional da subvención concedida, esixindo á entidade beneficiaria, no seu caso, o reintegro da cantidade correspondente.</w:t>
      </w:r>
    </w:p>
    <w:p>
      <w:pPr>
        <w:pStyle w:val="Heading1"/>
        <w:ind w:hanging="10" w:left="-5"/>
        <w:rPr>
          <w:lang w:val="pt-PT"/>
        </w:rPr>
      </w:pPr>
      <w:r>
        <w:rPr>
          <w:lang w:val="pt-PT"/>
        </w:rPr>
        <w:t>Artigo 18.- PROCEDEMENTO SANCIONADOR.</w:t>
      </w:r>
    </w:p>
    <w:p>
      <w:pPr>
        <w:pStyle w:val="Normal"/>
        <w:ind w:hanging="10" w:left="-5" w:right="10"/>
        <w:rPr>
          <w:lang w:val="pt-PT"/>
        </w:rPr>
      </w:pPr>
      <w:r>
        <w:rPr>
          <w:lang w:val="pt-PT"/>
        </w:rPr>
        <w:t>As entidades beneficiarias das subvencións quedarán sometidas ás responsabilidades e ó réxime sancionador establecidos no artigo 82 da Lei xeral presupostaria.</w:t>
      </w:r>
    </w:p>
    <w:p>
      <w:pPr>
        <w:pStyle w:val="Normal"/>
        <w:ind w:hanging="10" w:left="-5" w:right="10"/>
        <w:rPr>
          <w:lang w:val="pt-PT"/>
        </w:rPr>
      </w:pPr>
      <w:r>
        <w:rPr>
          <w:lang w:val="pt-PT"/>
        </w:rPr>
        <w:t>As sancións, no seu caso, serán acordadas e impostas pola Xunta de Goberno Local.</w:t>
      </w:r>
    </w:p>
    <w:p>
      <w:pPr>
        <w:pStyle w:val="Normal"/>
        <w:spacing w:before="0" w:after="516"/>
        <w:ind w:hanging="10" w:left="-5" w:right="10"/>
        <w:rPr>
          <w:lang w:val="pt-PT"/>
        </w:rPr>
      </w:pPr>
      <w:r>
        <w:rPr>
          <w:lang w:val="pt-PT"/>
        </w:rPr>
        <w:t>No suposto de que non se presente xustificación nos termos establecidos no artigo 16, procederase á minoración proporcional da subvención concedida, e isto sempre que se xustifique máis do 50% da subvención concedida. De non xustificarse polo menos esa porcentaxe, anularase a concesión por entender non realizado o obxecto para o cal se solicitou subvención.</w:t>
      </w:r>
    </w:p>
    <w:p>
      <w:pPr>
        <w:pStyle w:val="Heading1"/>
        <w:ind w:hanging="10" w:left="-5"/>
        <w:rPr>
          <w:lang w:val="pt-PT"/>
        </w:rPr>
      </w:pPr>
      <w:r>
        <w:rPr>
          <w:lang w:val="pt-PT"/>
        </w:rPr>
        <w:t>Artigo 19.- RECURSOS.</w:t>
      </w:r>
    </w:p>
    <w:p>
      <w:pPr>
        <w:pStyle w:val="Normal"/>
        <w:spacing w:before="0" w:after="516"/>
        <w:ind w:hanging="10" w:left="-5" w:right="10"/>
        <w:rPr>
          <w:lang w:val="pt-PT"/>
        </w:rPr>
      </w:pPr>
      <w:r>
        <w:rPr>
          <w:lang w:val="pt-PT"/>
        </w:rPr>
        <w:t>Contra o acto administrativo polo que se resolva o procedemento de concesión de subvencións, que pon fin á vía administrativa, poderá interpoñerse o recurso potestativo de reposición ante o mesmo órgano que a ditou e no prazo dun mes a contar desde o día seguinte ao da súa notificación, ao abeiro do establecido no art. 116-1 da Lei 30/1992 do réxime xurídico das Administracións públicas e do procedemento administrativo común, o que se fai público para xeral coñecemento e ós efectos legais procedentes.</w:t>
      </w:r>
    </w:p>
    <w:p>
      <w:pPr>
        <w:pStyle w:val="Heading1"/>
        <w:ind w:hanging="10" w:left="-5"/>
        <w:rPr>
          <w:lang w:val="pt-PT"/>
        </w:rPr>
      </w:pPr>
      <w:r>
        <w:rPr>
          <w:lang w:val="pt-PT"/>
        </w:rPr>
        <w:t>Artigo 20.- VIXENCIA.</w:t>
      </w:r>
    </w:p>
    <w:p>
      <w:pPr>
        <w:pStyle w:val="Normal"/>
        <w:spacing w:before="0" w:after="1207"/>
        <w:ind w:hanging="10" w:left="-5" w:right="9"/>
        <w:rPr>
          <w:lang w:val="pt-PT"/>
        </w:rPr>
      </w:pPr>
      <w:r>
        <w:rPr>
          <w:lang w:val="pt-PT"/>
        </w:rPr>
        <w:t>Esta convocatoria entrará en vigor ao día seguinte da súa publicación na BDSN.</w:t>
      </w:r>
    </w:p>
    <w:p>
      <w:pPr>
        <w:pStyle w:val="Normal"/>
        <w:spacing w:before="0" w:after="516"/>
        <w:ind w:hanging="10" w:left="-5" w:right="10"/>
        <w:rPr/>
      </w:pPr>
      <w:r>
        <w:rPr/>
      </w:r>
    </w:p>
    <w:sectPr>
      <w:headerReference w:type="even" r:id="rId3"/>
      <w:headerReference w:type="default" r:id="rId4"/>
      <w:headerReference w:type="first" r:id="rId5"/>
      <w:footerReference w:type="even" r:id="rId6"/>
      <w:footerReference w:type="default" r:id="rId7"/>
      <w:footerReference w:type="first" r:id="rId8"/>
      <w:type w:val="nextPage"/>
      <w:pgSz w:w="11906" w:h="16838"/>
      <w:pgMar w:left="1420" w:right="1414" w:gutter="0" w:header="142" w:top="1843" w:footer="868" w:bottom="1262"/>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w:charset w:val="00"/>
    <w:family w:val="swiss"/>
    <w:pitch w:val="variable"/>
  </w:font>
  <w:font w:name="Tahoma">
    <w:charset w:val="00"/>
    <w:family w:val="swiss"/>
    <w:pitch w:val="variable"/>
  </w:font>
  <w:font w:name="OpenSymbol">
    <w:altName w:val="Arial Unicode MS"/>
    <w:charset w:val="02"/>
    <w:family w:val="roman"/>
    <w:pitch w:val="variable"/>
  </w:font>
  <w:font w:name="Liberation Sans">
    <w:altName w:val="Arial"/>
    <w:charset w:val="00"/>
    <w:family w:val="swiss"/>
    <w:pitch w:val="variable"/>
  </w:font>
  <w:font w:name="Courier New">
    <w:charset w:val="00"/>
    <w:family w:val="swiss"/>
    <w:pitch w:val="variable"/>
  </w:font>
  <w:font w:name="Calibri">
    <w:charset w:val="01"/>
    <w:family w:val="swiss"/>
    <w:pitch w:val="variable"/>
  </w:font>
  <w:font w:name="Arial">
    <w:charset w:val="01"/>
    <w:family w:val="swiss"/>
    <w:pitch w:val="variable"/>
  </w:font>
  <w:font w:name="Segoe UI Symbo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59" w:before="0" w:after="0"/>
      <w:ind w:hanging="0" w:left="0" w:right="0"/>
      <w:jc w:val="left"/>
      <w:rPr/>
    </w:pPr>
    <w:r>
      <w:rPr>
        <w:rFonts w:eastAsia="Times New Roman" w:cs="Times New Roman" w:ascii="Times New Roman" w:hAnsi="Times New Roman"/>
        <w:sz w:val="18"/>
      </w:rPr>
      <w:t xml:space="preserve">Bases da convocatoria para a concesión de subvencións a asociacións e entidades sen ánimo de lucro que desenvolvan </w:t>
    </w:r>
  </w:p>
  <w:p>
    <w:pPr>
      <w:pStyle w:val="Normal"/>
      <w:tabs>
        <w:tab w:val="clear" w:pos="708"/>
        <w:tab w:val="center" w:pos="8459" w:leader="none"/>
      </w:tabs>
      <w:spacing w:lineRule="auto" w:line="259" w:before="0" w:after="0"/>
      <w:ind w:hanging="0" w:left="0" w:right="0"/>
      <w:jc w:val="left"/>
      <w:rPr/>
    </w:pPr>
    <w:r>
      <w:rPr>
        <w:rFonts w:eastAsia="Times New Roman" w:cs="Times New Roman" w:ascii="Times New Roman" w:hAnsi="Times New Roman"/>
        <w:sz w:val="18"/>
      </w:rPr>
      <w:t>accións no eido da cultura</w:t>
      <w:tab/>
    </w:r>
    <w:r>
      <w:rPr>
        <w:rFonts w:eastAsia="Times New Roman" w:cs="Times New Roman" w:ascii="Times New Roman" w:hAnsi="Times New Roman"/>
        <w:sz w:val="18"/>
      </w:rPr>
      <w:fldChar w:fldCharType="begin"/>
    </w:r>
    <w:r>
      <w:rPr>
        <w:rFonts w:eastAsia="Times New Roman" w:cs="Times New Roman" w:ascii="Times New Roman" w:hAnsi="Times New Roman"/>
        <w:sz w:val="18"/>
      </w:rPr>
      <w:instrText xml:space="preserve"> PAGE </w:instrText>
    </w:r>
    <w:r>
      <w:rPr>
        <w:rFonts w:eastAsia="Times New Roman" w:cs="Times New Roman" w:ascii="Times New Roman" w:hAnsi="Times New Roman"/>
        <w:sz w:val="18"/>
      </w:rPr>
      <w:fldChar w:fldCharType="separate"/>
    </w:r>
    <w:r>
      <w:rPr>
        <w:rFonts w:eastAsia="Times New Roman" w:cs="Times New Roman" w:ascii="Times New Roman" w:hAnsi="Times New Roman"/>
        <w:sz w:val="18"/>
      </w:rPr>
      <w:t>0</w:t>
    </w:r>
    <w:r>
      <w:rPr>
        <w:rFonts w:eastAsia="Times New Roman" w:cs="Times New Roman" w:ascii="Times New Roman" w:hAnsi="Times New Roman"/>
        <w:sz w:val="18"/>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59" w:before="0" w:after="0"/>
      <w:ind w:hanging="0" w:left="0" w:right="0"/>
      <w:jc w:val="left"/>
      <w:rPr/>
    </w:pPr>
    <w:r>
      <w:rPr>
        <w:rFonts w:eastAsia="Times New Roman" w:cs="Times New Roman" w:ascii="Times New Roman" w:hAnsi="Times New Roman"/>
        <w:sz w:val="18"/>
      </w:rPr>
      <w:t>Bases reguladoras de la convocatoria para la concesión de subvenciones a asociaciones y entidades sin ánimo de lucro que desarrollen acciones en el campo de la cultura 2026.</w:t>
      <w:tab/>
      <w:tab/>
      <w:tab/>
      <w:tab/>
      <w:tab/>
      <w:tab/>
      <w:tab/>
      <w:tab/>
    </w:r>
    <w:r>
      <w:rPr>
        <w:rFonts w:eastAsia="Times New Roman" w:cs="Times New Roman" w:ascii="Times New Roman" w:hAnsi="Times New Roman"/>
        <w:sz w:val="18"/>
      </w:rPr>
      <w:fldChar w:fldCharType="begin"/>
    </w:r>
    <w:r>
      <w:rPr>
        <w:rFonts w:eastAsia="Times New Roman" w:cs="Times New Roman" w:ascii="Times New Roman" w:hAnsi="Times New Roman"/>
        <w:sz w:val="18"/>
      </w:rPr>
      <w:instrText xml:space="preserve"> PAGE </w:instrText>
    </w:r>
    <w:r>
      <w:rPr>
        <w:rFonts w:eastAsia="Times New Roman" w:cs="Times New Roman" w:ascii="Times New Roman" w:hAnsi="Times New Roman"/>
        <w:sz w:val="18"/>
      </w:rPr>
      <w:fldChar w:fldCharType="separate"/>
    </w:r>
    <w:r>
      <w:rPr>
        <w:rFonts w:eastAsia="Times New Roman" w:cs="Times New Roman" w:ascii="Times New Roman" w:hAnsi="Times New Roman"/>
        <w:sz w:val="18"/>
      </w:rPr>
      <w:t>11</w:t>
    </w:r>
    <w:r>
      <w:rPr>
        <w:rFonts w:eastAsia="Times New Roman" w:cs="Times New Roman" w:ascii="Times New Roman" w:hAnsi="Times New Roman"/>
        <w:sz w:val="18"/>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59" w:before="0" w:after="0"/>
      <w:ind w:hanging="0" w:left="0" w:right="0"/>
      <w:jc w:val="left"/>
      <w:rPr/>
    </w:pPr>
    <w:r>
      <w:rPr>
        <w:rFonts w:eastAsia="Times New Roman" w:cs="Times New Roman" w:ascii="Times New Roman" w:hAnsi="Times New Roman"/>
        <w:sz w:val="18"/>
      </w:rPr>
      <w:t>Bases reguladoras de la convocatoria para la concesión de subvenciones a asociaciones y entidades sin ánimo de lucro que desarrollen acciones en el campo de la cultura 2026.</w:t>
      <w:tab/>
      <w:tab/>
      <w:tab/>
      <w:tab/>
      <w:tab/>
      <w:tab/>
      <w:tab/>
      <w:tab/>
    </w:r>
    <w:r>
      <w:rPr>
        <w:rFonts w:eastAsia="Times New Roman" w:cs="Times New Roman" w:ascii="Times New Roman" w:hAnsi="Times New Roman"/>
        <w:sz w:val="18"/>
      </w:rPr>
      <w:fldChar w:fldCharType="begin"/>
    </w:r>
    <w:r>
      <w:rPr>
        <w:rFonts w:eastAsia="Times New Roman" w:cs="Times New Roman" w:ascii="Times New Roman" w:hAnsi="Times New Roman"/>
        <w:sz w:val="18"/>
      </w:rPr>
      <w:instrText xml:space="preserve"> PAGE </w:instrText>
    </w:r>
    <w:r>
      <w:rPr>
        <w:rFonts w:eastAsia="Times New Roman" w:cs="Times New Roman" w:ascii="Times New Roman" w:hAnsi="Times New Roman"/>
        <w:sz w:val="18"/>
      </w:rPr>
      <w:fldChar w:fldCharType="separate"/>
    </w:r>
    <w:r>
      <w:rPr>
        <w:rFonts w:eastAsia="Times New Roman" w:cs="Times New Roman" w:ascii="Times New Roman" w:hAnsi="Times New Roman"/>
        <w:sz w:val="18"/>
      </w:rPr>
      <w:t>11</w:t>
    </w:r>
    <w:r>
      <w:rPr>
        <w:rFonts w:eastAsia="Times New Roman" w:cs="Times New Roman" w:ascii="Times New Roman" w:hAnsi="Times New Roman"/>
        <w:sz w:val="18"/>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59" w:before="0" w:after="0"/>
      <w:ind w:hanging="0" w:left="-1420" w:right="22"/>
      <w:jc w:val="left"/>
      <w:rPr/>
    </w:pPr>
    <w:r>
      <w:rPr/>
      <w:drawing>
        <wp:anchor distT="0" distB="0" distL="114300" distR="114300" simplePos="0" relativeHeight="0" behindDoc="1" locked="0" layoutInCell="1" allowOverlap="0">
          <wp:simplePos x="0" y="0"/>
          <wp:positionH relativeFrom="page">
            <wp:posOffset>909955</wp:posOffset>
          </wp:positionH>
          <wp:positionV relativeFrom="page">
            <wp:posOffset>189230</wp:posOffset>
          </wp:positionV>
          <wp:extent cx="5738495" cy="1627505"/>
          <wp:effectExtent l="0" t="0" r="0" b="0"/>
          <wp:wrapSquare wrapText="bothSides"/>
          <wp:docPr id="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2"/>
                  <pic:cNvPicPr>
                    <a:picLocks noChangeAspect="1" noChangeArrowheads="1"/>
                  </pic:cNvPicPr>
                </pic:nvPicPr>
                <pic:blipFill>
                  <a:blip r:embed="rId1"/>
                  <a:stretch>
                    <a:fillRect/>
                  </a:stretch>
                </pic:blipFill>
                <pic:spPr bwMode="auto">
                  <a:xfrm>
                    <a:off x="0" y="0"/>
                    <a:ext cx="5738495" cy="1627505"/>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pBdr/>
      <w:rPr>
        <w:b/>
        <w:bCs/>
        <w:sz w:val="28"/>
        <w:szCs w:val="28"/>
      </w:rPr>
    </w:pPr>
    <w:r>
      <w:rPr/>
      <w:drawing>
        <wp:inline distT="0" distB="0" distL="0" distR="0">
          <wp:extent cx="1203960" cy="70104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noChangeArrowheads="1"/>
                  </pic:cNvPicPr>
                </pic:nvPicPr>
                <pic:blipFill>
                  <a:blip r:embed="rId1"/>
                  <a:stretch>
                    <a:fillRect/>
                  </a:stretch>
                </pic:blipFill>
                <pic:spPr bwMode="auto">
                  <a:xfrm>
                    <a:off x="0" y="0"/>
                    <a:ext cx="1203960" cy="701040"/>
                  </a:xfrm>
                  <a:prstGeom prst="rect">
                    <a:avLst/>
                  </a:prstGeom>
                  <a:noFill/>
                </pic:spPr>
              </pic:pic>
            </a:graphicData>
          </a:graphic>
        </wp:inline>
      </w:drawing>
    </w:r>
  </w:p>
  <w:p>
    <w:pPr>
      <w:pStyle w:val="Header"/>
      <w:pBdr>
        <w:bottom w:val="single" w:sz="4" w:space="5" w:color="000000"/>
      </w:pBdr>
      <w:jc w:val="center"/>
      <w:rPr/>
    </w:pPr>
    <w:r>
      <w:rPr>
        <w:b/>
        <w:bCs/>
        <w:sz w:val="28"/>
        <w:szCs w:val="28"/>
      </w:rPr>
      <w:t>Concello de San Sadurniño</w:t>
    </w:r>
  </w:p>
  <w:p>
    <w:pPr>
      <w:pStyle w:val="Normal"/>
      <w:spacing w:lineRule="auto" w:line="259" w:before="0" w:after="0"/>
      <w:ind w:hanging="0" w:left="-1420" w:right="22"/>
      <w:jc w:val="lef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pBdr/>
      <w:rPr>
        <w:b/>
        <w:bCs/>
        <w:sz w:val="28"/>
        <w:szCs w:val="28"/>
      </w:rPr>
    </w:pPr>
    <w:r>
      <w:rPr/>
      <w:drawing>
        <wp:inline distT="0" distB="0" distL="0" distR="0">
          <wp:extent cx="1203960" cy="701040"/>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a:stretch>
                    <a:fillRect/>
                  </a:stretch>
                </pic:blipFill>
                <pic:spPr bwMode="auto">
                  <a:xfrm>
                    <a:off x="0" y="0"/>
                    <a:ext cx="1203960" cy="701040"/>
                  </a:xfrm>
                  <a:prstGeom prst="rect">
                    <a:avLst/>
                  </a:prstGeom>
                  <a:noFill/>
                </pic:spPr>
              </pic:pic>
            </a:graphicData>
          </a:graphic>
        </wp:inline>
      </w:drawing>
    </w:r>
  </w:p>
  <w:p>
    <w:pPr>
      <w:pStyle w:val="Header"/>
      <w:pBdr>
        <w:bottom w:val="single" w:sz="4" w:space="5" w:color="000000"/>
      </w:pBdr>
      <w:jc w:val="center"/>
      <w:rPr/>
    </w:pPr>
    <w:r>
      <w:rPr>
        <w:b/>
        <w:bCs/>
        <w:sz w:val="28"/>
        <w:szCs w:val="28"/>
      </w:rPr>
      <w:t>Concello de San Sadurniño</w:t>
    </w:r>
  </w:p>
  <w:p>
    <w:pPr>
      <w:pStyle w:val="Normal"/>
      <w:spacing w:lineRule="auto" w:line="259" w:before="0" w:after="0"/>
      <w:ind w:hanging="0" w:left="-1420" w:right="22"/>
      <w:jc w:val="lef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118" w:hanging="0"/>
      </w:pPr>
      <w:rPr>
        <w:rFonts w:ascii="Calibri" w:hAnsi="Calibri" w:cs="Calibri" w:hint="default"/>
        <w:b w:val="false"/>
        <w:i w:val="false"/>
        <w:strike w:val="false"/>
        <w:dstrike w:val="false"/>
        <w:color w:val="000000"/>
        <w:position w:val="0"/>
        <w:sz w:val="24"/>
        <w:szCs w:val="24"/>
        <w:u w:val="none" w:color="000000"/>
        <w:shd w:fill="auto" w:val="clear"/>
        <w:vertAlign w:val="baseline"/>
      </w:rPr>
    </w:lvl>
    <w:lvl w:ilvl="1">
      <w:start w:val="1"/>
      <w:numFmt w:val="bullet"/>
      <w:lvlText w:val="o"/>
      <w:lvlJc w:val="left"/>
      <w:pPr>
        <w:tabs>
          <w:tab w:val="num" w:pos="0"/>
        </w:tabs>
        <w:ind w:left="1080" w:hanging="0"/>
      </w:pPr>
      <w:rPr>
        <w:rFonts w:ascii="Calibri" w:hAnsi="Calibri" w:cs="Calibri" w:hint="default"/>
        <w:b w:val="false"/>
        <w:i w:val="false"/>
        <w:strike w:val="false"/>
        <w:dstrike w:val="false"/>
        <w:color w:val="000000"/>
        <w:position w:val="0"/>
        <w:sz w:val="24"/>
        <w:szCs w:val="24"/>
        <w:u w:val="none" w:color="000000"/>
        <w:shd w:fill="auto" w:val="clear"/>
        <w:vertAlign w:val="baseline"/>
      </w:rPr>
    </w:lvl>
    <w:lvl w:ilvl="2">
      <w:start w:val="1"/>
      <w:numFmt w:val="bullet"/>
      <w:lvlText w:val="▪"/>
      <w:lvlJc w:val="left"/>
      <w:pPr>
        <w:tabs>
          <w:tab w:val="num" w:pos="0"/>
        </w:tabs>
        <w:ind w:left="1800" w:hanging="0"/>
      </w:pPr>
      <w:rPr>
        <w:rFonts w:ascii="Calibri" w:hAnsi="Calibri" w:cs="Calibri" w:hint="default"/>
        <w:b w:val="false"/>
        <w:i w:val="false"/>
        <w:strike w:val="false"/>
        <w:dstrike w:val="false"/>
        <w:color w:val="000000"/>
        <w:position w:val="0"/>
        <w:sz w:val="24"/>
        <w:szCs w:val="24"/>
        <w:u w:val="none" w:color="000000"/>
        <w:shd w:fill="auto" w:val="clear"/>
        <w:vertAlign w:val="baseline"/>
      </w:rPr>
    </w:lvl>
    <w:lvl w:ilvl="3">
      <w:start w:val="1"/>
      <w:numFmt w:val="bullet"/>
      <w:lvlText w:val="•"/>
      <w:lvlJc w:val="left"/>
      <w:pPr>
        <w:tabs>
          <w:tab w:val="num" w:pos="0"/>
        </w:tabs>
        <w:ind w:left="2520" w:hanging="0"/>
      </w:pPr>
      <w:rPr>
        <w:rFonts w:ascii="Calibri" w:hAnsi="Calibri" w:cs="Calibri" w:hint="default"/>
        <w:b w:val="false"/>
        <w:i w:val="false"/>
        <w:strike w:val="false"/>
        <w:dstrike w:val="false"/>
        <w:color w:val="000000"/>
        <w:position w:val="0"/>
        <w:sz w:val="24"/>
        <w:szCs w:val="24"/>
        <w:u w:val="none" w:color="000000"/>
        <w:shd w:fill="auto" w:val="clear"/>
        <w:vertAlign w:val="baseline"/>
      </w:rPr>
    </w:lvl>
    <w:lvl w:ilvl="4">
      <w:start w:val="1"/>
      <w:numFmt w:val="bullet"/>
      <w:lvlText w:val="o"/>
      <w:lvlJc w:val="left"/>
      <w:pPr>
        <w:tabs>
          <w:tab w:val="num" w:pos="0"/>
        </w:tabs>
        <w:ind w:left="3240" w:hanging="0"/>
      </w:pPr>
      <w:rPr>
        <w:rFonts w:ascii="Calibri" w:hAnsi="Calibri" w:cs="Calibri" w:hint="default"/>
        <w:b w:val="false"/>
        <w:i w:val="false"/>
        <w:strike w:val="false"/>
        <w:dstrike w:val="false"/>
        <w:color w:val="000000"/>
        <w:position w:val="0"/>
        <w:sz w:val="24"/>
        <w:szCs w:val="24"/>
        <w:u w:val="none" w:color="000000"/>
        <w:shd w:fill="auto" w:val="clear"/>
        <w:vertAlign w:val="baseline"/>
      </w:rPr>
    </w:lvl>
    <w:lvl w:ilvl="5">
      <w:start w:val="1"/>
      <w:numFmt w:val="bullet"/>
      <w:lvlText w:val="▪"/>
      <w:lvlJc w:val="left"/>
      <w:pPr>
        <w:tabs>
          <w:tab w:val="num" w:pos="0"/>
        </w:tabs>
        <w:ind w:left="3960" w:hanging="0"/>
      </w:pPr>
      <w:rPr>
        <w:rFonts w:ascii="Calibri" w:hAnsi="Calibri" w:cs="Calibri" w:hint="default"/>
        <w:b w:val="false"/>
        <w:i w:val="false"/>
        <w:strike w:val="false"/>
        <w:dstrike w:val="false"/>
        <w:color w:val="000000"/>
        <w:position w:val="0"/>
        <w:sz w:val="24"/>
        <w:szCs w:val="24"/>
        <w:u w:val="none" w:color="000000"/>
        <w:shd w:fill="auto" w:val="clear"/>
        <w:vertAlign w:val="baseline"/>
      </w:rPr>
    </w:lvl>
    <w:lvl w:ilvl="6">
      <w:start w:val="1"/>
      <w:numFmt w:val="bullet"/>
      <w:lvlText w:val="•"/>
      <w:lvlJc w:val="left"/>
      <w:pPr>
        <w:tabs>
          <w:tab w:val="num" w:pos="0"/>
        </w:tabs>
        <w:ind w:left="4680" w:hanging="0"/>
      </w:pPr>
      <w:rPr>
        <w:rFonts w:ascii="Calibri" w:hAnsi="Calibri" w:cs="Calibri" w:hint="default"/>
        <w:b w:val="false"/>
        <w:i w:val="false"/>
        <w:strike w:val="false"/>
        <w:dstrike w:val="false"/>
        <w:color w:val="000000"/>
        <w:position w:val="0"/>
        <w:sz w:val="24"/>
        <w:szCs w:val="24"/>
        <w:u w:val="none" w:color="000000"/>
        <w:shd w:fill="auto" w:val="clear"/>
        <w:vertAlign w:val="baseline"/>
      </w:rPr>
    </w:lvl>
    <w:lvl w:ilvl="7">
      <w:start w:val="1"/>
      <w:numFmt w:val="bullet"/>
      <w:lvlText w:val="o"/>
      <w:lvlJc w:val="left"/>
      <w:pPr>
        <w:tabs>
          <w:tab w:val="num" w:pos="0"/>
        </w:tabs>
        <w:ind w:left="5400" w:hanging="0"/>
      </w:pPr>
      <w:rPr>
        <w:rFonts w:ascii="Calibri" w:hAnsi="Calibri" w:cs="Calibri" w:hint="default"/>
        <w:b w:val="false"/>
        <w:i w:val="false"/>
        <w:strike w:val="false"/>
        <w:dstrike w:val="false"/>
        <w:color w:val="000000"/>
        <w:position w:val="0"/>
        <w:sz w:val="24"/>
        <w:szCs w:val="24"/>
        <w:u w:val="none" w:color="000000"/>
        <w:shd w:fill="auto" w:val="clear"/>
        <w:vertAlign w:val="baseline"/>
      </w:rPr>
    </w:lvl>
    <w:lvl w:ilvl="8">
      <w:start w:val="1"/>
      <w:numFmt w:val="bullet"/>
      <w:lvlText w:val="▪"/>
      <w:lvlJc w:val="left"/>
      <w:pPr>
        <w:tabs>
          <w:tab w:val="num" w:pos="0"/>
        </w:tabs>
        <w:ind w:left="6120" w:hanging="0"/>
      </w:pPr>
      <w:rPr>
        <w:rFonts w:ascii="Calibri" w:hAnsi="Calibri" w:cs="Calibri" w:hint="default"/>
        <w:b w:val="false"/>
        <w:i w:val="false"/>
        <w:strike w:val="false"/>
        <w:dstrike w:val="false"/>
        <w:color w:val="000000"/>
        <w:position w:val="0"/>
        <w:sz w:val="24"/>
        <w:szCs w:val="24"/>
        <w:u w:val="none" w:color="000000"/>
        <w:shd w:fill="auto" w:val="clear"/>
        <w:vertAlign w:val="baseline"/>
      </w:rPr>
    </w:lvl>
  </w:abstractNum>
  <w:abstractNum w:abstractNumId="2">
    <w:lvl w:ilvl="0">
      <w:start w:val="1"/>
      <w:numFmt w:val="lowerLetter"/>
      <w:lvlText w:val="%1)"/>
      <w:lvlJc w:val="left"/>
      <w:pPr>
        <w:tabs>
          <w:tab w:val="num" w:pos="0"/>
        </w:tabs>
        <w:ind w:left="72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1">
      <w:start w:val="1"/>
      <w:numFmt w:val="lowerLetter"/>
      <w:lvlText w:val="%2"/>
      <w:lvlJc w:val="left"/>
      <w:pPr>
        <w:tabs>
          <w:tab w:val="num" w:pos="0"/>
        </w:tabs>
        <w:ind w:left="144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2">
      <w:start w:val="1"/>
      <w:numFmt w:val="lowerRoman"/>
      <w:lvlText w:val="%3"/>
      <w:lvlJc w:val="left"/>
      <w:pPr>
        <w:tabs>
          <w:tab w:val="num" w:pos="0"/>
        </w:tabs>
        <w:ind w:left="216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3">
      <w:start w:val="1"/>
      <w:numFmt w:val="decimal"/>
      <w:lvlText w:val="%4"/>
      <w:lvlJc w:val="left"/>
      <w:pPr>
        <w:tabs>
          <w:tab w:val="num" w:pos="0"/>
        </w:tabs>
        <w:ind w:left="288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4">
      <w:start w:val="1"/>
      <w:numFmt w:val="lowerLetter"/>
      <w:lvlText w:val="%5"/>
      <w:lvlJc w:val="left"/>
      <w:pPr>
        <w:tabs>
          <w:tab w:val="num" w:pos="0"/>
        </w:tabs>
        <w:ind w:left="360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5">
      <w:start w:val="1"/>
      <w:numFmt w:val="lowerRoman"/>
      <w:lvlText w:val="%6"/>
      <w:lvlJc w:val="left"/>
      <w:pPr>
        <w:tabs>
          <w:tab w:val="num" w:pos="0"/>
        </w:tabs>
        <w:ind w:left="432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6">
      <w:start w:val="1"/>
      <w:numFmt w:val="decimal"/>
      <w:lvlText w:val="%7"/>
      <w:lvlJc w:val="left"/>
      <w:pPr>
        <w:tabs>
          <w:tab w:val="num" w:pos="0"/>
        </w:tabs>
        <w:ind w:left="504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7">
      <w:start w:val="1"/>
      <w:numFmt w:val="lowerLetter"/>
      <w:lvlText w:val="%8"/>
      <w:lvlJc w:val="left"/>
      <w:pPr>
        <w:tabs>
          <w:tab w:val="num" w:pos="0"/>
        </w:tabs>
        <w:ind w:left="576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8">
      <w:start w:val="1"/>
      <w:numFmt w:val="lowerRoman"/>
      <w:lvlText w:val="%9"/>
      <w:lvlJc w:val="left"/>
      <w:pPr>
        <w:tabs>
          <w:tab w:val="num" w:pos="0"/>
        </w:tabs>
        <w:ind w:left="648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abstractNum>
  <w:abstractNum w:abstractNumId="3">
    <w:lvl w:ilvl="0">
      <w:start w:val="1"/>
      <w:numFmt w:val="bullet"/>
      <w:lvlText w:val="•"/>
      <w:lvlJc w:val="left"/>
      <w:pPr>
        <w:tabs>
          <w:tab w:val="num" w:pos="0"/>
        </w:tabs>
        <w:ind w:left="720" w:hanging="0"/>
      </w:pPr>
      <w:rPr>
        <w:rFonts w:ascii="Arial" w:hAnsi="Arial" w:cs="Arial" w:hint="default"/>
        <w:b w:val="false"/>
        <w:i w:val="false"/>
        <w:strike w:val="false"/>
        <w:dstrike w:val="false"/>
        <w:color w:val="000000"/>
        <w:position w:val="0"/>
        <w:sz w:val="24"/>
        <w:szCs w:val="24"/>
        <w:u w:val="none" w:color="000000"/>
        <w:shd w:fill="auto" w:val="clear"/>
        <w:vertAlign w:val="baseline"/>
      </w:rPr>
    </w:lvl>
    <w:lvl w:ilvl="1">
      <w:start w:val="1"/>
      <w:numFmt w:val="bullet"/>
      <w:lvlText w:val="o"/>
      <w:lvlJc w:val="left"/>
      <w:pPr>
        <w:tabs>
          <w:tab w:val="num" w:pos="0"/>
        </w:tabs>
        <w:ind w:left="1440" w:hanging="0"/>
      </w:pPr>
      <w:rPr>
        <w:rFonts w:ascii="Segoe UI Symbol" w:hAnsi="Segoe UI Symbol" w:cs="Segoe UI Symbol" w:hint="default"/>
        <w:b w:val="false"/>
        <w:i w:val="false"/>
        <w:strike w:val="false"/>
        <w:dstrike w:val="false"/>
        <w:color w:val="000000"/>
        <w:position w:val="0"/>
        <w:sz w:val="24"/>
        <w:szCs w:val="24"/>
        <w:u w:val="none" w:color="000000"/>
        <w:shd w:fill="auto" w:val="clear"/>
        <w:vertAlign w:val="baseline"/>
      </w:rPr>
    </w:lvl>
    <w:lvl w:ilvl="2">
      <w:start w:val="1"/>
      <w:numFmt w:val="bullet"/>
      <w:lvlText w:val="▪"/>
      <w:lvlJc w:val="left"/>
      <w:pPr>
        <w:tabs>
          <w:tab w:val="num" w:pos="0"/>
        </w:tabs>
        <w:ind w:left="2160" w:hanging="0"/>
      </w:pPr>
      <w:rPr>
        <w:rFonts w:ascii="Segoe UI Symbol" w:hAnsi="Segoe UI Symbol" w:cs="Segoe UI Symbol" w:hint="default"/>
        <w:b w:val="false"/>
        <w:i w:val="false"/>
        <w:strike w:val="false"/>
        <w:dstrike w:val="false"/>
        <w:color w:val="000000"/>
        <w:position w:val="0"/>
        <w:sz w:val="24"/>
        <w:szCs w:val="24"/>
        <w:u w:val="none" w:color="000000"/>
        <w:shd w:fill="auto" w:val="clear"/>
        <w:vertAlign w:val="baseline"/>
      </w:rPr>
    </w:lvl>
    <w:lvl w:ilvl="3">
      <w:start w:val="1"/>
      <w:numFmt w:val="bullet"/>
      <w:lvlText w:val="•"/>
      <w:lvlJc w:val="left"/>
      <w:pPr>
        <w:tabs>
          <w:tab w:val="num" w:pos="0"/>
        </w:tabs>
        <w:ind w:left="2880" w:hanging="0"/>
      </w:pPr>
      <w:rPr>
        <w:rFonts w:ascii="Arial" w:hAnsi="Arial" w:cs="Arial" w:hint="default"/>
        <w:b w:val="false"/>
        <w:i w:val="false"/>
        <w:strike w:val="false"/>
        <w:dstrike w:val="false"/>
        <w:color w:val="000000"/>
        <w:position w:val="0"/>
        <w:sz w:val="24"/>
        <w:szCs w:val="24"/>
        <w:u w:val="none" w:color="000000"/>
        <w:shd w:fill="auto" w:val="clear"/>
        <w:vertAlign w:val="baseline"/>
      </w:rPr>
    </w:lvl>
    <w:lvl w:ilvl="4">
      <w:start w:val="1"/>
      <w:numFmt w:val="bullet"/>
      <w:lvlText w:val="o"/>
      <w:lvlJc w:val="left"/>
      <w:pPr>
        <w:tabs>
          <w:tab w:val="num" w:pos="0"/>
        </w:tabs>
        <w:ind w:left="3600" w:hanging="0"/>
      </w:pPr>
      <w:rPr>
        <w:rFonts w:ascii="Segoe UI Symbol" w:hAnsi="Segoe UI Symbol" w:cs="Segoe UI Symbol" w:hint="default"/>
        <w:b w:val="false"/>
        <w:i w:val="false"/>
        <w:strike w:val="false"/>
        <w:dstrike w:val="false"/>
        <w:color w:val="000000"/>
        <w:position w:val="0"/>
        <w:sz w:val="24"/>
        <w:szCs w:val="24"/>
        <w:u w:val="none" w:color="000000"/>
        <w:shd w:fill="auto" w:val="clear"/>
        <w:vertAlign w:val="baseline"/>
      </w:rPr>
    </w:lvl>
    <w:lvl w:ilvl="5">
      <w:start w:val="1"/>
      <w:numFmt w:val="bullet"/>
      <w:lvlText w:val="▪"/>
      <w:lvlJc w:val="left"/>
      <w:pPr>
        <w:tabs>
          <w:tab w:val="num" w:pos="0"/>
        </w:tabs>
        <w:ind w:left="4320" w:hanging="0"/>
      </w:pPr>
      <w:rPr>
        <w:rFonts w:ascii="Segoe UI Symbol" w:hAnsi="Segoe UI Symbol" w:cs="Segoe UI Symbol" w:hint="default"/>
        <w:b w:val="false"/>
        <w:i w:val="false"/>
        <w:strike w:val="false"/>
        <w:dstrike w:val="false"/>
        <w:color w:val="000000"/>
        <w:position w:val="0"/>
        <w:sz w:val="24"/>
        <w:szCs w:val="24"/>
        <w:u w:val="none" w:color="000000"/>
        <w:shd w:fill="auto" w:val="clear"/>
        <w:vertAlign w:val="baseline"/>
      </w:rPr>
    </w:lvl>
    <w:lvl w:ilvl="6">
      <w:start w:val="1"/>
      <w:numFmt w:val="bullet"/>
      <w:lvlText w:val="•"/>
      <w:lvlJc w:val="left"/>
      <w:pPr>
        <w:tabs>
          <w:tab w:val="num" w:pos="0"/>
        </w:tabs>
        <w:ind w:left="5040" w:hanging="0"/>
      </w:pPr>
      <w:rPr>
        <w:rFonts w:ascii="Arial" w:hAnsi="Arial" w:cs="Arial" w:hint="default"/>
        <w:b w:val="false"/>
        <w:i w:val="false"/>
        <w:strike w:val="false"/>
        <w:dstrike w:val="false"/>
        <w:color w:val="000000"/>
        <w:position w:val="0"/>
        <w:sz w:val="24"/>
        <w:szCs w:val="24"/>
        <w:u w:val="none" w:color="000000"/>
        <w:shd w:fill="auto" w:val="clear"/>
        <w:vertAlign w:val="baseline"/>
      </w:rPr>
    </w:lvl>
    <w:lvl w:ilvl="7">
      <w:start w:val="1"/>
      <w:numFmt w:val="bullet"/>
      <w:lvlText w:val="o"/>
      <w:lvlJc w:val="left"/>
      <w:pPr>
        <w:tabs>
          <w:tab w:val="num" w:pos="0"/>
        </w:tabs>
        <w:ind w:left="5760" w:hanging="0"/>
      </w:pPr>
      <w:rPr>
        <w:rFonts w:ascii="Segoe UI Symbol" w:hAnsi="Segoe UI Symbol" w:cs="Segoe UI Symbol" w:hint="default"/>
        <w:b w:val="false"/>
        <w:i w:val="false"/>
        <w:strike w:val="false"/>
        <w:dstrike w:val="false"/>
        <w:color w:val="000000"/>
        <w:position w:val="0"/>
        <w:sz w:val="24"/>
        <w:szCs w:val="24"/>
        <w:u w:val="none" w:color="000000"/>
        <w:shd w:fill="auto" w:val="clear"/>
        <w:vertAlign w:val="baseline"/>
      </w:rPr>
    </w:lvl>
    <w:lvl w:ilvl="8">
      <w:start w:val="1"/>
      <w:numFmt w:val="bullet"/>
      <w:lvlText w:val="▪"/>
      <w:lvlJc w:val="left"/>
      <w:pPr>
        <w:tabs>
          <w:tab w:val="num" w:pos="0"/>
        </w:tabs>
        <w:ind w:left="6480" w:hanging="0"/>
      </w:pPr>
      <w:rPr>
        <w:rFonts w:ascii="Segoe UI Symbol" w:hAnsi="Segoe UI Symbol" w:cs="Segoe UI Symbol" w:hint="default"/>
        <w:b w:val="false"/>
        <w:i w:val="false"/>
        <w:strike w:val="false"/>
        <w:dstrike w:val="false"/>
        <w:color w:val="000000"/>
        <w:position w:val="0"/>
        <w:sz w:val="24"/>
        <w:szCs w:val="24"/>
        <w:u w:val="none" w:color="000000"/>
        <w:shd w:fill="auto" w:val="clear"/>
        <w:vertAlign w:val="baseline"/>
      </w:rPr>
    </w:lvl>
  </w:abstractNum>
  <w:abstractNum w:abstractNumId="4">
    <w:lvl w:ilvl="0">
      <w:start w:val="1"/>
      <w:numFmt w:val="lowerLetter"/>
      <w:lvlText w:val="%1)"/>
      <w:lvlJc w:val="left"/>
      <w:pPr>
        <w:tabs>
          <w:tab w:val="num" w:pos="0"/>
        </w:tabs>
        <w:ind w:left="72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1">
      <w:start w:val="1"/>
      <w:numFmt w:val="lowerLetter"/>
      <w:lvlText w:val="%2"/>
      <w:lvlJc w:val="left"/>
      <w:pPr>
        <w:tabs>
          <w:tab w:val="num" w:pos="0"/>
        </w:tabs>
        <w:ind w:left="144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2">
      <w:start w:val="1"/>
      <w:numFmt w:val="lowerRoman"/>
      <w:lvlText w:val="%3"/>
      <w:lvlJc w:val="left"/>
      <w:pPr>
        <w:tabs>
          <w:tab w:val="num" w:pos="0"/>
        </w:tabs>
        <w:ind w:left="216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3">
      <w:start w:val="1"/>
      <w:numFmt w:val="decimal"/>
      <w:lvlText w:val="%4"/>
      <w:lvlJc w:val="left"/>
      <w:pPr>
        <w:tabs>
          <w:tab w:val="num" w:pos="0"/>
        </w:tabs>
        <w:ind w:left="288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4">
      <w:start w:val="1"/>
      <w:numFmt w:val="lowerLetter"/>
      <w:lvlText w:val="%5"/>
      <w:lvlJc w:val="left"/>
      <w:pPr>
        <w:tabs>
          <w:tab w:val="num" w:pos="0"/>
        </w:tabs>
        <w:ind w:left="360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5">
      <w:start w:val="1"/>
      <w:numFmt w:val="lowerRoman"/>
      <w:lvlText w:val="%6"/>
      <w:lvlJc w:val="left"/>
      <w:pPr>
        <w:tabs>
          <w:tab w:val="num" w:pos="0"/>
        </w:tabs>
        <w:ind w:left="432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6">
      <w:start w:val="1"/>
      <w:numFmt w:val="decimal"/>
      <w:lvlText w:val="%7"/>
      <w:lvlJc w:val="left"/>
      <w:pPr>
        <w:tabs>
          <w:tab w:val="num" w:pos="0"/>
        </w:tabs>
        <w:ind w:left="504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7">
      <w:start w:val="1"/>
      <w:numFmt w:val="lowerLetter"/>
      <w:lvlText w:val="%8"/>
      <w:lvlJc w:val="left"/>
      <w:pPr>
        <w:tabs>
          <w:tab w:val="num" w:pos="0"/>
        </w:tabs>
        <w:ind w:left="576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8">
      <w:start w:val="1"/>
      <w:numFmt w:val="lowerRoman"/>
      <w:lvlText w:val="%9"/>
      <w:lvlJc w:val="left"/>
      <w:pPr>
        <w:tabs>
          <w:tab w:val="num" w:pos="0"/>
        </w:tabs>
        <w:ind w:left="648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abstractNum>
  <w:abstractNum w:abstractNumId="5">
    <w:lvl w:ilvl="0">
      <w:start w:val="1"/>
      <w:numFmt w:val="bullet"/>
      <w:lvlText w:val="•"/>
      <w:lvlJc w:val="left"/>
      <w:pPr>
        <w:tabs>
          <w:tab w:val="num" w:pos="0"/>
        </w:tabs>
        <w:ind w:left="1212" w:hanging="0"/>
      </w:pPr>
      <w:rPr>
        <w:rFonts w:ascii="Arial" w:hAnsi="Arial" w:cs="Arial" w:hint="default"/>
        <w:b w:val="false"/>
        <w:i w:val="false"/>
        <w:strike w:val="false"/>
        <w:dstrike w:val="false"/>
        <w:color w:val="000000"/>
        <w:position w:val="0"/>
        <w:sz w:val="24"/>
        <w:szCs w:val="24"/>
        <w:u w:val="none" w:color="000000"/>
        <w:shd w:fill="auto" w:val="clear"/>
        <w:vertAlign w:val="baseline"/>
      </w:rPr>
    </w:lvl>
    <w:lvl w:ilvl="1">
      <w:start w:val="1"/>
      <w:numFmt w:val="bullet"/>
      <w:lvlText w:val="o"/>
      <w:lvlJc w:val="left"/>
      <w:pPr>
        <w:tabs>
          <w:tab w:val="num" w:pos="0"/>
        </w:tabs>
        <w:ind w:left="1932" w:hanging="0"/>
      </w:pPr>
      <w:rPr>
        <w:rFonts w:ascii="Segoe UI Symbol" w:hAnsi="Segoe UI Symbol" w:cs="Segoe UI Symbol" w:hint="default"/>
        <w:b w:val="false"/>
        <w:i w:val="false"/>
        <w:strike w:val="false"/>
        <w:dstrike w:val="false"/>
        <w:color w:val="000000"/>
        <w:position w:val="0"/>
        <w:sz w:val="24"/>
        <w:szCs w:val="24"/>
        <w:u w:val="none" w:color="000000"/>
        <w:shd w:fill="auto" w:val="clear"/>
        <w:vertAlign w:val="baseline"/>
      </w:rPr>
    </w:lvl>
    <w:lvl w:ilvl="2">
      <w:start w:val="1"/>
      <w:numFmt w:val="bullet"/>
      <w:lvlText w:val="▪"/>
      <w:lvlJc w:val="left"/>
      <w:pPr>
        <w:tabs>
          <w:tab w:val="num" w:pos="0"/>
        </w:tabs>
        <w:ind w:left="2652" w:hanging="0"/>
      </w:pPr>
      <w:rPr>
        <w:rFonts w:ascii="Segoe UI Symbol" w:hAnsi="Segoe UI Symbol" w:cs="Segoe UI Symbol" w:hint="default"/>
        <w:b w:val="false"/>
        <w:i w:val="false"/>
        <w:strike w:val="false"/>
        <w:dstrike w:val="false"/>
        <w:color w:val="000000"/>
        <w:position w:val="0"/>
        <w:sz w:val="24"/>
        <w:szCs w:val="24"/>
        <w:u w:val="none" w:color="000000"/>
        <w:shd w:fill="auto" w:val="clear"/>
        <w:vertAlign w:val="baseline"/>
      </w:rPr>
    </w:lvl>
    <w:lvl w:ilvl="3">
      <w:start w:val="1"/>
      <w:numFmt w:val="bullet"/>
      <w:lvlText w:val="•"/>
      <w:lvlJc w:val="left"/>
      <w:pPr>
        <w:tabs>
          <w:tab w:val="num" w:pos="0"/>
        </w:tabs>
        <w:ind w:left="3372" w:hanging="0"/>
      </w:pPr>
      <w:rPr>
        <w:rFonts w:ascii="Arial" w:hAnsi="Arial" w:cs="Arial" w:hint="default"/>
        <w:b w:val="false"/>
        <w:i w:val="false"/>
        <w:strike w:val="false"/>
        <w:dstrike w:val="false"/>
        <w:color w:val="000000"/>
        <w:position w:val="0"/>
        <w:sz w:val="24"/>
        <w:szCs w:val="24"/>
        <w:u w:val="none" w:color="000000"/>
        <w:shd w:fill="auto" w:val="clear"/>
        <w:vertAlign w:val="baseline"/>
      </w:rPr>
    </w:lvl>
    <w:lvl w:ilvl="4">
      <w:start w:val="1"/>
      <w:numFmt w:val="bullet"/>
      <w:lvlText w:val="o"/>
      <w:lvlJc w:val="left"/>
      <w:pPr>
        <w:tabs>
          <w:tab w:val="num" w:pos="0"/>
        </w:tabs>
        <w:ind w:left="4092" w:hanging="0"/>
      </w:pPr>
      <w:rPr>
        <w:rFonts w:ascii="Segoe UI Symbol" w:hAnsi="Segoe UI Symbol" w:cs="Segoe UI Symbol" w:hint="default"/>
        <w:b w:val="false"/>
        <w:i w:val="false"/>
        <w:strike w:val="false"/>
        <w:dstrike w:val="false"/>
        <w:color w:val="000000"/>
        <w:position w:val="0"/>
        <w:sz w:val="24"/>
        <w:szCs w:val="24"/>
        <w:u w:val="none" w:color="000000"/>
        <w:shd w:fill="auto" w:val="clear"/>
        <w:vertAlign w:val="baseline"/>
      </w:rPr>
    </w:lvl>
    <w:lvl w:ilvl="5">
      <w:start w:val="1"/>
      <w:numFmt w:val="bullet"/>
      <w:lvlText w:val="▪"/>
      <w:lvlJc w:val="left"/>
      <w:pPr>
        <w:tabs>
          <w:tab w:val="num" w:pos="0"/>
        </w:tabs>
        <w:ind w:left="4812" w:hanging="0"/>
      </w:pPr>
      <w:rPr>
        <w:rFonts w:ascii="Segoe UI Symbol" w:hAnsi="Segoe UI Symbol" w:cs="Segoe UI Symbol" w:hint="default"/>
        <w:b w:val="false"/>
        <w:i w:val="false"/>
        <w:strike w:val="false"/>
        <w:dstrike w:val="false"/>
        <w:color w:val="000000"/>
        <w:position w:val="0"/>
        <w:sz w:val="24"/>
        <w:szCs w:val="24"/>
        <w:u w:val="none" w:color="000000"/>
        <w:shd w:fill="auto" w:val="clear"/>
        <w:vertAlign w:val="baseline"/>
      </w:rPr>
    </w:lvl>
    <w:lvl w:ilvl="6">
      <w:start w:val="1"/>
      <w:numFmt w:val="bullet"/>
      <w:lvlText w:val="•"/>
      <w:lvlJc w:val="left"/>
      <w:pPr>
        <w:tabs>
          <w:tab w:val="num" w:pos="0"/>
        </w:tabs>
        <w:ind w:left="5532" w:hanging="0"/>
      </w:pPr>
      <w:rPr>
        <w:rFonts w:ascii="Arial" w:hAnsi="Arial" w:cs="Arial" w:hint="default"/>
        <w:b w:val="false"/>
        <w:i w:val="false"/>
        <w:strike w:val="false"/>
        <w:dstrike w:val="false"/>
        <w:color w:val="000000"/>
        <w:position w:val="0"/>
        <w:sz w:val="24"/>
        <w:szCs w:val="24"/>
        <w:u w:val="none" w:color="000000"/>
        <w:shd w:fill="auto" w:val="clear"/>
        <w:vertAlign w:val="baseline"/>
      </w:rPr>
    </w:lvl>
    <w:lvl w:ilvl="7">
      <w:start w:val="1"/>
      <w:numFmt w:val="bullet"/>
      <w:lvlText w:val="o"/>
      <w:lvlJc w:val="left"/>
      <w:pPr>
        <w:tabs>
          <w:tab w:val="num" w:pos="0"/>
        </w:tabs>
        <w:ind w:left="6252" w:hanging="0"/>
      </w:pPr>
      <w:rPr>
        <w:rFonts w:ascii="Segoe UI Symbol" w:hAnsi="Segoe UI Symbol" w:cs="Segoe UI Symbol" w:hint="default"/>
        <w:b w:val="false"/>
        <w:i w:val="false"/>
        <w:strike w:val="false"/>
        <w:dstrike w:val="false"/>
        <w:color w:val="000000"/>
        <w:position w:val="0"/>
        <w:sz w:val="24"/>
        <w:szCs w:val="24"/>
        <w:u w:val="none" w:color="000000"/>
        <w:shd w:fill="auto" w:val="clear"/>
        <w:vertAlign w:val="baseline"/>
      </w:rPr>
    </w:lvl>
    <w:lvl w:ilvl="8">
      <w:start w:val="1"/>
      <w:numFmt w:val="bullet"/>
      <w:lvlText w:val="▪"/>
      <w:lvlJc w:val="left"/>
      <w:pPr>
        <w:tabs>
          <w:tab w:val="num" w:pos="0"/>
        </w:tabs>
        <w:ind w:left="6972" w:hanging="0"/>
      </w:pPr>
      <w:rPr>
        <w:rFonts w:ascii="Segoe UI Symbol" w:hAnsi="Segoe UI Symbol" w:cs="Segoe UI Symbol" w:hint="default"/>
        <w:b w:val="false"/>
        <w:i w:val="false"/>
        <w:strike w:val="false"/>
        <w:dstrike w:val="false"/>
        <w:color w:val="000000"/>
        <w:position w:val="0"/>
        <w:sz w:val="24"/>
        <w:szCs w:val="24"/>
        <w:u w:val="none" w:color="000000"/>
        <w:shd w:fill="auto" w:val="clear"/>
        <w:vertAlign w:val="baseline"/>
      </w:rPr>
    </w:lvl>
  </w:abstractNum>
  <w:abstractNum w:abstractNumId="6">
    <w:lvl w:ilvl="0">
      <w:start w:val="1"/>
      <w:numFmt w:val="lowerLetter"/>
      <w:lvlText w:val="%1)"/>
      <w:lvlJc w:val="left"/>
      <w:pPr>
        <w:tabs>
          <w:tab w:val="num" w:pos="0"/>
        </w:tabs>
        <w:ind w:left="72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1">
      <w:start w:val="1"/>
      <w:numFmt w:val="lowerLetter"/>
      <w:lvlText w:val="%2"/>
      <w:lvlJc w:val="left"/>
      <w:pPr>
        <w:tabs>
          <w:tab w:val="num" w:pos="0"/>
        </w:tabs>
        <w:ind w:left="144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2">
      <w:start w:val="1"/>
      <w:numFmt w:val="lowerRoman"/>
      <w:lvlText w:val="%3"/>
      <w:lvlJc w:val="left"/>
      <w:pPr>
        <w:tabs>
          <w:tab w:val="num" w:pos="0"/>
        </w:tabs>
        <w:ind w:left="216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3">
      <w:start w:val="1"/>
      <w:numFmt w:val="decimal"/>
      <w:lvlText w:val="%4"/>
      <w:lvlJc w:val="left"/>
      <w:pPr>
        <w:tabs>
          <w:tab w:val="num" w:pos="0"/>
        </w:tabs>
        <w:ind w:left="288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4">
      <w:start w:val="1"/>
      <w:numFmt w:val="lowerLetter"/>
      <w:lvlText w:val="%5"/>
      <w:lvlJc w:val="left"/>
      <w:pPr>
        <w:tabs>
          <w:tab w:val="num" w:pos="0"/>
        </w:tabs>
        <w:ind w:left="360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5">
      <w:start w:val="1"/>
      <w:numFmt w:val="lowerRoman"/>
      <w:lvlText w:val="%6"/>
      <w:lvlJc w:val="left"/>
      <w:pPr>
        <w:tabs>
          <w:tab w:val="num" w:pos="0"/>
        </w:tabs>
        <w:ind w:left="432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6">
      <w:start w:val="1"/>
      <w:numFmt w:val="decimal"/>
      <w:lvlText w:val="%7"/>
      <w:lvlJc w:val="left"/>
      <w:pPr>
        <w:tabs>
          <w:tab w:val="num" w:pos="0"/>
        </w:tabs>
        <w:ind w:left="504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7">
      <w:start w:val="1"/>
      <w:numFmt w:val="lowerLetter"/>
      <w:lvlText w:val="%8"/>
      <w:lvlJc w:val="left"/>
      <w:pPr>
        <w:tabs>
          <w:tab w:val="num" w:pos="0"/>
        </w:tabs>
        <w:ind w:left="576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8">
      <w:start w:val="1"/>
      <w:numFmt w:val="lowerRoman"/>
      <w:lvlText w:val="%9"/>
      <w:lvlJc w:val="left"/>
      <w:pPr>
        <w:tabs>
          <w:tab w:val="num" w:pos="0"/>
        </w:tabs>
        <w:ind w:left="648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abstractNum>
  <w:abstractNum w:abstractNumId="7">
    <w:lvl w:ilvl="0">
      <w:start w:val="1"/>
      <w:numFmt w:val="decimal"/>
      <w:lvlText w:val="%1."/>
      <w:lvlJc w:val="left"/>
      <w:pPr>
        <w:tabs>
          <w:tab w:val="num" w:pos="0"/>
        </w:tabs>
        <w:ind w:left="108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1">
      <w:start w:val="1"/>
      <w:numFmt w:val="lowerLetter"/>
      <w:lvlText w:val="%2"/>
      <w:lvlJc w:val="left"/>
      <w:pPr>
        <w:tabs>
          <w:tab w:val="num" w:pos="0"/>
        </w:tabs>
        <w:ind w:left="180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2">
      <w:start w:val="1"/>
      <w:numFmt w:val="lowerRoman"/>
      <w:lvlText w:val="%3"/>
      <w:lvlJc w:val="left"/>
      <w:pPr>
        <w:tabs>
          <w:tab w:val="num" w:pos="0"/>
        </w:tabs>
        <w:ind w:left="252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3">
      <w:start w:val="1"/>
      <w:numFmt w:val="decimal"/>
      <w:lvlText w:val="%4"/>
      <w:lvlJc w:val="left"/>
      <w:pPr>
        <w:tabs>
          <w:tab w:val="num" w:pos="0"/>
        </w:tabs>
        <w:ind w:left="324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4">
      <w:start w:val="1"/>
      <w:numFmt w:val="lowerLetter"/>
      <w:lvlText w:val="%5"/>
      <w:lvlJc w:val="left"/>
      <w:pPr>
        <w:tabs>
          <w:tab w:val="num" w:pos="0"/>
        </w:tabs>
        <w:ind w:left="396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5">
      <w:start w:val="1"/>
      <w:numFmt w:val="lowerRoman"/>
      <w:lvlText w:val="%6"/>
      <w:lvlJc w:val="left"/>
      <w:pPr>
        <w:tabs>
          <w:tab w:val="num" w:pos="0"/>
        </w:tabs>
        <w:ind w:left="468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6">
      <w:start w:val="1"/>
      <w:numFmt w:val="decimal"/>
      <w:lvlText w:val="%7"/>
      <w:lvlJc w:val="left"/>
      <w:pPr>
        <w:tabs>
          <w:tab w:val="num" w:pos="0"/>
        </w:tabs>
        <w:ind w:left="540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7">
      <w:start w:val="1"/>
      <w:numFmt w:val="lowerLetter"/>
      <w:lvlText w:val="%8"/>
      <w:lvlJc w:val="left"/>
      <w:pPr>
        <w:tabs>
          <w:tab w:val="num" w:pos="0"/>
        </w:tabs>
        <w:ind w:left="612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8">
      <w:start w:val="1"/>
      <w:numFmt w:val="lowerRoman"/>
      <w:lvlText w:val="%9"/>
      <w:lvlJc w:val="left"/>
      <w:pPr>
        <w:tabs>
          <w:tab w:val="num" w:pos="0"/>
        </w:tabs>
        <w:ind w:left="684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abstractNum>
  <w:abstractNum w:abstractNumId="8">
    <w:lvl w:ilvl="0">
      <w:start w:val="1"/>
      <w:numFmt w:val="lowerLetter"/>
      <w:lvlText w:val="%1)"/>
      <w:lvlJc w:val="left"/>
      <w:pPr>
        <w:tabs>
          <w:tab w:val="num" w:pos="0"/>
        </w:tabs>
        <w:ind w:left="72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1">
      <w:start w:val="1"/>
      <w:numFmt w:val="bullet"/>
      <w:lvlText w:val="-"/>
      <w:lvlJc w:val="left"/>
      <w:pPr>
        <w:tabs>
          <w:tab w:val="num" w:pos="0"/>
        </w:tabs>
        <w:ind w:left="1440" w:hanging="0"/>
      </w:pPr>
      <w:rPr>
        <w:rFonts w:ascii="Calibri" w:hAnsi="Calibri" w:cs="Calibri" w:hint="default"/>
        <w:b w:val="false"/>
        <w:i w:val="false"/>
        <w:strike w:val="false"/>
        <w:dstrike w:val="false"/>
        <w:color w:val="000000"/>
        <w:position w:val="0"/>
        <w:sz w:val="24"/>
        <w:szCs w:val="24"/>
        <w:u w:val="none" w:color="000000"/>
        <w:shd w:fill="auto" w:val="clear"/>
        <w:vertAlign w:val="baseline"/>
      </w:rPr>
    </w:lvl>
    <w:lvl w:ilvl="2">
      <w:start w:val="1"/>
      <w:numFmt w:val="bullet"/>
      <w:lvlText w:val="▪"/>
      <w:lvlJc w:val="left"/>
      <w:pPr>
        <w:tabs>
          <w:tab w:val="num" w:pos="0"/>
        </w:tabs>
        <w:ind w:left="2160" w:hanging="0"/>
      </w:pPr>
      <w:rPr>
        <w:rFonts w:ascii="Calibri" w:hAnsi="Calibri" w:cs="Calibri" w:hint="default"/>
        <w:b w:val="false"/>
        <w:i w:val="false"/>
        <w:strike w:val="false"/>
        <w:dstrike w:val="false"/>
        <w:color w:val="000000"/>
        <w:position w:val="0"/>
        <w:sz w:val="24"/>
        <w:szCs w:val="24"/>
        <w:u w:val="none" w:color="000000"/>
        <w:shd w:fill="auto" w:val="clear"/>
        <w:vertAlign w:val="baseline"/>
      </w:rPr>
    </w:lvl>
    <w:lvl w:ilvl="3">
      <w:start w:val="1"/>
      <w:numFmt w:val="bullet"/>
      <w:lvlText w:val="•"/>
      <w:lvlJc w:val="left"/>
      <w:pPr>
        <w:tabs>
          <w:tab w:val="num" w:pos="0"/>
        </w:tabs>
        <w:ind w:left="2880" w:hanging="0"/>
      </w:pPr>
      <w:rPr>
        <w:rFonts w:ascii="Calibri" w:hAnsi="Calibri" w:cs="Calibri" w:hint="default"/>
        <w:b w:val="false"/>
        <w:i w:val="false"/>
        <w:strike w:val="false"/>
        <w:dstrike w:val="false"/>
        <w:color w:val="000000"/>
        <w:position w:val="0"/>
        <w:sz w:val="24"/>
        <w:szCs w:val="24"/>
        <w:u w:val="none" w:color="000000"/>
        <w:shd w:fill="auto" w:val="clear"/>
        <w:vertAlign w:val="baseline"/>
      </w:rPr>
    </w:lvl>
    <w:lvl w:ilvl="4">
      <w:start w:val="1"/>
      <w:numFmt w:val="bullet"/>
      <w:lvlText w:val="o"/>
      <w:lvlJc w:val="left"/>
      <w:pPr>
        <w:tabs>
          <w:tab w:val="num" w:pos="0"/>
        </w:tabs>
        <w:ind w:left="3600" w:hanging="0"/>
      </w:pPr>
      <w:rPr>
        <w:rFonts w:ascii="Calibri" w:hAnsi="Calibri" w:cs="Calibri" w:hint="default"/>
        <w:b w:val="false"/>
        <w:i w:val="false"/>
        <w:strike w:val="false"/>
        <w:dstrike w:val="false"/>
        <w:color w:val="000000"/>
        <w:position w:val="0"/>
        <w:sz w:val="24"/>
        <w:szCs w:val="24"/>
        <w:u w:val="none" w:color="000000"/>
        <w:shd w:fill="auto" w:val="clear"/>
        <w:vertAlign w:val="baseline"/>
      </w:rPr>
    </w:lvl>
    <w:lvl w:ilvl="5">
      <w:start w:val="1"/>
      <w:numFmt w:val="bullet"/>
      <w:lvlText w:val="▪"/>
      <w:lvlJc w:val="left"/>
      <w:pPr>
        <w:tabs>
          <w:tab w:val="num" w:pos="0"/>
        </w:tabs>
        <w:ind w:left="4320" w:hanging="0"/>
      </w:pPr>
      <w:rPr>
        <w:rFonts w:ascii="Calibri" w:hAnsi="Calibri" w:cs="Calibri" w:hint="default"/>
        <w:b w:val="false"/>
        <w:i w:val="false"/>
        <w:strike w:val="false"/>
        <w:dstrike w:val="false"/>
        <w:color w:val="000000"/>
        <w:position w:val="0"/>
        <w:sz w:val="24"/>
        <w:szCs w:val="24"/>
        <w:u w:val="none" w:color="000000"/>
        <w:shd w:fill="auto" w:val="clear"/>
        <w:vertAlign w:val="baseline"/>
      </w:rPr>
    </w:lvl>
    <w:lvl w:ilvl="6">
      <w:start w:val="1"/>
      <w:numFmt w:val="bullet"/>
      <w:lvlText w:val="•"/>
      <w:lvlJc w:val="left"/>
      <w:pPr>
        <w:tabs>
          <w:tab w:val="num" w:pos="0"/>
        </w:tabs>
        <w:ind w:left="5040" w:hanging="0"/>
      </w:pPr>
      <w:rPr>
        <w:rFonts w:ascii="Calibri" w:hAnsi="Calibri" w:cs="Calibri" w:hint="default"/>
        <w:b w:val="false"/>
        <w:i w:val="false"/>
        <w:strike w:val="false"/>
        <w:dstrike w:val="false"/>
        <w:color w:val="000000"/>
        <w:position w:val="0"/>
        <w:sz w:val="24"/>
        <w:szCs w:val="24"/>
        <w:u w:val="none" w:color="000000"/>
        <w:shd w:fill="auto" w:val="clear"/>
        <w:vertAlign w:val="baseline"/>
      </w:rPr>
    </w:lvl>
    <w:lvl w:ilvl="7">
      <w:start w:val="1"/>
      <w:numFmt w:val="bullet"/>
      <w:lvlText w:val="o"/>
      <w:lvlJc w:val="left"/>
      <w:pPr>
        <w:tabs>
          <w:tab w:val="num" w:pos="0"/>
        </w:tabs>
        <w:ind w:left="5760" w:hanging="0"/>
      </w:pPr>
      <w:rPr>
        <w:rFonts w:ascii="Calibri" w:hAnsi="Calibri" w:cs="Calibri" w:hint="default"/>
        <w:b w:val="false"/>
        <w:i w:val="false"/>
        <w:strike w:val="false"/>
        <w:dstrike w:val="false"/>
        <w:color w:val="000000"/>
        <w:position w:val="0"/>
        <w:sz w:val="24"/>
        <w:szCs w:val="24"/>
        <w:u w:val="none" w:color="000000"/>
        <w:shd w:fill="auto" w:val="clear"/>
        <w:vertAlign w:val="baseline"/>
      </w:rPr>
    </w:lvl>
    <w:lvl w:ilvl="8">
      <w:start w:val="1"/>
      <w:numFmt w:val="bullet"/>
      <w:lvlText w:val="▪"/>
      <w:lvlJc w:val="left"/>
      <w:pPr>
        <w:tabs>
          <w:tab w:val="num" w:pos="0"/>
        </w:tabs>
        <w:ind w:left="6480" w:hanging="0"/>
      </w:pPr>
      <w:rPr>
        <w:rFonts w:ascii="Calibri" w:hAnsi="Calibri" w:cs="Calibri" w:hint="default"/>
        <w:b w:val="false"/>
        <w:i w:val="false"/>
        <w:strike w:val="false"/>
        <w:dstrike w:val="false"/>
        <w:color w:val="000000"/>
        <w:position w:val="0"/>
        <w:sz w:val="24"/>
        <w:szCs w:val="24"/>
        <w:u w:val="none" w:color="000000"/>
        <w:shd w:fill="auto" w:val="clear"/>
        <w:vertAlign w:val="baseline"/>
      </w:rPr>
    </w:lvl>
  </w:abstractNum>
  <w:abstractNum w:abstractNumId="9">
    <w:lvl w:ilvl="0">
      <w:start w:val="1"/>
      <w:numFmt w:val="lowerLetter"/>
      <w:lvlText w:val="%1)"/>
      <w:lvlJc w:val="left"/>
      <w:pPr>
        <w:tabs>
          <w:tab w:val="num" w:pos="0"/>
        </w:tabs>
        <w:ind w:left="72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1">
      <w:start w:val="1"/>
      <w:numFmt w:val="lowerLetter"/>
      <w:lvlText w:val="%2"/>
      <w:lvlJc w:val="left"/>
      <w:pPr>
        <w:tabs>
          <w:tab w:val="num" w:pos="0"/>
        </w:tabs>
        <w:ind w:left="144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2">
      <w:start w:val="1"/>
      <w:numFmt w:val="lowerRoman"/>
      <w:lvlText w:val="%3"/>
      <w:lvlJc w:val="left"/>
      <w:pPr>
        <w:tabs>
          <w:tab w:val="num" w:pos="0"/>
        </w:tabs>
        <w:ind w:left="216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3">
      <w:start w:val="1"/>
      <w:numFmt w:val="decimal"/>
      <w:lvlText w:val="%4"/>
      <w:lvlJc w:val="left"/>
      <w:pPr>
        <w:tabs>
          <w:tab w:val="num" w:pos="0"/>
        </w:tabs>
        <w:ind w:left="288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4">
      <w:start w:val="1"/>
      <w:numFmt w:val="lowerLetter"/>
      <w:lvlText w:val="%5"/>
      <w:lvlJc w:val="left"/>
      <w:pPr>
        <w:tabs>
          <w:tab w:val="num" w:pos="0"/>
        </w:tabs>
        <w:ind w:left="360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5">
      <w:start w:val="1"/>
      <w:numFmt w:val="lowerRoman"/>
      <w:lvlText w:val="%6"/>
      <w:lvlJc w:val="left"/>
      <w:pPr>
        <w:tabs>
          <w:tab w:val="num" w:pos="0"/>
        </w:tabs>
        <w:ind w:left="432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6">
      <w:start w:val="1"/>
      <w:numFmt w:val="decimal"/>
      <w:lvlText w:val="%7"/>
      <w:lvlJc w:val="left"/>
      <w:pPr>
        <w:tabs>
          <w:tab w:val="num" w:pos="0"/>
        </w:tabs>
        <w:ind w:left="504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7">
      <w:start w:val="1"/>
      <w:numFmt w:val="lowerLetter"/>
      <w:lvlText w:val="%8"/>
      <w:lvlJc w:val="left"/>
      <w:pPr>
        <w:tabs>
          <w:tab w:val="num" w:pos="0"/>
        </w:tabs>
        <w:ind w:left="576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lvl w:ilvl="8">
      <w:start w:val="1"/>
      <w:numFmt w:val="lowerRoman"/>
      <w:lvlText w:val="%9"/>
      <w:lvlJc w:val="left"/>
      <w:pPr>
        <w:tabs>
          <w:tab w:val="num" w:pos="0"/>
        </w:tabs>
        <w:ind w:left="6480" w:hanging="0"/>
      </w:pPr>
      <w:rPr>
        <w:rFonts w:ascii="Calibri" w:hAnsi="Calibri" w:eastAsia="Calibri" w:cs="Calibri"/>
        <w:b w:val="false"/>
        <w:i w:val="false"/>
        <w:strike w:val="false"/>
        <w:dstrike w:val="false"/>
        <w:color w:val="000000"/>
        <w:position w:val="0"/>
        <w:sz w:val="24"/>
        <w:szCs w:val="24"/>
        <w:u w:val="none" w:color="000000"/>
        <w:shd w:fill="auto" w:val="clear"/>
        <w:vertAlign w:val="baseline"/>
      </w:rPr>
    </w:lvl>
  </w:abstractNum>
  <w:abstractNum w:abstractNumId="1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es-ES" w:eastAsia="es-E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47" w:before="0" w:after="105"/>
      <w:ind w:hanging="10" w:left="10" w:right="15"/>
      <w:jc w:val="both"/>
    </w:pPr>
    <w:rPr>
      <w:rFonts w:ascii="Calibri" w:hAnsi="Calibri" w:eastAsia="Calibri" w:cs="Calibri"/>
      <w:color w:val="000000"/>
      <w:kern w:val="0"/>
      <w:sz w:val="24"/>
      <w:szCs w:val="22"/>
      <w:lang w:val="es-ES" w:eastAsia="es-ES" w:bidi="ar-SA"/>
    </w:rPr>
  </w:style>
  <w:style w:type="paragraph" w:styleId="Heading1">
    <w:name w:val="heading 1"/>
    <w:next w:val="Normal"/>
    <w:link w:val="Ttulo1Car"/>
    <w:uiPriority w:val="9"/>
    <w:qFormat/>
    <w:pPr>
      <w:keepNext w:val="true"/>
      <w:keepLines/>
      <w:widowControl/>
      <w:suppressAutoHyphens w:val="true"/>
      <w:bidi w:val="0"/>
      <w:spacing w:lineRule="auto" w:line="247" w:before="0" w:after="105"/>
      <w:ind w:hanging="10" w:left="10"/>
      <w:jc w:val="left"/>
      <w:outlineLvl w:val="0"/>
    </w:pPr>
    <w:rPr>
      <w:rFonts w:ascii="Calibri" w:hAnsi="Calibri" w:eastAsia="Calibri" w:cs="Calibri"/>
      <w:b/>
      <w:color w:val="000000"/>
      <w:kern w:val="0"/>
      <w:sz w:val="24"/>
      <w:szCs w:val="22"/>
      <w:lang w:val="es-ES" w:eastAsia="es-ES" w:bidi="ar-SA"/>
    </w:rPr>
  </w:style>
  <w:style w:type="paragraph" w:styleId="Heading2">
    <w:name w:val="heading 2"/>
    <w:next w:val="Normal"/>
    <w:link w:val="Ttulo2Car"/>
    <w:uiPriority w:val="9"/>
    <w:unhideWhenUsed/>
    <w:qFormat/>
    <w:pPr>
      <w:keepNext w:val="true"/>
      <w:keepLines/>
      <w:widowControl/>
      <w:suppressAutoHyphens w:val="true"/>
      <w:bidi w:val="0"/>
      <w:spacing w:lineRule="auto" w:line="247" w:before="0" w:after="105"/>
      <w:ind w:hanging="10" w:left="10"/>
      <w:jc w:val="left"/>
      <w:outlineLvl w:val="1"/>
    </w:pPr>
    <w:rPr>
      <w:rFonts w:ascii="Calibri" w:hAnsi="Calibri" w:eastAsia="Calibri" w:cs="Calibri"/>
      <w:b/>
      <w:color w:val="000000"/>
      <w:kern w:val="0"/>
      <w:sz w:val="24"/>
      <w:szCs w:val="22"/>
      <w:lang w:val="es-ES" w:eastAsia="es-ES" w:bidi="ar-SA"/>
    </w:rPr>
  </w:style>
  <w:style w:type="character" w:styleId="DefaultParagraphFont" w:default="1">
    <w:name w:val="Default Paragraph Font"/>
    <w:uiPriority w:val="1"/>
    <w:semiHidden/>
    <w:unhideWhenUsed/>
    <w:qFormat/>
    <w:rPr/>
  </w:style>
  <w:style w:type="character" w:styleId="Ttulo1Car" w:customStyle="1">
    <w:name w:val="Título 1 Car"/>
    <w:qFormat/>
    <w:rPr>
      <w:rFonts w:ascii="Calibri" w:hAnsi="Calibri" w:eastAsia="Calibri" w:cs="Calibri"/>
      <w:b/>
      <w:color w:val="000000"/>
      <w:sz w:val="24"/>
    </w:rPr>
  </w:style>
  <w:style w:type="character" w:styleId="Ttulo2Car" w:customStyle="1">
    <w:name w:val="Título 2 Car"/>
    <w:qFormat/>
    <w:rPr>
      <w:rFonts w:ascii="Calibri" w:hAnsi="Calibri" w:eastAsia="Calibri" w:cs="Calibri"/>
      <w:b/>
      <w:color w:val="000000"/>
      <w:sz w:val="24"/>
    </w:rPr>
  </w:style>
  <w:style w:type="character" w:styleId="TextodegloboCar" w:customStyle="1">
    <w:name w:val="Texto de globo Car"/>
    <w:basedOn w:val="DefaultParagraphFont"/>
    <w:link w:val="BalloonText"/>
    <w:uiPriority w:val="99"/>
    <w:semiHidden/>
    <w:qFormat/>
    <w:rsid w:val="00da3891"/>
    <w:rPr>
      <w:rFonts w:ascii="Tahoma" w:hAnsi="Tahoma" w:eastAsia="Calibri" w:cs="Tahoma"/>
      <w:color w:val="000000"/>
      <w:sz w:val="16"/>
      <w:szCs w:val="16"/>
    </w:rPr>
  </w:style>
  <w:style w:type="character" w:styleId="Hyperlink">
    <w:name w:val="Hyperlink"/>
    <w:rPr>
      <w:color w:val="000080"/>
      <w:u w:val="single"/>
    </w:rPr>
  </w:style>
  <w:style w:type="character" w:styleId="Bolosuser" w:customStyle="1">
    <w:name w:val="Bolos (user)"/>
    <w:qFormat/>
    <w:rPr>
      <w:rFonts w:ascii="OpenSymbol" w:hAnsi="OpenSymbol" w:eastAsia="OpenSymbol" w:cs="OpenSymbol"/>
    </w:rPr>
  </w:style>
  <w:style w:type="character" w:styleId="Smbolosdenumeracinuser" w:customStyle="1">
    <w:name w:val="Símbolos de numeración (user)"/>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Cs w:val="24"/>
    </w:rPr>
  </w:style>
  <w:style w:type="paragraph" w:styleId="ndice">
    <w:name w:val="Índice"/>
    <w:basedOn w:val="Normal"/>
    <w:qFormat/>
    <w:pPr>
      <w:suppressLineNumbers/>
    </w:pPr>
    <w:rPr>
      <w:rFonts w:cs="Lucida Sans"/>
    </w:rPr>
  </w:style>
  <w:style w:type="paragraph" w:styleId="Title">
    <w:name w:val="Title"/>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customStyle="1">
    <w:name w:val="Índice (user)"/>
    <w:basedOn w:val="Normal"/>
    <w:qFormat/>
    <w:pPr>
      <w:suppressLineNumbers/>
    </w:pPr>
    <w:rPr>
      <w:rFonts w:cs="Lucida Sans"/>
    </w:rPr>
  </w:style>
  <w:style w:type="paragraph" w:styleId="BalloonText">
    <w:name w:val="Balloon Text"/>
    <w:basedOn w:val="Normal"/>
    <w:link w:val="TextodegloboCar"/>
    <w:uiPriority w:val="99"/>
    <w:semiHidden/>
    <w:unhideWhenUsed/>
    <w:qFormat/>
    <w:rsid w:val="00da3891"/>
    <w:pPr>
      <w:spacing w:lineRule="auto" w:line="240" w:before="0" w:after="0"/>
    </w:pPr>
    <w:rPr>
      <w:rFonts w:ascii="Tahoma" w:hAnsi="Tahoma" w:cs="Tahoma"/>
      <w:sz w:val="16"/>
      <w:szCs w:val="16"/>
    </w:rPr>
  </w:style>
  <w:style w:type="paragraph" w:styleId="Contenidodelmarcouser" w:customStyle="1">
    <w:name w:val="Contenido del marco (user)"/>
    <w:basedOn w:val="Normal"/>
    <w:qFormat/>
    <w:pPr/>
    <w:rPr/>
  </w:style>
  <w:style w:type="paragraph" w:styleId="Cabeceraypieuser" w:customStyle="1">
    <w:name w:val="Cabecera y pie (user)"/>
    <w:basedOn w:val="Normal"/>
    <w:qFormat/>
    <w:pPr/>
    <w:rPr/>
  </w:style>
  <w:style w:type="paragraph" w:styleId="Cabeceraypie">
    <w:name w:val="Cabecera y pie"/>
    <w:basedOn w:val="Normal"/>
    <w:qFormat/>
    <w:pPr/>
    <w:rPr/>
  </w:style>
  <w:style w:type="paragraph" w:styleId="Header">
    <w:name w:val="header"/>
    <w:basedOn w:val="Cabeceraypieuser"/>
    <w:pPr/>
    <w:rPr/>
  </w:style>
  <w:style w:type="paragraph" w:styleId="Footer">
    <w:name w:val="footer"/>
    <w:basedOn w:val="Cabeceraypieuser"/>
    <w:pPr/>
    <w:rPr/>
  </w:style>
  <w:style w:type="paragraph" w:styleId="ListParagraph">
    <w:name w:val="List Paragraph"/>
    <w:basedOn w:val="Normal"/>
    <w:uiPriority w:val="34"/>
    <w:qFormat/>
    <w:rsid w:val="00a600fb"/>
    <w:pPr>
      <w:spacing w:before="0" w:after="105"/>
      <w:ind w:left="720"/>
      <w:contextualSpacing/>
    </w:pPr>
    <w:rPr/>
  </w:style>
  <w:style w:type="numbering" w:styleId="Ningunalista" w:default="1">
    <w:name w:val="Ninguna lista"/>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customStyle="1" w:styleId="TableGrid">
    <w:name w:val="TableGrid"/>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ansadurnino.gal/"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501</TotalTime>
  <Application>LibreOffice/26.2.5.2$Windows_X86_64 LibreOffice_project/cd7284b4cbbfeb507e630c1aac019f4157393acb</Application>
  <AppVersion>15.0000</AppVersion>
  <Pages>2</Pages>
  <Words>3476</Words>
  <Characters>19843</Characters>
  <CharactersWithSpaces>23137</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2023-05-02T09:07:00Z</dcterms:created>
  <dc:creator>Monica</dc:creator>
  <dc:description/>
  <dc:language>es-ES</dc:language>
  <cp:lastModifiedBy>Olalla Alvarez</cp:lastModifiedBy>
  <cp:lastPrinted>2024-10-22T13:06:00Z</cp:lastPrinted>
  <dcterms:modified xsi:type="dcterms:W3CDTF">2026-08-26T07:30:00Z</dcterms:modified>
  <cp:revision>37</cp:revision>
  <dc:subject/>
  <dc:title>Aprobación definitiva Ordenanza fiscal reguladora da taxa pola prestación do servizo de limpeza de parcelas, solares e edificacións</dc:title>
</cp:coreProperties>
</file>

<file path=docProps/custom.xml><?xml version="1.0" encoding="utf-8"?>
<Properties xmlns="http://schemas.openxmlformats.org/officeDocument/2006/custom-properties" xmlns:vt="http://schemas.openxmlformats.org/officeDocument/2006/docPropsVTypes"/>
</file>