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b/>
          <w:sz w:val="28"/>
        </w:rPr>
        <w:t>ANEXO I. ESPECIFICACIONES TÉCNICAS DE LAS ACTUACIONES SUBVENCIONABLES</w:t>
      </w:r>
    </w:p>
    <w:p>
      <w:pPr>
        <w:pStyle w:val="Normal"/>
        <w:spacing w:before="0" w:after="240"/>
        <w:jc w:val="center"/>
        <w:rPr/>
      </w:pPr>
      <w:r>
        <w:rPr>
          <w:b/>
          <w:sz w:val="20"/>
        </w:rPr>
        <w:t>CONVOCATORIA DE SUBVENCIONES PARA EL FOMENTO Y RECUPERACIÓN DE ESPECIES CINEGÉTICAS DE CAZA MENOR EN COTOS SOCIALES DE LA PROVINCIA DE CÁCERES</w:t>
      </w:r>
    </w:p>
    <w:p>
      <w:pPr>
        <w:pStyle w:val="Ttulo1"/>
        <w:jc w:val="left"/>
        <w:rPr/>
      </w:pPr>
      <w:r>
        <w:rPr/>
        <w:t>1. OBJETO DEL ANEXO</w:t>
      </w:r>
    </w:p>
    <w:p>
      <w:pPr>
        <w:pStyle w:val="Normal"/>
        <w:rPr/>
      </w:pPr>
      <w:r>
        <w:rPr/>
        <w:t>El presente anexo tiene por objeto establecer las condiciones técnicas mínimas que deberán cumplir las actuaciones subvencionables previstas en la convocatoria de subvenciones para el fomento y recuperación de especies cinegéticas de caza menor en cotos sociales de la provincia de Cáceres.</w:t>
      </w:r>
    </w:p>
    <w:p>
      <w:pPr>
        <w:pStyle w:val="Normal"/>
        <w:rPr/>
      </w:pPr>
      <w:r>
        <w:rPr/>
        <w:t>Las especificaciones contenidas en este anexo tendrán carácter vinculante para las entidades solicitantes y beneficiarias, tanto en la fase de solicitud como en la fase de ejecución, justificación y control de la subvención.</w:t>
      </w:r>
    </w:p>
    <w:p>
      <w:pPr>
        <w:pStyle w:val="Normal"/>
        <w:rPr/>
      </w:pPr>
      <w:r>
        <w:rPr/>
        <w:t>Las actuaciones deberán orientarse a la mejora del hábitat, al incremento de los recursos alimenticios e hídricos, a la creación de refugios, a la mejora de las condiciones de reproducción y supervivencia de las especies cinegéticas de caza menor y, en su caso, al reforzamiento poblacional debidamente autorizado.</w:t>
      </w:r>
    </w:p>
    <w:p>
      <w:pPr>
        <w:pStyle w:val="Ttulo1"/>
        <w:jc w:val="left"/>
        <w:rPr/>
      </w:pPr>
      <w:r>
        <w:rPr/>
        <w:t>2. CONDICIONES GENERALES APLICABLES A TODAS LAS ACTUACIONES</w:t>
      </w:r>
    </w:p>
    <w:p>
      <w:pPr>
        <w:pStyle w:val="Normal"/>
        <w:rPr/>
      </w:pPr>
      <w:r>
        <w:rPr/>
        <w:t>Todas las actuaciones subvencionables deberán cumplir las siguientes condiciones generales:</w:t>
      </w:r>
    </w:p>
    <w:p>
      <w:pPr>
        <w:pStyle w:val="Normal"/>
        <w:spacing w:before="0" w:after="60"/>
        <w:ind w:left="397" w:hanging="255"/>
        <w:rPr/>
      </w:pPr>
      <w:r>
        <w:rPr/>
        <w:t>a) Deberán ejecutarse dentro del ámbito territorial de la provincia de Cáceres y en el coto social indicado en la solicitud.</w:t>
      </w:r>
    </w:p>
    <w:p>
      <w:pPr>
        <w:pStyle w:val="Normal"/>
        <w:spacing w:before="0" w:after="60"/>
        <w:ind w:left="397" w:hanging="255"/>
        <w:rPr>
          <w:strike/>
        </w:rPr>
      </w:pPr>
      <w:r>
        <w:rPr/>
        <w:t xml:space="preserve">b) Deberán resultar compatibles con el plan técnico de caza. </w:t>
      </w:r>
    </w:p>
    <w:p>
      <w:pPr>
        <w:pStyle w:val="Normal"/>
        <w:spacing w:before="0" w:after="60"/>
        <w:ind w:left="397" w:hanging="255"/>
        <w:rPr/>
      </w:pPr>
      <w:r>
        <w:rPr/>
        <w:t>c) Deberán respetar la normativa aplicable en materia cinegética, ambiental, sanitaria, forestal, agrícola, de aguas, de conservación de la biodiversidad, de protección de espacios naturales, de bienestar animal y cualquier otra que resulte exigible.</w:t>
      </w:r>
    </w:p>
    <w:p>
      <w:pPr>
        <w:pStyle w:val="Normal"/>
        <w:spacing w:before="0" w:after="60"/>
        <w:ind w:left="397" w:hanging="255"/>
        <w:rPr/>
      </w:pPr>
      <w:r>
        <w:rPr/>
        <w:t>d) Cuando la actuación requiera autorización, informe, comunicación previa o permiso administrativo, la entidad beneficiaria deberá obtenerlo con carácter previo a su ejecución.</w:t>
      </w:r>
    </w:p>
    <w:p>
      <w:pPr>
        <w:pStyle w:val="Normal"/>
        <w:spacing w:before="0" w:after="60"/>
        <w:ind w:left="397" w:hanging="255"/>
        <w:rPr/>
      </w:pPr>
      <w:r>
        <w:rPr/>
        <w:t>e) En caso de actuaciones en espacios incluidos en Red Natura 2000, espacios naturales protegidos, zonas de dominio público hidráulico, montes catalogados, vías pecuarias u otros ámbitos sujetos a protección o limitación administrativa, deberán recabarse las autorizaciones, informes o conformidades que resulten preceptivos.</w:t>
      </w:r>
    </w:p>
    <w:p>
      <w:pPr>
        <w:pStyle w:val="Normal"/>
        <w:spacing w:before="0" w:after="60"/>
        <w:ind w:left="397" w:hanging="255"/>
        <w:rPr/>
      </w:pPr>
      <w:r>
        <w:rPr/>
        <w:t>f) Las actuaciones deberán localizarse preferentemente en zonas con potencial para la recuperación de especies cinegéticas de caza menor, evitando emplazamientos que puedan generar impactos negativos sobre hábitats naturales, especies protegidas, cauces, zonas húmedas, patrimonio cultural, infraestructuras públicas o terceros.</w:t>
      </w:r>
    </w:p>
    <w:p>
      <w:pPr>
        <w:pStyle w:val="Normal"/>
        <w:spacing w:before="0" w:after="60"/>
        <w:ind w:left="397" w:hanging="255"/>
        <w:rPr/>
      </w:pPr>
      <w:r>
        <w:rPr/>
        <w:t>g) No serán subvencionables actuaciones que supongan transformación negativa del hábitat, eliminación injustificada de vegetación natural de interés, afección a especies protegidas, introducción de especies exóticas o invasoras, o alteración no autorizada de terrenos sujetos a protección.</w:t>
      </w:r>
    </w:p>
    <w:p>
      <w:pPr>
        <w:pStyle w:val="Normal"/>
        <w:spacing w:before="0" w:after="60"/>
        <w:ind w:left="397" w:hanging="255"/>
        <w:rPr/>
      </w:pPr>
      <w:r>
        <w:rPr/>
        <w:t>h) Todas las actuaciones deberán quedar georreferenciadas y representadas gráficamente mediante plano basado en SIGPAC, cartografía catastral, cartografía oficial o sistema equivalente.</w:t>
      </w:r>
    </w:p>
    <w:p>
      <w:pPr>
        <w:pStyle w:val="Normal"/>
        <w:spacing w:before="0" w:after="60"/>
        <w:ind w:left="397" w:hanging="255"/>
        <w:rPr/>
      </w:pPr>
      <w:r>
        <w:rPr/>
        <w:t>i) La entidad beneficiaria deberá conservar documentación gráfica y fotográfica suficiente para acreditar el estado inicial y final de la zona de actuación.</w:t>
      </w:r>
    </w:p>
    <w:p>
      <w:pPr>
        <w:pStyle w:val="Normal"/>
        <w:spacing w:before="0" w:after="60"/>
        <w:ind w:left="397" w:hanging="255"/>
        <w:rPr/>
      </w:pPr>
      <w:r>
        <w:rPr/>
        <w:t>j) Las actuaciones deberán mantenerse en adecuado estado de uso y funcionalidad durante el periodo mínimo establecido en las bases, salvo aquellas que, por su naturaleza estacional o temporal, no puedan mantenerse durante dicho periodo, como las siembras o cultivos no productivos.</w:t>
      </w:r>
    </w:p>
    <w:p>
      <w:pPr>
        <w:pStyle w:val="Normal"/>
        <w:spacing w:before="0" w:after="60"/>
        <w:ind w:left="397" w:hanging="255"/>
        <w:rPr/>
      </w:pPr>
      <w:r>
        <w:rPr/>
        <w:t>k) La ejecución de las actuaciones deberá realizarse con criterios de sostenibilidad, evitando el uso innecesario de productos fitosanitarios, fertilizantes, herbicidas o materiales que puedan generar afecciones ambientales.</w:t>
      </w:r>
    </w:p>
    <w:p>
      <w:pPr>
        <w:pStyle w:val="Normal"/>
        <w:spacing w:before="0" w:after="60"/>
        <w:ind w:left="397" w:hanging="255"/>
        <w:rPr/>
      </w:pPr>
      <w:r>
        <w:rPr/>
        <w:t>l) Los materiales empleados deberán ser adecuados a la finalidad de la actuación, resistentes, seguros para la fauna y compatibles con el medio natural.</w:t>
      </w:r>
    </w:p>
    <w:p>
      <w:pPr>
        <w:pStyle w:val="Normal"/>
        <w:spacing w:before="0" w:after="60"/>
        <w:ind w:left="397" w:hanging="255"/>
        <w:rPr/>
      </w:pPr>
      <w:r>
        <w:rPr/>
        <w:t>m) No se admitirán actuaciones ejecutadas de forma deficiente, incompleta, no funcional o que no respondan a la finalidad para la que fueron concedidas.</w:t>
      </w:r>
    </w:p>
    <w:p>
      <w:pPr>
        <w:pStyle w:val="Normal"/>
        <w:spacing w:before="0" w:after="60"/>
        <w:ind w:left="397" w:hanging="255"/>
        <w:rPr/>
      </w:pPr>
      <w:r>
        <w:rPr/>
        <w:t>n) Cuando las especificaciones contenidas en este anexo tengan carácter orientativo o recomendatorio, el órgano gestor podrá admitir soluciones técnicas equivalentes siempre que quede acreditado que cumplen adecuadamente la finalidad de la actuación subvencionada.</w:t>
      </w:r>
    </w:p>
    <w:p>
      <w:pPr>
        <w:pStyle w:val="Ttulo1"/>
        <w:jc w:val="left"/>
        <w:rPr/>
      </w:pPr>
      <w:r>
        <w:rPr/>
        <w:t>3. UNIDAD DE GESTIÓN Y CRITERIOS DE PROPORCIONALIDAD</w:t>
      </w:r>
    </w:p>
    <w:p>
      <w:pPr>
        <w:pStyle w:val="Normal"/>
        <w:rPr/>
      </w:pPr>
      <w:r>
        <w:rPr/>
        <w:t>A efectos de determinar los límites máximos subvencionables, se toma como referencia una unidad de gestión de 250 hectáreas de superficie de coto.</w:t>
      </w:r>
    </w:p>
    <w:p>
      <w:pPr>
        <w:pStyle w:val="Normal"/>
        <w:rPr/>
      </w:pPr>
      <w:r>
        <w:rPr/>
        <w:t>Cuando la superficie del coto no alcance un múltiplo exacto de 250 hectáreas, el exceso de superficie se computará proporcionalmente respecto de dicha unidad de referencia.</w:t>
      </w:r>
    </w:p>
    <w:p>
      <w:pPr>
        <w:pStyle w:val="Normal"/>
        <w:rPr/>
      </w:pPr>
      <w:r>
        <w:rPr/>
        <w:t>Cuando el cálculo proporcional dé lugar a fracciones de unidades, elementos indivisibles o ejemplares, el resultado se redondeará siempre por defecto.</w:t>
      </w:r>
    </w:p>
    <w:p>
      <w:pPr>
        <w:pStyle w:val="Normal"/>
        <w:rPr/>
      </w:pPr>
      <w:r>
        <w:rPr/>
        <w:t>En ningún caso podrán concederse más actuaciones, elementos, hectáreas o ejemplares que los que correspondan proporcionalmente a la superficie real del coto social objeto de la solicitud.</w:t>
      </w:r>
    </w:p>
    <w:p>
      <w:pPr>
        <w:pStyle w:val="Ttulo1"/>
        <w:jc w:val="left"/>
        <w:rPr/>
      </w:pPr>
      <w:r>
        <w:rPr/>
        <w:t>4. BLOQUE A. RECUPERACIÓN Y MEJORA DE HÁBITATS DE ESPECIES CINEGÉTICAS DE CAZA MENOR</w:t>
      </w:r>
    </w:p>
    <w:p>
      <w:pPr>
        <w:pStyle w:val="Ttulo2"/>
        <w:jc w:val="left"/>
        <w:rPr/>
      </w:pPr>
      <w:r>
        <w:rPr/>
        <w:t>ACTUACIÓN 1. CREACIÓN DE MÁRGENES MULTIFUNCIONALES</w:t>
      </w:r>
    </w:p>
    <w:p>
      <w:pPr>
        <w:pStyle w:val="Ttulo3"/>
        <w:jc w:val="left"/>
        <w:rPr/>
      </w:pPr>
      <w:r>
        <w:rPr/>
        <w:t>1. Finalidad</w:t>
      </w:r>
    </w:p>
    <w:p>
      <w:pPr>
        <w:pStyle w:val="Normal"/>
        <w:rPr>
          <w:strike/>
        </w:rPr>
      </w:pPr>
      <w:r>
        <w:rPr/>
        <w:t xml:space="preserve">La creación de márgenes multifuncionales tiene por finalidad mejorar el hábitat de las especies cinegéticas de caza menor mediante la implantación de bandas de vegetación herbácea y/o arbustiva en márgenes de parcelas o caminos dentro del coto, que actúen como corredores ecológicos y zonas de alimentación y refugio para especies de caza menor (especialmente perdiz roja y conejo de monte), así como para otros polinizadores y fauna auxiliar. </w:t>
      </w:r>
    </w:p>
    <w:p>
      <w:pPr>
        <w:pStyle w:val="Ttulo3"/>
        <w:jc w:val="left"/>
        <w:rPr/>
      </w:pPr>
      <w:r>
        <w:rPr/>
        <w:t>2. Condiciones técnicas mínimas</w:t>
      </w:r>
    </w:p>
    <w:p>
      <w:pPr>
        <w:pStyle w:val="Normal"/>
        <w:spacing w:before="0" w:after="60"/>
        <w:ind w:left="397" w:hanging="255"/>
        <w:rPr/>
      </w:pPr>
      <w:r>
        <w:rPr/>
        <w:t>a) Los márgenes deberán tener una anchura mínima de 4 metros.</w:t>
      </w:r>
    </w:p>
    <w:p>
      <w:pPr>
        <w:pStyle w:val="Normal"/>
        <w:spacing w:before="0" w:after="60"/>
        <w:ind w:left="397" w:hanging="255"/>
        <w:rPr/>
      </w:pPr>
      <w:r>
        <w:rPr/>
        <w:t>b) Longitud mínima acumulada por coto: 500m.</w:t>
      </w:r>
    </w:p>
    <w:p>
      <w:pPr>
        <w:pStyle w:val="Normal"/>
        <w:spacing w:before="0" w:after="60"/>
        <w:ind w:left="397" w:hanging="255"/>
        <w:rPr/>
      </w:pPr>
      <w:r>
        <w:rPr/>
        <w:t>c) Superficie mínima subvencionable: 0,5 ha.</w:t>
      </w:r>
    </w:p>
    <w:p>
      <w:pPr>
        <w:pStyle w:val="Normal"/>
        <w:spacing w:before="0" w:after="60"/>
        <w:ind w:left="397" w:hanging="255"/>
        <w:rPr/>
      </w:pPr>
      <w:r>
        <w:rPr/>
        <w:t>d) Las superficies fraccionadas inferiores a 1 ha se redondearán por defecto.</w:t>
      </w:r>
    </w:p>
    <w:p>
      <w:pPr>
        <w:pStyle w:val="Normal"/>
        <w:spacing w:before="0" w:after="60"/>
        <w:ind w:left="397" w:hanging="255"/>
        <w:rPr/>
      </w:pPr>
      <w:r>
        <w:rPr/>
        <w:t>e) No se permitirá el pastoreo hasta el 15 de septiembre.</w:t>
      </w:r>
    </w:p>
    <w:p>
      <w:pPr>
        <w:pStyle w:val="Normal"/>
        <w:spacing w:before="0" w:after="60"/>
        <w:ind w:left="397" w:hanging="255"/>
        <w:rPr/>
      </w:pPr>
      <w:r>
        <w:rPr/>
        <w:t>f) Podrán establecerse en lindes de parcelas, bordes de caminos, zonas de transición entre cultivos y monte, perímetros de parcelas agrícolas, franjas de separación entre usos agrarios, bordes de pastizales o zonas estratégicas para la conectividad del habitat, respetando las superficies cultivables principales.</w:t>
      </w:r>
    </w:p>
    <w:p>
      <w:pPr>
        <w:pStyle w:val="Normal"/>
        <w:spacing w:before="0" w:after="60"/>
        <w:ind w:left="397" w:hanging="255"/>
        <w:rPr/>
      </w:pPr>
      <w:r>
        <w:rPr/>
        <w:t>g) Se priorizarán ubicaciones que conecten manchas de vegetación natural, puntos de agua, zonas de alimentación, refugios, majanos, vivares o áreas de presencia de especies de caza menor.</w:t>
      </w:r>
    </w:p>
    <w:p>
      <w:pPr>
        <w:pStyle w:val="Normal"/>
        <w:spacing w:before="0" w:after="60"/>
        <w:ind w:left="397" w:hanging="255"/>
        <w:rPr/>
      </w:pPr>
      <w:r>
        <w:rPr/>
        <w:t>h) Las zonas seleccionadas deberán tener fácil accesibilidad para el seguimiento y mantenimiento.</w:t>
      </w:r>
    </w:p>
    <w:p>
      <w:pPr>
        <w:pStyle w:val="Normal"/>
        <w:spacing w:before="0" w:after="60"/>
        <w:ind w:left="397" w:hanging="255"/>
        <w:rPr/>
      </w:pPr>
      <w:r>
        <w:rPr/>
        <w:t>i) En la preparación del terreno se debe realizar al menos un laboreo superficial antes de la siembra con objeto de mejorar la germinación de la semilla.</w:t>
      </w:r>
    </w:p>
    <w:p>
      <w:pPr>
        <w:pStyle w:val="Normal"/>
        <w:spacing w:before="0" w:after="60"/>
        <w:ind w:left="397" w:hanging="255"/>
        <w:rPr/>
      </w:pPr>
      <w:r>
        <w:rPr/>
        <w:t>j) No se permite la siembra directa sobre suelo compactado o sin acondicionar.</w:t>
      </w:r>
    </w:p>
    <w:p>
      <w:pPr>
        <w:pStyle w:val="Normal"/>
        <w:spacing w:before="0" w:after="60"/>
        <w:ind w:left="397" w:hanging="255"/>
        <w:rPr/>
      </w:pPr>
      <w:r>
        <w:rPr/>
        <w:t xml:space="preserve">k) La mezcla de semillas recomendadas para la siembra debería contener mínimo un 30% de Trifolium subterraneum (trébol subterráneo), así como leguminosas pratenses como </w:t>
      </w:r>
      <w:r>
        <w:rPr>
          <w:i/>
        </w:rPr>
        <w:t>Medicago sativa</w:t>
      </w:r>
      <w:r>
        <w:rPr/>
        <w:t xml:space="preserve">, </w:t>
      </w:r>
      <w:r>
        <w:rPr>
          <w:i/>
        </w:rPr>
        <w:t>Ornithopus spp.</w:t>
      </w:r>
      <w:r>
        <w:rPr/>
        <w:t xml:space="preserve">, </w:t>
      </w:r>
      <w:r>
        <w:rPr>
          <w:i/>
        </w:rPr>
        <w:t>Biserrula spp.</w:t>
      </w:r>
      <w:r>
        <w:rPr/>
        <w:t xml:space="preserve">, y gramíneas adaptadas como </w:t>
      </w:r>
      <w:r>
        <w:rPr>
          <w:i/>
        </w:rPr>
        <w:t>Lolium perenne</w:t>
      </w:r>
      <w:r>
        <w:rPr/>
        <w:t xml:space="preserve"> o especies autóctonas. Siendo la dosis mínima de siembra de 40 kg/ha.</w:t>
      </w:r>
    </w:p>
    <w:p>
      <w:pPr>
        <w:pStyle w:val="Normal"/>
        <w:spacing w:before="0" w:after="60"/>
        <w:ind w:left="397" w:hanging="255"/>
        <w:rPr/>
      </w:pPr>
      <w:r>
        <w:rPr/>
        <w:t>l) Las especies vegetales empleadas deberán ser adecuadas a las condiciones edafoclimáticas de la zona y no podrán tener carácter invasor, debiendo favorecer la producción de biomasa, la floración prolongada, la fijación de nitrógeno, así como la atracción de insectos beneficiosos.</w:t>
      </w:r>
    </w:p>
    <w:p>
      <w:pPr>
        <w:pStyle w:val="Normal"/>
        <w:spacing w:before="0" w:after="60"/>
        <w:ind w:left="397" w:hanging="255"/>
        <w:rPr/>
      </w:pPr>
      <w:r>
        <w:rPr/>
        <w:t>m) Se evitará el uso de herbicidas, fitosanitarios o fertilizantes de forma incompatible con la finalidad ambiental de la actuación.</w:t>
      </w:r>
    </w:p>
    <w:p>
      <w:pPr>
        <w:pStyle w:val="Normal"/>
        <w:spacing w:before="0" w:after="60"/>
        <w:ind w:left="397" w:hanging="255"/>
        <w:rPr/>
      </w:pPr>
      <w:r>
        <w:rPr/>
        <w:t>n) No podrán ser cosechados, pastoreados intensivamente, roturados ni eliminados durante el periodo de permanencia comprometido de 2 años, salvo por razones justificadas de seguridad, prevención de incendios, sanidad vegetal o autorización administrativa. Durante el mismo periodo se debe realizar mantenimiento, evitando la desaparición de la cubierta vegetal.</w:t>
      </w:r>
    </w:p>
    <w:p>
      <w:pPr>
        <w:pStyle w:val="Normal"/>
        <w:spacing w:before="0" w:after="60"/>
        <w:ind w:left="397" w:hanging="255"/>
        <w:rPr/>
      </w:pPr>
      <w:r>
        <w:rPr/>
        <w:t>ñ) Deberá evitarse la ejecución de la actuación en periodos críticos de reproducción de la fauna, salvo que la normativa aplicable o la autorización correspondiente lo permita.</w:t>
      </w:r>
    </w:p>
    <w:p>
      <w:pPr>
        <w:pStyle w:val="Normal"/>
        <w:spacing w:before="0" w:after="60"/>
        <w:ind w:left="397" w:hanging="255"/>
        <w:rPr/>
      </w:pPr>
      <w:r>
        <w:rPr/>
        <w:t>o) Se autoriza el desbroce mecánico como práctica de renovación estacional con maquinaria ligera.</w:t>
      </w:r>
    </w:p>
    <w:p>
      <w:pPr>
        <w:pStyle w:val="Ttulo3"/>
        <w:jc w:val="left"/>
        <w:rPr/>
      </w:pPr>
      <w:r>
        <w:rPr/>
        <w:t>3. Límites subvencionables</w:t>
      </w:r>
    </w:p>
    <w:p>
      <w:pPr>
        <w:pStyle w:val="Normal"/>
        <w:rPr/>
      </w:pPr>
      <w:r>
        <w:rPr/>
        <w:t>El coste máximo subvencionable será el previsto en la Base Primera.</w:t>
      </w:r>
    </w:p>
    <w:p>
      <w:pPr>
        <w:pStyle w:val="Normal"/>
        <w:rPr/>
      </w:pPr>
      <w:r>
        <w:rPr/>
        <w:t>El límite máximo será de hasta 6 hectáreas por entidad beneficiaria, con una anchura mínima de 4 metros, admitiéndose únicamente hectáreas completas con redondeo por defecto.</w:t>
      </w:r>
    </w:p>
    <w:p>
      <w:pPr>
        <w:pStyle w:val="Ttulo3"/>
        <w:jc w:val="left"/>
        <w:rPr/>
      </w:pPr>
      <w:r>
        <w:rPr/>
        <w:t>4. Documentación justificativa específica</w:t>
      </w:r>
    </w:p>
    <w:p>
      <w:pPr>
        <w:pStyle w:val="Normal"/>
        <w:rPr/>
      </w:pPr>
      <w:r>
        <w:rPr/>
        <w:t>La entidad beneficiaria deberá aportar:</w:t>
      </w:r>
    </w:p>
    <w:p>
      <w:pPr>
        <w:pStyle w:val="Normal"/>
        <w:spacing w:before="0" w:after="60"/>
        <w:ind w:left="397" w:hanging="255"/>
        <w:rPr/>
      </w:pPr>
      <w:r>
        <w:rPr/>
        <w:t>a) Plano de localización de los márgenes ejecutados.</w:t>
      </w:r>
    </w:p>
    <w:p>
      <w:pPr>
        <w:pStyle w:val="Normal"/>
        <w:spacing w:before="0" w:after="60"/>
        <w:ind w:left="397" w:hanging="255"/>
        <w:rPr/>
      </w:pPr>
      <w:r>
        <w:rPr/>
        <w:t>b) Medición de superficie y longitud aproximada.</w:t>
      </w:r>
    </w:p>
    <w:p>
      <w:pPr>
        <w:pStyle w:val="Normal"/>
        <w:spacing w:before="0" w:after="60"/>
        <w:ind w:left="397" w:hanging="255"/>
        <w:rPr/>
      </w:pPr>
      <w:r>
        <w:rPr/>
        <w:t>c) Fotografías fechadas y preferentemente georreferenciadas del estado inicial, desarrollo y final.</w:t>
      </w:r>
    </w:p>
    <w:p>
      <w:pPr>
        <w:pStyle w:val="Normal"/>
        <w:spacing w:before="0" w:after="60"/>
        <w:ind w:left="397" w:hanging="255"/>
        <w:rPr/>
      </w:pPr>
      <w:r>
        <w:rPr/>
        <w:t>d) Facturas y justificantes de pago de semillas, labores, maquinaria, materiales o trabajos realizados.</w:t>
      </w:r>
    </w:p>
    <w:p>
      <w:pPr>
        <w:pStyle w:val="Normal"/>
        <w:spacing w:before="0" w:after="60"/>
        <w:ind w:left="397" w:hanging="255"/>
        <w:rPr/>
      </w:pPr>
      <w:r>
        <w:rPr/>
        <w:t>e) Declaración de la mezcla de semillas utilizada, del método de siembra y del mantenimiento de la actuación durante el periodo exigido.</w:t>
      </w:r>
    </w:p>
    <w:p>
      <w:pPr>
        <w:pStyle w:val="Ttulo2"/>
        <w:jc w:val="left"/>
        <w:rPr/>
      </w:pPr>
      <w:r>
        <w:rPr/>
        <w:t>ACTUACIÓN 2. INSTALACIÓN DE COMEDEROS Y BEBEDEROS</w:t>
      </w:r>
    </w:p>
    <w:p>
      <w:pPr>
        <w:pStyle w:val="Ttulo3"/>
        <w:jc w:val="left"/>
        <w:rPr/>
      </w:pPr>
      <w:r>
        <w:rPr/>
        <w:t>1. Finalidad</w:t>
      </w:r>
    </w:p>
    <w:p>
      <w:pPr>
        <w:pStyle w:val="Normal"/>
        <w:rPr/>
      </w:pPr>
      <w:r>
        <w:rPr/>
        <w:t>La instalación de comederos y bebederos tiene por finalidad mejorar la disponibilidad de alimento y agua para especies cinegéticas de caza menor, especialmente durante periodos de escasez, sequía o limitación de recursos naturales.</w:t>
      </w:r>
    </w:p>
    <w:p>
      <w:pPr>
        <w:pStyle w:val="Ttulo3"/>
        <w:jc w:val="left"/>
        <w:rPr/>
      </w:pPr>
      <w:r>
        <w:rPr/>
        <w:t>2. Condiciones técnicas mínimas</w:t>
      </w:r>
    </w:p>
    <w:p>
      <w:pPr>
        <w:pStyle w:val="Normal"/>
        <w:spacing w:before="0" w:after="60"/>
        <w:ind w:left="397" w:hanging="255"/>
        <w:rPr/>
      </w:pPr>
      <w:r>
        <w:rPr/>
        <w:t>a) Se entenderá por unidad completa el conjunto formado por un comedero y un bebedero, y el correspondiente cerramiento si procede.</w:t>
      </w:r>
    </w:p>
    <w:p>
      <w:pPr>
        <w:pStyle w:val="Normal"/>
        <w:spacing w:before="0" w:after="60"/>
        <w:ind w:left="397" w:hanging="255"/>
        <w:rPr/>
      </w:pPr>
      <w:r>
        <w:rPr/>
        <w:t>b) Los comederos y bebederos deberán instalarse en puntos estratégicos del coto con presencia de especies de caza menor, preferentemente próximas a zonas de refugio natural, márgenes, cultivos no productivos, majanos, vivares, puntos de agua o áreas de campeo.</w:t>
      </w:r>
    </w:p>
    <w:p>
      <w:pPr>
        <w:pStyle w:val="Normal"/>
        <w:spacing w:before="0" w:after="60"/>
        <w:ind w:left="397" w:hanging="255"/>
        <w:rPr/>
      </w:pPr>
      <w:r>
        <w:rPr/>
        <w:t>c) Deberán ubicarse de forma que se minimice el riesgo de depredación, molestias, contaminación, daños por ganado o interferencias con caminos, cauces o zonas sensibles.</w:t>
      </w:r>
    </w:p>
    <w:p>
      <w:pPr>
        <w:pStyle w:val="Normal"/>
        <w:spacing w:before="0" w:after="60"/>
        <w:ind w:left="397" w:hanging="255"/>
        <w:rPr/>
      </w:pPr>
      <w:r>
        <w:rPr/>
        <w:t>d) Los elementos instalados deberán ser accesibles, estables, resistentes, seguros para la fauna y adecuados para el medio natural.</w:t>
      </w:r>
    </w:p>
    <w:p>
      <w:pPr>
        <w:pStyle w:val="Normal"/>
        <w:spacing w:before="0" w:after="60"/>
        <w:ind w:left="397" w:hanging="255"/>
        <w:rPr/>
      </w:pPr>
      <w:r>
        <w:rPr/>
        <w:t>e) Los bebederos deberán permitir el acceso seguro de la fauna, evitando riesgos de ahogamiento, atrapamiento o contaminación del agua.</w:t>
      </w:r>
    </w:p>
    <w:p>
      <w:pPr>
        <w:pStyle w:val="Normal"/>
        <w:spacing w:before="0" w:after="60"/>
        <w:ind w:left="397" w:hanging="255"/>
        <w:rPr/>
      </w:pPr>
      <w:r>
        <w:rPr/>
        <w:t>f) Los comederos deberán diseñarse o instalarse de forma que reduzcan la pérdida de alimento, la acumulación de restos y la proliferación de enfermedades.</w:t>
      </w:r>
    </w:p>
    <w:p>
      <w:pPr>
        <w:pStyle w:val="Normal"/>
        <w:spacing w:before="0" w:after="60"/>
        <w:ind w:left="397" w:hanging="255"/>
        <w:rPr/>
      </w:pPr>
      <w:r>
        <w:rPr/>
        <w:t>g) La entidad beneficiaria deberá garantizar su mantenimiento, limpieza y reposición cuando resulte necesario durante el periodo de permanencia de la actuación.</w:t>
      </w:r>
    </w:p>
    <w:p>
      <w:pPr>
        <w:pStyle w:val="Normal"/>
        <w:spacing w:before="0" w:after="60"/>
        <w:ind w:left="397" w:hanging="255"/>
        <w:rPr/>
      </w:pPr>
      <w:r>
        <w:rPr/>
        <w:t>h) No podrán emplearse alimentos, productos o sustancias que puedan resultar perjudiciales para la fauna silvestre o el medio ambiente.</w:t>
      </w:r>
    </w:p>
    <w:p>
      <w:pPr>
        <w:pStyle w:val="Normal"/>
        <w:spacing w:before="0" w:after="60"/>
        <w:ind w:left="397" w:hanging="255"/>
        <w:rPr/>
      </w:pPr>
      <w:r>
        <w:rPr/>
        <w:t>i) El material de los comederos será preferiblemente de chapa galvanizada o polietileno de alta resistencia, con forma de tolva o cubo y tapa superior para proteger el alimento, debiendo tener una capacidad mínima de 15 kg.</w:t>
      </w:r>
    </w:p>
    <w:p>
      <w:pPr>
        <w:pStyle w:val="Normal"/>
        <w:spacing w:before="0" w:after="60"/>
        <w:ind w:left="397" w:hanging="255"/>
        <w:rPr>
          <w:lang w:val="es-ES"/>
        </w:rPr>
      </w:pPr>
      <w:r>
        <w:rPr/>
        <w:t xml:space="preserve">j) </w:t>
      </w:r>
      <w:r>
        <w:rPr>
          <w:lang w:val="es-ES"/>
        </w:rPr>
        <w:t>Los comederos deberán contar con un mínimo de diez (10) orificios de acceso al alimento, distribuidos de forma equilibrada en ambos lados del dispositivo. Los bordes de los orificios deberán estar debidamente plegados, rematados o protegidos para prevenir daños o lesiones a los animales.</w:t>
      </w:r>
    </w:p>
    <w:p>
      <w:pPr>
        <w:pStyle w:val="Normal"/>
        <w:spacing w:before="0" w:after="60"/>
        <w:ind w:left="397" w:hanging="255"/>
        <w:rPr>
          <w:lang w:val="es-ES"/>
        </w:rPr>
      </w:pPr>
      <w:r>
        <w:rPr>
          <w:lang w:val="es-ES"/>
        </w:rPr>
        <w:t xml:space="preserve">   </w:t>
      </w:r>
      <w:r>
        <w:rPr>
          <w:lang w:val="es-ES"/>
        </w:rPr>
        <w:tab/>
        <w:t>Los comederos deberán mantenerse elevados respecto del terreno mediante una base, soporte o sistema de patas que evite su contacto directo con el suelo y minimice la exposición a la humedad.</w:t>
      </w:r>
    </w:p>
    <w:p>
      <w:pPr>
        <w:pStyle w:val="Normal"/>
        <w:spacing w:before="0" w:after="60"/>
        <w:ind w:left="397" w:hanging="255"/>
        <w:rPr>
          <w:lang w:val="es-ES"/>
        </w:rPr>
      </w:pPr>
      <w:r>
        <w:rPr/>
        <w:t xml:space="preserve">k)  </w:t>
      </w:r>
      <w:r>
        <w:rPr>
          <w:lang w:val="es-ES"/>
        </w:rPr>
        <w:t>Los bebederos deberán estar fabricados preferentemente en hormigón armado e hidrófugo o en polietileno de alta resistencia, y disponer de una capacidad mínima de sesenta (60) litros.</w:t>
      </w:r>
    </w:p>
    <w:p>
      <w:pPr>
        <w:pStyle w:val="Normal"/>
        <w:spacing w:before="0" w:after="60"/>
        <w:ind w:left="397" w:hanging="0"/>
        <w:rPr>
          <w:lang w:val="es-ES"/>
        </w:rPr>
      </w:pPr>
      <w:r>
        <w:rPr>
          <w:lang w:val="es-ES"/>
        </w:rPr>
        <w:t>Asimismo, deberán presentar una pendiente suave que facilite el acceso y la salida de la fauna, contar con un sistema de mantenimiento de nivel constante mediante boya y disponer de un depósito para la recogida de aguas pluviales. Cuando las condiciones de la ubicación lo requieran, deberán incorporar dispositivos que impidan o limiten el acceso de jabalíes y ganado doméstico.</w:t>
      </w:r>
    </w:p>
    <w:p>
      <w:pPr>
        <w:pStyle w:val="Normal"/>
        <w:spacing w:before="0" w:after="60"/>
        <w:ind w:left="397" w:hanging="255"/>
        <w:rPr/>
      </w:pPr>
      <w:r>
        <w:rPr/>
        <w:t>l)  Los comederos y bebederos situados en parcelas con presencia de ganado doméstico y/o elevada densidad de especies cinegéticas de caza mayor deberán disponer de medidas de protección destinadas a evitar el acceso del ganado. Se recomienda la instalación de un cerramiento perimetral con una malla cuyo tamaño mínimo de luz sea 15x15cm, garantizando en todo caso una superficie suficiente para que los animales puedan desplazarse con normalidad dentro del recinto que alberga dichas infraestructuras.</w:t>
      </w:r>
    </w:p>
    <w:p>
      <w:pPr>
        <w:pStyle w:val="Normal"/>
        <w:spacing w:before="0" w:after="60"/>
        <w:ind w:left="397" w:hanging="255"/>
        <w:rPr>
          <w:lang w:val="es-ES"/>
        </w:rPr>
      </w:pPr>
      <w:r>
        <w:rPr/>
        <w:t xml:space="preserve">m)  </w:t>
      </w:r>
      <w:r>
        <w:rPr>
          <w:lang w:val="es-ES"/>
        </w:rPr>
        <w:t>En zonas con presencia de ganado porcino o jabalí, se recomienda la instalación de una estructura de protección de forma cúbica, construida con malla de cuadrícula de 15 × 15 cm y varilla de 6 mm de diámetro en sus cuatro laterales, con unas dimensiones mínimas de 1,5 m de longitud, anchura y altura.</w:t>
      </w:r>
    </w:p>
    <w:p>
      <w:pPr>
        <w:pStyle w:val="Normal"/>
        <w:spacing w:before="0" w:after="60"/>
        <w:ind w:left="397" w:hanging="0"/>
        <w:rPr>
          <w:lang w:val="es-ES"/>
        </w:rPr>
      </w:pPr>
      <w:r>
        <w:rPr>
          <w:lang w:val="es-ES"/>
        </w:rPr>
        <w:t>La estructura deberá disponer de una cubierta superior que proporcione sombra y protección frente a la insolación, ubicándose en su interior tanto el comedero como el bebedero.</w:t>
      </w:r>
    </w:p>
    <w:p>
      <w:pPr>
        <w:pStyle w:val="Normal"/>
        <w:spacing w:before="0" w:after="60"/>
        <w:rPr>
          <w:lang w:val="es-ES"/>
        </w:rPr>
      </w:pPr>
      <w:r>
        <w:rPr>
          <w:lang w:val="es-ES"/>
        </w:rPr>
        <w:t>n)  Se debe realizar un mantenimiento con una frecuencia mínima en comederos de entre 15-30 días y         en bebederos cada 15 días durante la época seca. El compromiso de mantenimiento será de 5 años desde la instalación.</w:t>
      </w:r>
    </w:p>
    <w:p>
      <w:pPr>
        <w:pStyle w:val="Ttulo3"/>
        <w:jc w:val="left"/>
        <w:rPr/>
      </w:pPr>
      <w:r>
        <w:rPr/>
        <w:t>3. Límites subvencionables</w:t>
      </w:r>
    </w:p>
    <w:p>
      <w:pPr>
        <w:pStyle w:val="Normal"/>
        <w:rPr/>
      </w:pPr>
      <w:r>
        <w:rPr/>
        <w:t>El coste máximo subvencionable será el previsto en la Base Primera.</w:t>
      </w:r>
    </w:p>
    <w:p>
      <w:pPr>
        <w:pStyle w:val="Normal"/>
        <w:rPr/>
      </w:pPr>
      <w:r>
        <w:rPr/>
        <w:t>El límite máximo será de hasta 8 unidades completas por unidad de gestión de 250 hectáreas.</w:t>
      </w:r>
    </w:p>
    <w:p>
      <w:pPr>
        <w:pStyle w:val="Ttulo3"/>
        <w:jc w:val="left"/>
        <w:rPr/>
      </w:pPr>
      <w:r>
        <w:rPr/>
        <w:t>4. Documentación justificativa específica</w:t>
      </w:r>
    </w:p>
    <w:p>
      <w:pPr>
        <w:pStyle w:val="Normal"/>
        <w:rPr/>
      </w:pPr>
      <w:r>
        <w:rPr/>
        <w:t>La entidad beneficiaria deberá aportar:</w:t>
      </w:r>
    </w:p>
    <w:p>
      <w:pPr>
        <w:pStyle w:val="Normal"/>
        <w:spacing w:before="0" w:after="60"/>
        <w:ind w:left="397" w:hanging="255"/>
        <w:rPr/>
      </w:pPr>
      <w:r>
        <w:rPr/>
        <w:t>a) Plano o relación georreferenciada de ubicación de cada unidad instalada.</w:t>
      </w:r>
    </w:p>
    <w:p>
      <w:pPr>
        <w:pStyle w:val="Normal"/>
        <w:spacing w:before="0" w:after="60"/>
        <w:ind w:left="397" w:hanging="255"/>
        <w:rPr/>
      </w:pPr>
      <w:r>
        <w:rPr/>
        <w:t>b) Fotografías fechadas y preferentemente georreferenciadas de cada comedero y bebedero instalado.</w:t>
      </w:r>
    </w:p>
    <w:p>
      <w:pPr>
        <w:pStyle w:val="Normal"/>
        <w:spacing w:before="0" w:after="60"/>
        <w:ind w:left="397" w:hanging="255"/>
        <w:rPr/>
      </w:pPr>
      <w:r>
        <w:rPr/>
        <w:t>c) Facturas con la descripción de materiales y capacidad de cada dispositivo, así como los justificantes de pago.</w:t>
      </w:r>
    </w:p>
    <w:p>
      <w:pPr>
        <w:pStyle w:val="Normal"/>
        <w:spacing w:before="0" w:after="60"/>
        <w:ind w:left="397" w:hanging="255"/>
        <w:rPr/>
      </w:pPr>
      <w:r>
        <w:rPr/>
        <w:t>d) Declaración responsable de mantenimiento y reposición, en su caso.</w:t>
      </w:r>
    </w:p>
    <w:p>
      <w:pPr>
        <w:pStyle w:val="Ttulo2"/>
        <w:jc w:val="left"/>
        <w:rPr/>
      </w:pPr>
      <w:r>
        <w:rPr/>
        <w:t>ACTUACIÓN 3. CULTIVO NO PRODUCTIVO DE CEREALES SIN COSECHA</w:t>
      </w:r>
    </w:p>
    <w:p>
      <w:pPr>
        <w:pStyle w:val="Ttulo3"/>
        <w:jc w:val="left"/>
        <w:rPr/>
      </w:pPr>
      <w:r>
        <w:rPr/>
        <w:t>1. Finalidad</w:t>
      </w:r>
    </w:p>
    <w:p>
      <w:pPr>
        <w:pStyle w:val="Normal"/>
        <w:rPr/>
      </w:pPr>
      <w:r>
        <w:rPr/>
        <w:t>El cultivo no productivo de cereales sin cosecha tiene por finalidad proporcionar alimento, refugio, cobertura y zonas de reproducción a especies cinegéticas de caza menor, especialmente en medios agrarios donde la disponibilidad de recursos tróficos y cobertura vegetal resulte limitada.</w:t>
      </w:r>
    </w:p>
    <w:p>
      <w:pPr>
        <w:pStyle w:val="Ttulo3"/>
        <w:jc w:val="left"/>
        <w:rPr/>
      </w:pPr>
      <w:r>
        <w:rPr/>
        <w:t>2. Condiciones técnicas mínimas</w:t>
      </w:r>
    </w:p>
    <w:p>
      <w:pPr>
        <w:pStyle w:val="Normal"/>
        <w:spacing w:before="0" w:after="60"/>
        <w:ind w:left="397" w:hanging="255"/>
        <w:rPr/>
      </w:pPr>
      <w:r>
        <w:rPr/>
        <w:t>a) La actuación consistirá en la implantación de cultivos de cereal destinados exclusivamente a la mejora del hábitat cinegético y de la biodiversidad, sin finalidad productiva ni aprovechamiento agrícola ordinario.</w:t>
      </w:r>
    </w:p>
    <w:p>
      <w:pPr>
        <w:pStyle w:val="Normal"/>
        <w:spacing w:before="0" w:after="60"/>
        <w:ind w:left="397" w:hanging="255"/>
        <w:rPr/>
      </w:pPr>
      <w:r>
        <w:rPr/>
        <w:t>b) El cultivo no podrá ser cosechado, recogido o aprovechado con finalidad comercial.</w:t>
      </w:r>
    </w:p>
    <w:p>
      <w:pPr>
        <w:pStyle w:val="Normal"/>
        <w:spacing w:before="0" w:after="60"/>
        <w:ind w:left="397" w:hanging="255"/>
        <w:rPr>
          <w:lang w:val="es-ES"/>
        </w:rPr>
      </w:pPr>
      <w:r>
        <w:rPr/>
        <w:t xml:space="preserve">c) </w:t>
      </w:r>
      <w:r>
        <w:rPr>
          <w:lang w:val="es-ES"/>
        </w:rPr>
        <w:t>La dosis mínima de siembra será de 150 kg/ha. Únicamente podrá autorizarse una dosis distinta cuando concurran razones agronómicas debidamente justificadas y exista aceptación expresa del órgano gestor.</w:t>
      </w:r>
    </w:p>
    <w:p>
      <w:pPr>
        <w:pStyle w:val="Normal"/>
        <w:spacing w:before="0" w:after="60"/>
        <w:ind w:left="397" w:hanging="0"/>
        <w:rPr>
          <w:lang w:val="es-ES"/>
        </w:rPr>
      </w:pPr>
      <w:r>
        <w:rPr>
          <w:lang w:val="es-ES"/>
        </w:rPr>
        <w:t>La implantación se efectuará mediante siembra directa o mínimo laboreo. Las mezclas de siembra deberán estar constituidas por cereales de invierno adaptados a la zona (trigo, avena, cebada, centeno, triticale o sus mezclas), pudiendo incluir leguminosas de ciclo largo (veza o altramuz) hasta un máximo del 20 % de la mezcla total de semillas.</w:t>
      </w:r>
    </w:p>
    <w:p>
      <w:pPr>
        <w:pStyle w:val="Normal"/>
        <w:spacing w:before="0" w:after="60"/>
        <w:ind w:left="397" w:hanging="255"/>
        <w:rPr/>
      </w:pPr>
      <w:r>
        <w:rPr/>
        <w:t>d) Deberán emplearse especies y variedades adecuadas a las condiciones de la zona.</w:t>
      </w:r>
    </w:p>
    <w:p>
      <w:pPr>
        <w:pStyle w:val="Normal"/>
        <w:spacing w:before="0" w:after="60"/>
        <w:ind w:left="397" w:hanging="255"/>
        <w:rPr/>
      </w:pPr>
      <w:r>
        <w:rPr/>
        <w:t>e) Se priorizará la implantación en parcelas o franjas distribuidas estratégicamente dentro del coto, evitando concentraciones excesivas que reduzcan su eficacia.</w:t>
      </w:r>
    </w:p>
    <w:p>
      <w:pPr>
        <w:pStyle w:val="Normal"/>
        <w:spacing w:before="0" w:after="60"/>
        <w:ind w:left="397" w:hanging="255"/>
        <w:rPr/>
      </w:pPr>
      <w:r>
        <w:rPr/>
        <w:t>f) El cultivo deberá mantenerse el tiempo suficiente para cumplir su finalidad de alimento, refugio y cobertura, quedando prohibido cosechar ni pastorear durante todo el ciclo vegetativo hasta el 15 de septiembre.</w:t>
      </w:r>
    </w:p>
    <w:p>
      <w:pPr>
        <w:pStyle w:val="Normal"/>
        <w:spacing w:before="0" w:after="60"/>
        <w:ind w:left="397" w:hanging="255"/>
        <w:rPr/>
      </w:pPr>
      <w:r>
        <w:rPr/>
        <w:t>g) No se admitirán cultivos que hayan sido cosechados, pastoreados intensivamente o destruidos antes de cumplir la finalidad subvencionada, salvo causa justificada y aceptada por el órgano gestor.</w:t>
      </w:r>
    </w:p>
    <w:p>
      <w:pPr>
        <w:pStyle w:val="Normal"/>
        <w:spacing w:before="0" w:after="60"/>
        <w:ind w:left="397" w:hanging="255"/>
        <w:rPr/>
      </w:pPr>
      <w:r>
        <w:rPr/>
        <w:t>h)</w:t>
      </w:r>
      <w:r>
        <w:rPr>
          <w:shd w:fill="auto" w:val="clear"/>
        </w:rPr>
        <w:t xml:space="preserve"> </w:t>
      </w:r>
      <w:r>
        <w:rPr>
          <w:shd w:fill="auto" w:val="clear"/>
        </w:rPr>
        <w:t>Se prohibe el uso de fitosanitarios (herbicidas, insecticidas, fungicidas), durante todo el ciclo. Se recomienda utilizar abono orgánico (estiércol, compost o vermicompost), no pudiendo aplicarse fertilizantes químicos</w:t>
      </w:r>
      <w:r>
        <w:rPr/>
        <w:t xml:space="preserve">. </w:t>
      </w:r>
    </w:p>
    <w:p>
      <w:pPr>
        <w:pStyle w:val="Normal"/>
        <w:spacing w:before="0" w:after="60"/>
        <w:ind w:left="397" w:hanging="255"/>
        <w:rPr/>
      </w:pPr>
      <w:r>
        <w:rPr/>
        <w:t>i)   En zonas con presencia habitual de ganado o caza mayor, deberá instalarse cerramiento perimetral que impida de forma eficaz el acceso del ganado o pastor eléctrico para evitar el ramoneo o pisoteo de las siembras</w:t>
      </w:r>
      <w:r>
        <w:rPr>
          <w:shd w:fill="auto" w:val="clear"/>
        </w:rPr>
        <w:t>.</w:t>
      </w:r>
    </w:p>
    <w:p>
      <w:pPr>
        <w:pStyle w:val="Ttulo3"/>
        <w:jc w:val="left"/>
        <w:rPr/>
      </w:pPr>
      <w:r>
        <w:rPr/>
        <w:t>3. Límites subvencionables</w:t>
      </w:r>
    </w:p>
    <w:p>
      <w:pPr>
        <w:pStyle w:val="Normal"/>
        <w:rPr/>
      </w:pPr>
      <w:r>
        <w:rPr/>
        <w:t>El coste máximo subvencionable será el previsto en la Base Primera.</w:t>
      </w:r>
    </w:p>
    <w:p>
      <w:pPr>
        <w:pStyle w:val="Normal"/>
        <w:rPr/>
      </w:pPr>
      <w:r>
        <w:rPr/>
        <w:t>El límite máximo será de hasta 50 hectáreas por unidad de gestión de 250 hectáreas. Se deberá realizar de forma dispersa, con zonas de siembra que no superen en ningún caso las 5ha por zona, hasta un máximo de 50 ha acumuladas entre todas las zonas.</w:t>
      </w:r>
    </w:p>
    <w:p>
      <w:pPr>
        <w:pStyle w:val="Ttulo3"/>
        <w:jc w:val="left"/>
        <w:rPr/>
      </w:pPr>
      <w:r>
        <w:rPr/>
        <w:t>4. Documentación justificativa específica</w:t>
      </w:r>
    </w:p>
    <w:p>
      <w:pPr>
        <w:pStyle w:val="Normal"/>
        <w:rPr/>
      </w:pPr>
      <w:r>
        <w:rPr/>
        <w:t>La entidad beneficiaria deberá aportar:</w:t>
      </w:r>
    </w:p>
    <w:p>
      <w:pPr>
        <w:pStyle w:val="Normal"/>
        <w:spacing w:before="0" w:after="60"/>
        <w:ind w:left="397" w:hanging="255"/>
        <w:rPr/>
      </w:pPr>
      <w:r>
        <w:rPr/>
        <w:t>a) Plano de localización con los polígonos y parcelas identificados, así como la medición de las superficies sembradas.</w:t>
      </w:r>
    </w:p>
    <w:p>
      <w:pPr>
        <w:pStyle w:val="Normal"/>
        <w:spacing w:before="0" w:after="60"/>
        <w:ind w:left="397" w:hanging="255"/>
        <w:rPr/>
      </w:pPr>
      <w:r>
        <w:rPr/>
        <w:t>b) Identificación de especies sembradas y dosis utilizada.</w:t>
      </w:r>
    </w:p>
    <w:p>
      <w:pPr>
        <w:pStyle w:val="Normal"/>
        <w:spacing w:before="0" w:after="60"/>
        <w:ind w:left="397" w:hanging="255"/>
        <w:rPr/>
      </w:pPr>
      <w:r>
        <w:rPr/>
        <w:t>c) Fotografías fechadas y preferentemente georreferenciadas de la preparación del terreno, siembra y estado del cultivo dos meses después.</w:t>
      </w:r>
    </w:p>
    <w:p>
      <w:pPr>
        <w:pStyle w:val="Normal"/>
        <w:spacing w:before="0" w:after="60"/>
        <w:ind w:left="397" w:hanging="255"/>
        <w:rPr/>
      </w:pPr>
      <w:r>
        <w:rPr/>
        <w:t>d) Facturas y justificantes de pago de semillas utilizadas, labores agrícolas, maquinaria o trabajos contratados.</w:t>
      </w:r>
    </w:p>
    <w:p>
      <w:pPr>
        <w:pStyle w:val="Normal"/>
        <w:spacing w:before="0" w:after="60"/>
        <w:ind w:left="397" w:hanging="255"/>
        <w:rPr/>
      </w:pPr>
      <w:r>
        <w:rPr/>
        <w:t>e) Declaración de que el cultivo no ha sido cosechado ni destinado a aprovechamiento productivo antes del 15 de septiembre.</w:t>
      </w:r>
    </w:p>
    <w:p>
      <w:pPr>
        <w:pStyle w:val="Ttulo2"/>
        <w:jc w:val="left"/>
        <w:rPr/>
      </w:pPr>
      <w:r>
        <w:rPr/>
        <w:t>ACTUACIÓN 4. DESBROCES CON SIEMBRA NO PRODUCTIVA DE PASTIZAL O PRADERA</w:t>
      </w:r>
    </w:p>
    <w:p>
      <w:pPr>
        <w:pStyle w:val="Ttulo3"/>
        <w:jc w:val="left"/>
        <w:rPr/>
      </w:pPr>
      <w:r>
        <w:rPr/>
        <w:t>1. Finalidad</w:t>
      </w:r>
    </w:p>
    <w:p>
      <w:pPr>
        <w:pStyle w:val="Normal"/>
        <w:rPr/>
      </w:pPr>
      <w:r>
        <w:rPr/>
        <w:t>La actuación tiene por finalidad mejorar la estructura del hábitat mediante desbroces controlados y siembras no productivas de pastizal o pradera, favoreciendo la creación de zonas de alimentación, campeo, refugio y reproducción para especies cinegéticas de caza menor.</w:t>
      </w:r>
    </w:p>
    <w:p>
      <w:pPr>
        <w:pStyle w:val="Ttulo3"/>
        <w:jc w:val="left"/>
        <w:rPr/>
      </w:pPr>
      <w:r>
        <w:rPr/>
        <w:t>2. Condiciones técnicas mínimas</w:t>
      </w:r>
    </w:p>
    <w:p>
      <w:pPr>
        <w:pStyle w:val="ListParagraph"/>
        <w:numPr>
          <w:ilvl w:val="0"/>
          <w:numId w:val="7"/>
        </w:numPr>
        <w:spacing w:before="0" w:after="60"/>
        <w:contextualSpacing/>
        <w:rPr>
          <w:lang w:val="es-ES"/>
        </w:rPr>
      </w:pPr>
      <w:r>
        <w:rPr>
          <w:lang w:val="es-ES"/>
        </w:rPr>
        <w:t>Los desbroces deberán ejecutarse de forma selectiva, con el objetivo de diversificar la estructura de la vegetación y mejorar la calidad del hábitat para las especies silvestres, evitando en todo caso la transformación intensiva del medio o la eliminación indiscriminada de vegetación natural de interés.</w:t>
      </w:r>
    </w:p>
    <w:p>
      <w:pPr>
        <w:pStyle w:val="ListParagraph"/>
        <w:spacing w:before="0" w:after="60"/>
        <w:contextualSpacing/>
        <w:rPr>
          <w:lang w:val="es-ES"/>
        </w:rPr>
      </w:pPr>
      <w:r>
        <w:rPr>
          <w:lang w:val="es-ES"/>
        </w:rPr>
        <w:t>Las actuaciones se llevarán a cabo mediante desbrozadoras de cadenas o de martillos, creando fajas de entre 0,5 y 2 hectáreas de superficie y una anchura máxima de 30 metros. Su distribución podrá ser regular o irregular, adaptándose a la topografía, la vegetación existente y los objetivos de gestión previstos. Deberá mantenerse una distancia mínima de 20 metros entre fajas, preservando bandas de vegetación natural que actúen como zonas de refugio para la fauna silvestre.</w:t>
      </w:r>
    </w:p>
    <w:p>
      <w:pPr>
        <w:pStyle w:val="ListParagraph"/>
        <w:numPr>
          <w:ilvl w:val="0"/>
          <w:numId w:val="7"/>
        </w:numPr>
        <w:spacing w:before="0" w:after="60"/>
        <w:contextualSpacing/>
        <w:rPr>
          <w:lang w:val="es-ES"/>
        </w:rPr>
      </w:pPr>
      <w:r>
        <w:rPr>
          <w:lang w:val="es-ES"/>
        </w:rPr>
        <w:t>No se permitirán actuaciones en zonas con pendientes superiores al 15%, presencia significativa de regenerado natural (arbóreo o matorral noble), focos de seca, ni en áreas con elevada densidad de conejo de monte.</w:t>
      </w:r>
    </w:p>
    <w:p>
      <w:pPr>
        <w:pStyle w:val="ListParagraph"/>
        <w:numPr>
          <w:ilvl w:val="0"/>
          <w:numId w:val="7"/>
        </w:numPr>
        <w:spacing w:before="0" w:after="60"/>
        <w:contextualSpacing/>
        <w:rPr>
          <w:lang w:val="es-ES"/>
        </w:rPr>
      </w:pPr>
      <w:r>
        <w:rPr>
          <w:lang w:val="es-ES"/>
        </w:rPr>
        <w:t>No son subvencionables los desbroces realizados en superficies con coeficiente de admisibilidad de pastos (CAP) superiores al 50%.</w:t>
      </w:r>
    </w:p>
    <w:p>
      <w:pPr>
        <w:pStyle w:val="ListParagraph"/>
        <w:numPr>
          <w:ilvl w:val="0"/>
          <w:numId w:val="7"/>
        </w:numPr>
        <w:spacing w:before="0" w:after="60"/>
        <w:contextualSpacing/>
        <w:rPr>
          <w:lang w:val="es-ES"/>
        </w:rPr>
      </w:pPr>
      <w:r>
        <w:rPr/>
        <w:t>Deberán respetarse árboles, arbustos, setos, lindes, vegetación de ribera, especies protegidas y elementos naturales que proporcionen refugio o valor ambiental. Se prohíbe expresamente el uso de herbicidas.</w:t>
      </w:r>
    </w:p>
    <w:p>
      <w:pPr>
        <w:pStyle w:val="ListParagraph"/>
        <w:numPr>
          <w:ilvl w:val="0"/>
          <w:numId w:val="7"/>
        </w:numPr>
        <w:spacing w:before="0" w:after="60"/>
        <w:contextualSpacing/>
        <w:rPr>
          <w:lang w:val="es-ES"/>
        </w:rPr>
      </w:pPr>
      <w:r>
        <w:rPr/>
        <w:t>La siembra deberá tener finalidad no productiva y emplear especies herbáceas adaptadas a la zona.</w:t>
      </w:r>
    </w:p>
    <w:p>
      <w:pPr>
        <w:pStyle w:val="ListParagraph"/>
        <w:numPr>
          <w:ilvl w:val="0"/>
          <w:numId w:val="7"/>
        </w:numPr>
        <w:spacing w:before="0" w:after="60"/>
        <w:contextualSpacing/>
        <w:rPr>
          <w:lang w:val="es-ES"/>
        </w:rPr>
      </w:pPr>
      <w:r>
        <w:rPr/>
        <w:t>La actuación deberá generar un mosaico de vegetación que combine zonas abiertas, zonas de refugio y recursos alimenticios.</w:t>
      </w:r>
    </w:p>
    <w:p>
      <w:pPr>
        <w:pStyle w:val="ListParagraph"/>
        <w:numPr>
          <w:ilvl w:val="0"/>
          <w:numId w:val="7"/>
        </w:numPr>
        <w:spacing w:before="0" w:after="60"/>
        <w:contextualSpacing/>
        <w:rPr>
          <w:lang w:val="es-ES"/>
        </w:rPr>
      </w:pPr>
      <w:r>
        <w:rPr/>
        <w:t>No se admitirán desbroces que supongan degradación del hábitat, aumento del riesgo erosivo, afección a cauces o eliminación injustificada de vegetación relevante.</w:t>
      </w:r>
    </w:p>
    <w:p>
      <w:pPr>
        <w:pStyle w:val="ListParagraph"/>
        <w:numPr>
          <w:ilvl w:val="0"/>
          <w:numId w:val="7"/>
        </w:numPr>
        <w:spacing w:before="0" w:after="60"/>
        <w:contextualSpacing/>
        <w:rPr>
          <w:lang w:val="es-ES"/>
        </w:rPr>
      </w:pPr>
      <w:r>
        <w:rPr/>
        <w:t>La maquinaria utilizada deberá ser adecuada a las condiciones del terreno, evitando daños innecesarios al suelo.</w:t>
      </w:r>
    </w:p>
    <w:p>
      <w:pPr>
        <w:pStyle w:val="ListParagraph"/>
        <w:numPr>
          <w:ilvl w:val="0"/>
          <w:numId w:val="7"/>
        </w:numPr>
        <w:spacing w:before="0" w:after="60"/>
        <w:contextualSpacing/>
        <w:rPr>
          <w:lang w:val="es-ES"/>
        </w:rPr>
      </w:pPr>
      <w:r>
        <w:rPr/>
        <w:t>La actuación deberá respetar las épocas de reproducción de la fauna y las limitaciones que, en su caso, imponga la normativa o autorización aplicable.</w:t>
      </w:r>
    </w:p>
    <w:p>
      <w:pPr>
        <w:pStyle w:val="ListParagraph"/>
        <w:numPr>
          <w:ilvl w:val="0"/>
          <w:numId w:val="7"/>
        </w:numPr>
        <w:spacing w:before="0" w:after="60"/>
        <w:contextualSpacing/>
        <w:rPr>
          <w:lang w:val="es-ES"/>
        </w:rPr>
      </w:pPr>
      <w:r>
        <w:rPr>
          <w:lang w:val="es-ES"/>
        </w:rPr>
        <w:t xml:space="preserve">La siembra será obligatoria tras cada actuación de desbroce. Para ello, se emplearán mezclas de semillas adaptadas a las condiciones edafoclimáticas de la zona, que deberán incluir, como mínimo, un 30 % en peso de </w:t>
      </w:r>
      <w:r>
        <w:rPr>
          <w:i/>
          <w:iCs/>
          <w:lang w:val="es-ES"/>
        </w:rPr>
        <w:t>Trifolium subterraneum</w:t>
      </w:r>
      <w:r>
        <w:rPr>
          <w:lang w:val="es-ES"/>
        </w:rPr>
        <w:t>, compuesto por al menos tres variedades de distinto ciclo vegetativo.</w:t>
      </w:r>
    </w:p>
    <w:p>
      <w:pPr>
        <w:pStyle w:val="ListParagraph"/>
        <w:spacing w:before="0" w:after="60"/>
        <w:contextualSpacing/>
        <w:rPr>
          <w:lang w:val="es-ES"/>
        </w:rPr>
      </w:pPr>
      <w:r>
        <w:rPr>
          <w:lang w:val="es-ES"/>
        </w:rPr>
        <w:t xml:space="preserve">La mezcla podrá completarse con otras leguminosas pratenses, tales como </w:t>
      </w:r>
      <w:r>
        <w:rPr>
          <w:i/>
          <w:iCs/>
          <w:lang w:val="es-ES"/>
        </w:rPr>
        <w:t>Medicago polymorpha</w:t>
      </w:r>
      <w:r>
        <w:rPr>
          <w:lang w:val="es-ES"/>
        </w:rPr>
        <w:t xml:space="preserve">, </w:t>
      </w:r>
      <w:r>
        <w:rPr>
          <w:i/>
          <w:iCs/>
          <w:lang w:val="es-ES"/>
        </w:rPr>
        <w:t>Ornithopus</w:t>
      </w:r>
      <w:r>
        <w:rPr>
          <w:lang w:val="es-ES"/>
        </w:rPr>
        <w:t xml:space="preserve"> spp. o </w:t>
      </w:r>
      <w:r>
        <w:rPr>
          <w:i/>
          <w:iCs/>
          <w:lang w:val="es-ES"/>
        </w:rPr>
        <w:t>Trifolium</w:t>
      </w:r>
      <w:r>
        <w:rPr>
          <w:lang w:val="es-ES"/>
        </w:rPr>
        <w:t xml:space="preserve"> spp., así como con gramíneas adaptadas a la zona, entre las que se incluyen </w:t>
      </w:r>
      <w:r>
        <w:rPr>
          <w:i/>
          <w:iCs/>
          <w:lang w:val="es-ES"/>
        </w:rPr>
        <w:t>Dactylis glomerata</w:t>
      </w:r>
      <w:r>
        <w:rPr>
          <w:lang w:val="es-ES"/>
        </w:rPr>
        <w:t xml:space="preserve"> y </w:t>
      </w:r>
      <w:r>
        <w:rPr>
          <w:i/>
          <w:iCs/>
          <w:lang w:val="es-ES"/>
        </w:rPr>
        <w:t>Lolium perenne</w:t>
      </w:r>
      <w:r>
        <w:rPr>
          <w:lang w:val="es-ES"/>
        </w:rPr>
        <w:t>.</w:t>
      </w:r>
    </w:p>
    <w:p>
      <w:pPr>
        <w:pStyle w:val="ListParagraph"/>
        <w:spacing w:before="0" w:after="60"/>
        <w:contextualSpacing/>
        <w:rPr>
          <w:lang w:val="es-ES"/>
        </w:rPr>
      </w:pPr>
      <w:r>
        <w:rPr>
          <w:lang w:val="es-ES"/>
        </w:rPr>
        <w:t xml:space="preserve">Con carácter orientativo, para incrementar la producción forrajera de los pastizales se consideran adecuadas las mezclas constituidas por 20 kg/ha de leguminosas pratenses asociadas a 10 kg/ha de </w:t>
      </w:r>
      <w:r>
        <w:rPr>
          <w:i/>
          <w:iCs/>
          <w:lang w:val="es-ES"/>
        </w:rPr>
        <w:t>Lolium perenne</w:t>
      </w:r>
      <w:r>
        <w:rPr>
          <w:lang w:val="es-ES"/>
        </w:rPr>
        <w:t xml:space="preserve"> (ray-grass) o a 60 kg/ha de triticale. Asimismo, se recomienda la utilización de mezclas formadas por 20 kg/ha de especies pratenses y 25 kg/ha de tremosilla.</w:t>
      </w:r>
    </w:p>
    <w:p>
      <w:pPr>
        <w:pStyle w:val="ListParagraph"/>
        <w:spacing w:before="0" w:after="60"/>
        <w:contextualSpacing/>
        <w:rPr>
          <w:lang w:val="es-ES"/>
        </w:rPr>
      </w:pPr>
      <w:r>
        <w:rPr>
          <w:lang w:val="es-ES"/>
        </w:rPr>
        <w:t>La semilla de leguminosa deberá estar inoculada para favorecer la fijación de nitrógeno, utilizando una dosis mínima de siembra de 35-40 kg/ha, y llevando a cabo la siembra 10 días mínimo posterior al desbroce.</w:t>
      </w:r>
    </w:p>
    <w:p>
      <w:pPr>
        <w:pStyle w:val="ListParagraph"/>
        <w:numPr>
          <w:ilvl w:val="0"/>
          <w:numId w:val="7"/>
        </w:numPr>
        <w:spacing w:before="0" w:after="60"/>
        <w:contextualSpacing/>
        <w:rPr>
          <w:lang w:val="es-ES"/>
        </w:rPr>
      </w:pPr>
      <w:r>
        <w:rPr>
          <w:lang w:val="es-ES"/>
        </w:rPr>
        <w:t>Con respecto a las labores se efectuará previo a la siembra un laboreo somero con rastrillo de discos, aplicando una fertilización de fondo de 200 kg/ha de superfosfato de cal (18%) o roca fosfórica natural en el primer año, y en años sucesivos será suficiente con un abonado de mantenimiento en otoño.</w:t>
      </w:r>
    </w:p>
    <w:p>
      <w:pPr>
        <w:pStyle w:val="ListParagraph"/>
        <w:numPr>
          <w:ilvl w:val="0"/>
          <w:numId w:val="7"/>
        </w:numPr>
        <w:spacing w:before="0" w:after="60"/>
        <w:contextualSpacing/>
        <w:rPr>
          <w:lang w:val="es-ES"/>
        </w:rPr>
      </w:pPr>
      <w:r>
        <w:rPr>
          <w:lang w:val="es-ES"/>
        </w:rPr>
        <w:t>Será obligatorio el establecimiento de un cerramiento cuando exista población elevada de caza mayor o alta presión ganadera. Dicho cerramiento podrá realizarse con malla cinegética, estacas de madera y sistema de doble puerta en caso necesario o pastor eléctrico.</w:t>
      </w:r>
    </w:p>
    <w:p>
      <w:pPr>
        <w:pStyle w:val="ListParagraph"/>
        <w:numPr>
          <w:ilvl w:val="0"/>
          <w:numId w:val="7"/>
        </w:numPr>
        <w:spacing w:before="0" w:after="60"/>
        <w:contextualSpacing/>
        <w:rPr>
          <w:lang w:val="es-ES"/>
        </w:rPr>
      </w:pPr>
      <w:r>
        <w:rPr/>
        <w:t>Las actuaciones se ejecutarán en superficies unitarias comprendidas entre 0,5 y 2 ha, pudiendo alcanzarse una superficie acumulada máxima de 10 ha por unidad de gestión.</w:t>
      </w:r>
    </w:p>
    <w:p>
      <w:pPr>
        <w:pStyle w:val="Normal"/>
        <w:spacing w:before="0" w:after="60"/>
        <w:ind w:left="397" w:hanging="255"/>
        <w:rPr/>
      </w:pPr>
      <w:r>
        <w:rPr/>
      </w:r>
    </w:p>
    <w:p>
      <w:pPr>
        <w:pStyle w:val="Ttulo3"/>
        <w:jc w:val="left"/>
        <w:rPr/>
      </w:pPr>
      <w:r>
        <w:rPr/>
        <w:t>3. Límites subvencionables</w:t>
      </w:r>
    </w:p>
    <w:p>
      <w:pPr>
        <w:pStyle w:val="Normal"/>
        <w:rPr/>
      </w:pPr>
      <w:r>
        <w:rPr/>
        <w:t>El coste máximo subvencionable será el previsto en la Base Primera.</w:t>
      </w:r>
    </w:p>
    <w:p>
      <w:pPr>
        <w:pStyle w:val="Normal"/>
        <w:rPr/>
      </w:pPr>
      <w:r>
        <w:rPr/>
        <w:t>El límite máximo será de hasta 10 hectáreas por unidad de gestión de 250 hectáreas.</w:t>
      </w:r>
    </w:p>
    <w:p>
      <w:pPr>
        <w:pStyle w:val="Ttulo3"/>
        <w:jc w:val="left"/>
        <w:rPr/>
      </w:pPr>
      <w:r>
        <w:rPr/>
        <w:t>4. Documentación justificativa específica</w:t>
      </w:r>
    </w:p>
    <w:p>
      <w:pPr>
        <w:pStyle w:val="Normal"/>
        <w:rPr/>
      </w:pPr>
      <w:r>
        <w:rPr/>
        <w:t>La entidad beneficiaria deberá aportar:</w:t>
      </w:r>
    </w:p>
    <w:p>
      <w:pPr>
        <w:pStyle w:val="Normal"/>
        <w:spacing w:before="0" w:after="60"/>
        <w:ind w:left="397" w:hanging="255"/>
        <w:rPr/>
      </w:pPr>
      <w:r>
        <w:rPr/>
        <w:t>a) Plano de localización y medición de las superficies desbrozadas y sembradas, indicando recinto polígono y parcela.</w:t>
      </w:r>
    </w:p>
    <w:p>
      <w:pPr>
        <w:pStyle w:val="Normal"/>
        <w:spacing w:before="0" w:after="60"/>
        <w:ind w:left="397" w:hanging="255"/>
        <w:rPr/>
      </w:pPr>
      <w:r>
        <w:rPr/>
        <w:t>b) Descripción de la mezcla de semilla utilizada, fecha de siembra, dosis, labores realizadas y fertilización aplicada.</w:t>
      </w:r>
    </w:p>
    <w:p>
      <w:pPr>
        <w:pStyle w:val="Normal"/>
        <w:spacing w:before="0" w:after="60"/>
        <w:ind w:left="397" w:hanging="255"/>
        <w:rPr/>
      </w:pPr>
      <w:r>
        <w:rPr/>
        <w:t>c) Fotografías georreferenciadas antes de la actuación y después de la actuación.</w:t>
      </w:r>
    </w:p>
    <w:p>
      <w:pPr>
        <w:pStyle w:val="Normal"/>
        <w:spacing w:before="0" w:after="60"/>
        <w:ind w:left="397" w:hanging="255"/>
        <w:rPr/>
      </w:pPr>
      <w:r>
        <w:rPr/>
        <w:t>d) Facturas y justificantes de pago de trabajos de desbroce, semillas, maquinaria o labores realizadas.</w:t>
      </w:r>
    </w:p>
    <w:p>
      <w:pPr>
        <w:pStyle w:val="Normal"/>
        <w:spacing w:before="0" w:after="60"/>
        <w:ind w:left="397" w:hanging="255"/>
        <w:rPr/>
      </w:pPr>
      <w:r>
        <w:rPr/>
        <w:t>e) Informes favorabless y/o de no afección, en caso de que la normativa en vigor así lo exija, emitidos por el órgano competente según la normativa sectorial.</w:t>
      </w:r>
    </w:p>
    <w:p>
      <w:pPr>
        <w:pStyle w:val="Normal"/>
        <w:spacing w:before="0" w:after="60"/>
        <w:ind w:left="397" w:hanging="255"/>
        <w:rPr/>
      </w:pPr>
      <w:r>
        <w:rPr/>
        <w:t>f) Cualquier otra autorización que sea requerida conforme a la normativa en vigor del órgano competente.</w:t>
      </w:r>
    </w:p>
    <w:p>
      <w:pPr>
        <w:pStyle w:val="Ttulo2"/>
        <w:jc w:val="left"/>
        <w:rPr/>
      </w:pPr>
      <w:r>
        <w:rPr/>
        <w:t>ACTUACIÓN 5. CONSTRUCCIÓN DE PUNTOS DE AGUA</w:t>
      </w:r>
    </w:p>
    <w:p>
      <w:pPr>
        <w:pStyle w:val="Ttulo3"/>
        <w:jc w:val="left"/>
        <w:rPr/>
      </w:pPr>
      <w:r>
        <w:rPr/>
        <w:t>1. Finalidad</w:t>
      </w:r>
    </w:p>
    <w:p>
      <w:pPr>
        <w:pStyle w:val="Normal"/>
        <w:rPr/>
      </w:pPr>
      <w:r>
        <w:rPr/>
        <w:t>La construcción de puntos de agua tiene por finalidad mejorar la disponibilidad hídrica para especies cinegéticas de caza menor y fauna silvestre asociada, especialmente en zonas con escasez de agua natural, periodos de sequía o elevada dependencia de puntos de agua temporales.</w:t>
      </w:r>
    </w:p>
    <w:p>
      <w:pPr>
        <w:pStyle w:val="Ttulo3"/>
        <w:jc w:val="left"/>
        <w:rPr/>
      </w:pPr>
      <w:r>
        <w:rPr/>
        <w:t>2. Condiciones técnicas mínimas</w:t>
      </w:r>
    </w:p>
    <w:p>
      <w:pPr>
        <w:pStyle w:val="Normal"/>
        <w:spacing w:before="0" w:after="60"/>
        <w:ind w:left="397" w:hanging="255"/>
        <w:rPr/>
      </w:pPr>
      <w:r>
        <w:rPr/>
        <w:t>a) Los puntos de agua deberán diseñarse de forma segura para la fauna, evitando riesgos de ahogamiento, atrapamiento o imposibilidad de salida.</w:t>
      </w:r>
    </w:p>
    <w:p>
      <w:pPr>
        <w:pStyle w:val="Normal"/>
        <w:spacing w:before="0" w:after="60"/>
        <w:ind w:left="397" w:hanging="255"/>
        <w:rPr/>
      </w:pPr>
      <w:r>
        <w:rPr/>
        <w:t>b) La ubicación deberá seleccionarse en zonas estratégicas del coto, alejadas de puntos de agua naturales o artificiales ya existentes, y deberá justificarse gráficamente en un plano SIGPAC.</w:t>
      </w:r>
    </w:p>
    <w:p>
      <w:pPr>
        <w:pStyle w:val="Normal"/>
        <w:spacing w:before="0" w:after="60"/>
        <w:ind w:left="397" w:hanging="255"/>
        <w:rPr/>
      </w:pPr>
      <w:r>
        <w:rPr/>
        <w:t>c) Se priorizarán áreas con presencia habitual de especies de caza menor, especialmente donde se hayan ejecutado medidas de mejora del habitat (vivares, márgenes, siembras, etc.)</w:t>
      </w:r>
    </w:p>
    <w:p>
      <w:pPr>
        <w:pStyle w:val="Normal"/>
        <w:spacing w:before="0" w:after="60"/>
        <w:ind w:left="397" w:hanging="255"/>
        <w:rPr/>
      </w:pPr>
      <w:r>
        <w:rPr/>
        <w:t>d) No se podrán ubicar sobre cauces públicos, zonas inundable, áreas de elevada pendiente ni espacios protegidos sin autorización expresa.</w:t>
      </w:r>
    </w:p>
    <w:p>
      <w:pPr>
        <w:pStyle w:val="Normal"/>
        <w:spacing w:before="0" w:after="60"/>
        <w:ind w:left="397" w:hanging="255"/>
        <w:rPr/>
      </w:pPr>
      <w:r>
        <w:rPr/>
        <w:t>e) Cada punto de agua deberá tener una capacidad mínima de 1.000 litros garantizando disponibilidad durante al menos 30 días en condiciones de estiaje. No se permitirán charcas con paredes verticales.</w:t>
      </w:r>
    </w:p>
    <w:p>
      <w:pPr>
        <w:pStyle w:val="Normal"/>
        <w:spacing w:before="0" w:after="60"/>
        <w:ind w:left="397" w:hanging="255"/>
        <w:rPr/>
      </w:pPr>
      <w:r>
        <w:rPr/>
        <w:t>f) Los sistemas de llenado serán prioritariamente con recogida de aguas pluviales o aporte manual con camión cisterna, bombeo, etc.</w:t>
      </w:r>
    </w:p>
    <w:p>
      <w:pPr>
        <w:pStyle w:val="Normal"/>
        <w:spacing w:before="0" w:after="60"/>
        <w:ind w:left="397" w:hanging="255"/>
        <w:rPr/>
      </w:pPr>
      <w:r>
        <w:rPr/>
        <w:t>g) Como puntos de agua pueden ser un aljibe o depósito semienterrado o protegido, de material resistente a UV, impactos y heladas (polietileno, hormigón o similar).</w:t>
      </w:r>
    </w:p>
    <w:p>
      <w:pPr>
        <w:pStyle w:val="Normal"/>
        <w:spacing w:before="0" w:after="60"/>
        <w:ind w:left="397" w:hanging="255"/>
        <w:rPr/>
      </w:pPr>
      <w:r>
        <w:rPr/>
        <w:t>h) Deberán tener los puntos de agua un bebedero asociado de acceso progresivo (rampa suave de entrada) o con elementos antiahogamiento para fauna menor.</w:t>
      </w:r>
    </w:p>
    <w:p>
      <w:pPr>
        <w:pStyle w:val="Normal"/>
        <w:spacing w:before="0" w:after="60"/>
        <w:ind w:left="397" w:hanging="0"/>
        <w:rPr/>
      </w:pPr>
      <w:r>
        <w:rPr/>
        <w:t>Deberán contar con pendientes, rampas, bordes adaptados o sistemas equivalentes que permitan el acceso y salida de pequeños vertebrados.</w:t>
      </w:r>
    </w:p>
    <w:p>
      <w:pPr>
        <w:pStyle w:val="Normal"/>
        <w:spacing w:before="0" w:after="60"/>
        <w:ind w:left="397" w:hanging="255"/>
        <w:rPr/>
      </w:pPr>
      <w:r>
        <w:rPr/>
        <w:t>i) Se ubicarán preferentemente en zonas de baja perturbación, próximas a áreas de refugio, alimentación o presencia de especies de caza menor.</w:t>
      </w:r>
    </w:p>
    <w:p>
      <w:pPr>
        <w:pStyle w:val="Normal"/>
        <w:spacing w:before="0" w:after="60"/>
        <w:ind w:left="397" w:hanging="255"/>
        <w:rPr/>
      </w:pPr>
      <w:r>
        <w:rPr/>
        <w:t>j) No deberán situarse en lugares que puedan provocar erosión, contaminación, afección a cauces, alteración de zonas húmedas naturales o daños a terceros.</w:t>
      </w:r>
    </w:p>
    <w:p>
      <w:pPr>
        <w:pStyle w:val="Normal"/>
        <w:spacing w:before="0" w:after="60"/>
        <w:ind w:left="397" w:hanging="255"/>
        <w:rPr/>
      </w:pPr>
      <w:r>
        <w:rPr/>
        <w:t>k) Cuando se ubiquen en dominio público hidráulico, zona de policía de cauces, montes públicos, vías pecuarias, espacios protegidos o terrenos sujetos a autorización, deberá obtenerse la conformidad o autorización que resulte preceptiva.</w:t>
      </w:r>
    </w:p>
    <w:p>
      <w:pPr>
        <w:pStyle w:val="Normal"/>
        <w:spacing w:before="0" w:after="60"/>
        <w:ind w:left="397" w:hanging="255"/>
        <w:rPr/>
      </w:pPr>
      <w:r>
        <w:rPr/>
        <w:t>l) La entidad beneficiaria deberá garantizar el mantenimiento periódico del punto de agua, especialmente en periodos de escasez hídrica.</w:t>
      </w:r>
    </w:p>
    <w:p>
      <w:pPr>
        <w:pStyle w:val="Normal"/>
        <w:spacing w:before="0" w:after="60"/>
        <w:ind w:left="397" w:hanging="255"/>
        <w:rPr/>
      </w:pPr>
      <w:r>
        <w:rPr/>
        <w:t>m) No se admitirán instalaciones que generen contaminación, acumulación de residuos, proliferación de enfermedades o riesgo para la fauna.</w:t>
      </w:r>
    </w:p>
    <w:p>
      <w:pPr>
        <w:pStyle w:val="Normal"/>
        <w:spacing w:before="0" w:after="60"/>
        <w:ind w:left="397" w:hanging="255"/>
        <w:rPr/>
      </w:pPr>
      <w:r>
        <w:rPr/>
        <w:t>n) Se recomienda la instalación de un cerramiento de protección para evitar interferencias derivadas de la presencia de ganado o fauna mayor.</w:t>
      </w:r>
    </w:p>
    <w:p>
      <w:pPr>
        <w:pStyle w:val="Normal"/>
        <w:spacing w:before="0" w:after="60"/>
        <w:ind w:left="397" w:hanging="255"/>
        <w:rPr/>
      </w:pPr>
      <w:r>
        <w:rPr/>
        <w:t>ñ) Se evitará la instalación en áreas de elevada concentración ganadera, salvo justificación técnica.</w:t>
      </w:r>
    </w:p>
    <w:p>
      <w:pPr>
        <w:pStyle w:val="Normal"/>
        <w:spacing w:before="0" w:after="60"/>
        <w:ind w:left="397" w:hanging="255"/>
        <w:rPr/>
      </w:pPr>
      <w:r>
        <w:rPr/>
        <w:t>o) Es recomendable incluir sistema de control de nivel (indicador de llenado) para facilitar el mantenimiento.</w:t>
      </w:r>
    </w:p>
    <w:p>
      <w:pPr>
        <w:pStyle w:val="Normal"/>
        <w:spacing w:before="0" w:after="60"/>
        <w:ind w:left="397" w:hanging="255"/>
        <w:rPr/>
      </w:pPr>
      <w:r>
        <w:rPr/>
        <w:t>p) El beneficiario deberá comprometerse a mantener operativo el punto de agua durante un mínimo de 5 años, incluyendo su limpieza periódica, revisión de estructura y recarga en caso necesario.</w:t>
      </w:r>
    </w:p>
    <w:p>
      <w:pPr>
        <w:pStyle w:val="Ttulo3"/>
        <w:jc w:val="left"/>
        <w:rPr/>
      </w:pPr>
      <w:r>
        <w:rPr/>
        <w:t>3. Límites subvencionables</w:t>
      </w:r>
    </w:p>
    <w:p>
      <w:pPr>
        <w:pStyle w:val="Normal"/>
        <w:rPr/>
      </w:pPr>
      <w:r>
        <w:rPr/>
        <w:t>El coste máximo subvencionable será el previsto en la Base Primera.</w:t>
      </w:r>
    </w:p>
    <w:p>
      <w:pPr>
        <w:pStyle w:val="Normal"/>
        <w:rPr/>
      </w:pPr>
      <w:r>
        <w:rPr/>
        <w:t>El límite máximo será de hasta 1 punto de agua por unidad de gestión de 250 hectáreas.</w:t>
      </w:r>
    </w:p>
    <w:p>
      <w:pPr>
        <w:pStyle w:val="Ttulo3"/>
        <w:jc w:val="left"/>
        <w:rPr/>
      </w:pPr>
      <w:r>
        <w:rPr/>
        <w:t>4. Documentación justificativa específica</w:t>
      </w:r>
    </w:p>
    <w:p>
      <w:pPr>
        <w:pStyle w:val="Normal"/>
        <w:rPr/>
      </w:pPr>
      <w:r>
        <w:rPr/>
        <w:t>La entidad beneficiaria deberá aportar:</w:t>
      </w:r>
    </w:p>
    <w:p>
      <w:pPr>
        <w:pStyle w:val="Normal"/>
        <w:spacing w:before="0" w:after="60"/>
        <w:ind w:left="397" w:hanging="255"/>
        <w:rPr/>
      </w:pPr>
      <w:r>
        <w:rPr/>
        <w:t>a) Plano y coordenadas de ubicación del punto de agua.</w:t>
      </w:r>
    </w:p>
    <w:p>
      <w:pPr>
        <w:pStyle w:val="Normal"/>
        <w:spacing w:before="0" w:after="60"/>
        <w:ind w:left="397" w:hanging="255"/>
        <w:rPr/>
      </w:pPr>
      <w:r>
        <w:rPr/>
        <w:t>b) Descripción de sus características técnicas.</w:t>
      </w:r>
    </w:p>
    <w:p>
      <w:pPr>
        <w:pStyle w:val="Normal"/>
        <w:spacing w:before="0" w:after="60"/>
        <w:ind w:left="397" w:hanging="255"/>
        <w:rPr/>
      </w:pPr>
      <w:r>
        <w:rPr/>
        <w:t>c) Fotografías fechadas y preferentemente georreferenciadas del estado inicial, ejecución y resultado final.</w:t>
      </w:r>
    </w:p>
    <w:p>
      <w:pPr>
        <w:pStyle w:val="Normal"/>
        <w:spacing w:before="0" w:after="60"/>
        <w:ind w:left="397" w:hanging="255"/>
        <w:rPr/>
      </w:pPr>
      <w:r>
        <w:rPr/>
        <w:t>d) Facturas y justificantes de pago.</w:t>
      </w:r>
    </w:p>
    <w:p>
      <w:pPr>
        <w:pStyle w:val="Normal"/>
        <w:spacing w:before="0" w:after="60"/>
        <w:ind w:left="397" w:hanging="255"/>
        <w:rPr/>
      </w:pPr>
      <w:r>
        <w:rPr/>
        <w:t>e) Acreditación de su uso por parte de fauna cinegética (mediante fototrampeo, visitas técnicas, etc.) si fuera requerido.</w:t>
      </w:r>
    </w:p>
    <w:p>
      <w:pPr>
        <w:pStyle w:val="Normal"/>
        <w:spacing w:before="0" w:after="60"/>
        <w:ind w:left="397" w:hanging="255"/>
        <w:rPr/>
      </w:pPr>
      <w:r>
        <w:rPr/>
        <w:t>f) Informes favorables y/o de no afección, en caso de que la normativa en vigor así lo exija, emitidos por el órgano competente de la Comunidad Autónoma.</w:t>
      </w:r>
    </w:p>
    <w:p>
      <w:pPr>
        <w:pStyle w:val="Normal"/>
        <w:spacing w:before="0" w:after="60"/>
        <w:ind w:left="397" w:hanging="255"/>
        <w:rPr/>
      </w:pPr>
      <w:r>
        <w:rPr/>
        <w:t>g) Requisitos normativos y autorizaciones, así como cualquier otra autorización que sea requerida conforme la normativa en vigor del órgano competente.</w:t>
      </w:r>
    </w:p>
    <w:p>
      <w:pPr>
        <w:pStyle w:val="Ttulo1"/>
        <w:jc w:val="left"/>
        <w:rPr/>
      </w:pPr>
      <w:r>
        <w:rPr/>
        <w:t>5. BLOQUE B. RECUPERACIÓN DEL CONEJO DE MONTE (ORYCTOLAGUS CUNICULUS)</w:t>
      </w:r>
    </w:p>
    <w:p>
      <w:pPr>
        <w:pStyle w:val="Ttulo2"/>
        <w:jc w:val="left"/>
        <w:rPr/>
      </w:pPr>
      <w:r>
        <w:rPr/>
        <w:t>ACTUACIÓN 6. CREACIÓN DE NÚCLEO DE CRÍA SEMIEXTENSIVO CON REPOBLACIÓN DE CONEJOS</w:t>
      </w:r>
    </w:p>
    <w:p>
      <w:pPr>
        <w:pStyle w:val="Ttulo3"/>
        <w:jc w:val="left"/>
        <w:rPr/>
      </w:pPr>
      <w:r>
        <w:rPr/>
        <w:t>1. Finalidad</w:t>
      </w:r>
    </w:p>
    <w:p>
      <w:pPr>
        <w:pStyle w:val="Normal"/>
        <w:rPr>
          <w:lang w:val="es-ES"/>
        </w:rPr>
      </w:pPr>
      <w:r>
        <w:rPr/>
        <w:t xml:space="preserve">La creación de núcleos de cría semiextensivos tiene por finalidad favorecer el establecimiento, reproducción y expansión controlada del conejo de monte </w:t>
      </w:r>
      <w:r>
        <w:rPr>
          <w:i/>
        </w:rPr>
        <w:t>(Oryctolagus cuniculus)</w:t>
      </w:r>
      <w:r>
        <w:rPr/>
        <w:t xml:space="preserve"> en zonas adecuadas del coto social, mediante infraestructuras que proporcionen refugio, protección, alimentación, agua y condiciones adecuadas de adaptación.</w:t>
      </w:r>
    </w:p>
    <w:p>
      <w:pPr>
        <w:pStyle w:val="Ttulo3"/>
        <w:jc w:val="left"/>
        <w:rPr/>
      </w:pPr>
      <w:r>
        <w:rPr/>
        <w:t>2. Condiciones técnicas mínimas</w:t>
      </w:r>
    </w:p>
    <w:p>
      <w:pPr>
        <w:pStyle w:val="Normal"/>
        <w:spacing w:before="0" w:after="60"/>
        <w:ind w:left="397" w:hanging="255"/>
        <w:rPr/>
      </w:pPr>
      <w:r>
        <w:rPr/>
        <w:t>a) El núcleo deberá ubicarse en una zona técnicamente adecuada para el conejo de monte, con disponibilidad de refugio, alimento, agua y conectividad con áreas favorables.</w:t>
      </w:r>
    </w:p>
    <w:p>
      <w:pPr>
        <w:pStyle w:val="Normal"/>
        <w:spacing w:before="0" w:after="60"/>
        <w:ind w:left="397" w:hanging="255"/>
        <w:rPr/>
      </w:pPr>
      <w:r>
        <w:rPr/>
        <w:t>b) Deberá evitarse su implantación en zonas inundables, excesivamente expuestas, carentes de cobertura, con presión elevada de molestias o con riesgo evidente para la supervivencia de los ejemplares.</w:t>
      </w:r>
    </w:p>
    <w:p>
      <w:pPr>
        <w:pStyle w:val="Normal"/>
        <w:spacing w:before="0" w:after="60"/>
        <w:ind w:left="397" w:hanging="255"/>
        <w:rPr/>
      </w:pPr>
      <w:r>
        <w:rPr/>
        <w:t>c) Cada núcleo deberá ocupar una superficie mínima de 1.875m2, distribuidos preferentemente en forma rectangular. Incluirá mínimo ocho vivares artificiales (majanos) integrados en el diseño del recinto, dos puntos de agua protegidos y operativos, dos puntos de alimentación con comederos tipo tolva adaptados a conejo, una zona de siembra en el interior del recinto para proporcionar alimento natural, así como refugios artificiales o vegetales como balas de paja o arbustos.</w:t>
      </w:r>
    </w:p>
    <w:p>
      <w:pPr>
        <w:pStyle w:val="Normal"/>
        <w:spacing w:before="0" w:after="60"/>
        <w:ind w:left="397" w:hanging="255"/>
        <w:rPr/>
      </w:pPr>
      <w:r>
        <w:rPr/>
        <w:t>d) Se instalará un vallado exterior con malla gallinera de al menos 2 m de altura, y deberá estar enterrada al menos 50 cm, así</w:t>
      </w:r>
      <w:bookmarkStart w:id="0" w:name="_GoBack"/>
      <w:bookmarkEnd w:id="0"/>
      <w:r>
        <w:rPr/>
        <w:t xml:space="preserve"> como deberá tener un solape superior de 30 cm hacia el exterior, para impedir tanto la salida de conejos como la entrada de predadores. En el interior del recinto se añadirá una segunda malla tipo simple torsion de un metro, para dar consistencia a la estructura. </w:t>
      </w:r>
    </w:p>
    <w:p>
      <w:pPr>
        <w:pStyle w:val="Normal"/>
        <w:spacing w:before="0" w:after="60"/>
        <w:ind w:left="397" w:hanging="255"/>
        <w:rPr/>
      </w:pPr>
      <w:r>
        <w:rPr/>
        <w:t>e) La zona de siembra se delimitará con malla ganadera.</w:t>
      </w:r>
    </w:p>
    <w:p>
      <w:pPr>
        <w:pStyle w:val="Normal"/>
        <w:spacing w:before="0" w:after="60"/>
        <w:ind w:left="397" w:hanging="0"/>
        <w:rPr/>
      </w:pPr>
      <w:r>
        <w:rPr/>
        <w:t>Se adjunta esquema como opción del detalle técnico.</w:t>
      </w:r>
    </w:p>
    <w:p>
      <w:pPr>
        <w:pStyle w:val="Normal"/>
        <w:spacing w:before="0" w:after="60"/>
        <w:ind w:left="397" w:hanging="255"/>
        <w:rPr/>
      </w:pPr>
      <w:r>
        <w:rPr/>
        <w:drawing>
          <wp:inline distT="0" distB="0" distL="0" distR="0">
            <wp:extent cx="6043930" cy="4612005"/>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2"/>
                    <a:stretch>
                      <a:fillRect/>
                    </a:stretch>
                  </pic:blipFill>
                  <pic:spPr bwMode="auto">
                    <a:xfrm>
                      <a:off x="0" y="0"/>
                      <a:ext cx="6043930" cy="4612005"/>
                    </a:xfrm>
                    <a:prstGeom prst="rect">
                      <a:avLst/>
                    </a:prstGeom>
                  </pic:spPr>
                </pic:pic>
              </a:graphicData>
            </a:graphic>
          </wp:inline>
        </w:drawing>
      </w:r>
    </w:p>
    <w:p>
      <w:pPr>
        <w:pStyle w:val="Normal"/>
        <w:spacing w:before="0" w:after="60"/>
        <w:ind w:left="397" w:hanging="0"/>
        <w:rPr/>
      </w:pPr>
      <w:r>
        <w:rPr/>
        <w:t>El núcleo podrá incluir cerramiento, vivares o majanos, refugios, comederos, bebederos, zonas de siembra o mejora del hábitat y demás elementos necesarios para garantizar su funcionalidad.</w:t>
      </w:r>
    </w:p>
    <w:p>
      <w:pPr>
        <w:pStyle w:val="Normal"/>
        <w:spacing w:before="0" w:after="60"/>
        <w:ind w:left="397" w:hanging="255"/>
        <w:rPr/>
      </w:pPr>
      <w:r>
        <w:rPr/>
        <w:t>f) El diseño deberá permitir la adaptación progresiva de los ejemplares y favorecer su reproducción y dispersión natural hacia el entorno.</w:t>
      </w:r>
    </w:p>
    <w:p>
      <w:pPr>
        <w:pStyle w:val="Normal"/>
        <w:spacing w:before="0" w:after="60"/>
        <w:ind w:left="397" w:hanging="255"/>
        <w:rPr/>
      </w:pPr>
      <w:r>
        <w:rPr/>
        <w:t>g) La repoblación asociada al núcleo deberá contar con las autorizaciones administrativas exigibles conforme a la normativa autonómica de caza, sanidad animal y biodiversidad.</w:t>
      </w:r>
    </w:p>
    <w:p>
      <w:pPr>
        <w:pStyle w:val="Normal"/>
        <w:spacing w:before="0" w:after="60"/>
        <w:ind w:left="397" w:hanging="255"/>
        <w:rPr/>
      </w:pPr>
      <w:r>
        <w:rPr/>
        <w:t>h) Los ejemplares deberán proceder de origen legalmente autorizado y contar con la documentación sanitaria, de procedencia, transporte e identificación que resulte exigible.</w:t>
      </w:r>
    </w:p>
    <w:p>
      <w:pPr>
        <w:pStyle w:val="Normal"/>
        <w:spacing w:before="0" w:after="60"/>
        <w:ind w:left="397" w:hanging="255"/>
        <w:rPr/>
      </w:pPr>
      <w:r>
        <w:rPr/>
        <w:t>i) No se admitirán ejemplares de origen desconocido, sin documentación acreditativa o que no cumplan los requisitos sanitarios exigibles.</w:t>
      </w:r>
    </w:p>
    <w:p>
      <w:pPr>
        <w:pStyle w:val="Normal"/>
        <w:spacing w:before="0" w:after="60"/>
        <w:ind w:left="397" w:hanging="255"/>
        <w:rPr/>
      </w:pPr>
      <w:r>
        <w:rPr/>
        <w:t>j) La entidad beneficiaria deberá adoptar medidas de seguimiento inicial y mantenimiento del núcleo durante el periodo comprometido.</w:t>
      </w:r>
    </w:p>
    <w:p>
      <w:pPr>
        <w:pStyle w:val="Normal"/>
        <w:spacing w:before="0" w:after="60"/>
        <w:ind w:left="397" w:hanging="255"/>
        <w:rPr/>
      </w:pPr>
      <w:r>
        <w:rPr/>
        <w:t>k) El núcleo deberá integrarse en una estrategia de recuperación del conejo de monte que incluya, cuando sea necesario, mejora del hábitat, disponibilidad de alimento y agua y refugios adecuados.</w:t>
      </w:r>
    </w:p>
    <w:p>
      <w:pPr>
        <w:pStyle w:val="Normal"/>
        <w:spacing w:before="0" w:after="60"/>
        <w:ind w:left="397" w:hanging="255"/>
        <w:rPr/>
      </w:pPr>
      <w:r>
        <w:rPr/>
        <w:t>l) El núcleo debe estar orientado a la reproducción in situ del conejo de monte, por lo que no se permite la suelta directa sin haber completado un ciclo reproductive.</w:t>
      </w:r>
    </w:p>
    <w:p>
      <w:pPr>
        <w:pStyle w:val="Normal"/>
        <w:spacing w:before="0" w:after="60"/>
        <w:ind w:left="397" w:hanging="255"/>
        <w:rPr/>
      </w:pPr>
      <w:r>
        <w:rPr/>
        <w:t>m) Se garantizará una densidad inicial máxima de 80 conejos por núcleo, con proporción recomendada de 3 machos por cada 5 hembras.</w:t>
      </w:r>
    </w:p>
    <w:p>
      <w:pPr>
        <w:pStyle w:val="Normal"/>
        <w:spacing w:before="0" w:after="60"/>
        <w:ind w:firstLine="142"/>
        <w:rPr>
          <w:lang w:val="es-ES"/>
        </w:rPr>
      </w:pPr>
      <w:r>
        <w:rPr/>
        <w:t xml:space="preserve">n) Se controlará </w:t>
      </w:r>
      <w:r>
        <w:rPr>
          <w:lang w:val="es-ES"/>
        </w:rPr>
        <w:t>la presión de predadores mediante sistemas pasivos (cierre, refugios) sin uso de        métodos invasivos.</w:t>
      </w:r>
    </w:p>
    <w:p>
      <w:pPr>
        <w:pStyle w:val="Normal"/>
        <w:spacing w:before="0" w:after="60"/>
        <w:rPr>
          <w:lang w:val="es-ES"/>
        </w:rPr>
      </w:pPr>
      <w:r>
        <w:rPr>
          <w:lang w:val="es-ES"/>
        </w:rPr>
        <w:t xml:space="preserve">ñ) </w:t>
      </w:r>
      <w:r>
        <w:rPr/>
        <w:t>Se prohíbe el aprovechamiento cinegético en un radio de 250 metros alrededor de los núcleos</w:t>
      </w:r>
      <w:r>
        <w:rPr>
          <w:lang w:val="es-ES"/>
        </w:rPr>
        <w:t>.</w:t>
      </w:r>
    </w:p>
    <w:p>
      <w:pPr>
        <w:pStyle w:val="Normal"/>
        <w:spacing w:before="0" w:after="60"/>
        <w:rPr>
          <w:lang w:val="es-ES"/>
        </w:rPr>
      </w:pPr>
      <w:r>
        <w:rPr>
          <w:lang w:val="es-ES"/>
        </w:rPr>
        <w:t>o) No podrá situarse en zonas con alta densidad previa de conejo, salvo informe técnico favorable.</w:t>
      </w:r>
    </w:p>
    <w:p>
      <w:pPr>
        <w:pStyle w:val="Normal"/>
        <w:spacing w:before="0" w:after="60"/>
        <w:rPr>
          <w:lang w:val="es-ES"/>
        </w:rPr>
      </w:pPr>
      <w:r>
        <w:rPr>
          <w:lang w:val="es-ES"/>
        </w:rPr>
        <w:t>p) Deberá mantenerse operativo durante al menos 5 años.</w:t>
      </w:r>
    </w:p>
    <w:p>
      <w:pPr>
        <w:pStyle w:val="Normal"/>
        <w:spacing w:before="0" w:after="60"/>
        <w:ind w:left="397" w:hanging="255"/>
        <w:rPr/>
      </w:pPr>
      <w:r>
        <w:rPr/>
      </w:r>
    </w:p>
    <w:p>
      <w:pPr>
        <w:pStyle w:val="Ttulo3"/>
        <w:jc w:val="left"/>
        <w:rPr/>
      </w:pPr>
      <w:r>
        <w:rPr/>
        <w:t>3. Límites subvencionables</w:t>
      </w:r>
    </w:p>
    <w:p>
      <w:pPr>
        <w:pStyle w:val="Normal"/>
        <w:rPr/>
      </w:pPr>
      <w:r>
        <w:rPr/>
        <w:t>El coste máximo subvencionable será el previsto en la Base Primera.</w:t>
      </w:r>
    </w:p>
    <w:p>
      <w:pPr>
        <w:pStyle w:val="Normal"/>
        <w:rPr/>
      </w:pPr>
      <w:r>
        <w:rPr/>
        <w:t>El límite máximo será de hasta 1 núcleo de cría semiextensivo por unidad de gestión de 250 hectáreas.</w:t>
      </w:r>
    </w:p>
    <w:p>
      <w:pPr>
        <w:pStyle w:val="Ttulo3"/>
        <w:jc w:val="left"/>
        <w:rPr/>
      </w:pPr>
      <w:r>
        <w:rPr/>
        <w:t>4. Documentación justificativa específica</w:t>
      </w:r>
    </w:p>
    <w:p>
      <w:pPr>
        <w:pStyle w:val="Normal"/>
        <w:rPr/>
      </w:pPr>
      <w:r>
        <w:rPr/>
        <w:t>La entidad beneficiaria deberá aportar:</w:t>
      </w:r>
    </w:p>
    <w:p>
      <w:pPr>
        <w:pStyle w:val="Normal"/>
        <w:spacing w:before="0" w:after="60"/>
        <w:ind w:left="397" w:hanging="255"/>
        <w:rPr/>
      </w:pPr>
      <w:r>
        <w:rPr/>
        <w:t>a) Plano y coordenadas de ubicación del núcleo.</w:t>
      </w:r>
    </w:p>
    <w:p>
      <w:pPr>
        <w:pStyle w:val="Normal"/>
        <w:spacing w:before="0" w:after="60"/>
        <w:ind w:left="397" w:hanging="255"/>
        <w:rPr/>
      </w:pPr>
      <w:r>
        <w:rPr/>
        <w:t>b) Memoria descriptiva de los elementos ejecutados.</w:t>
      </w:r>
    </w:p>
    <w:p>
      <w:pPr>
        <w:pStyle w:val="Normal"/>
        <w:spacing w:before="0" w:after="60"/>
        <w:ind w:left="397" w:hanging="255"/>
        <w:rPr/>
      </w:pPr>
      <w:r>
        <w:rPr/>
        <w:t>c) Fotografías fechadas y preferentemente georreferenciadas del estado inicial, proceso de ejecución y resultado final.</w:t>
      </w:r>
    </w:p>
    <w:p>
      <w:pPr>
        <w:pStyle w:val="Normal"/>
        <w:spacing w:before="0" w:after="60"/>
        <w:ind w:left="397" w:hanging="255"/>
        <w:rPr/>
      </w:pPr>
      <w:r>
        <w:rPr/>
        <w:t>d) Facturas y justificantes de pago.</w:t>
      </w:r>
    </w:p>
    <w:p>
      <w:pPr>
        <w:pStyle w:val="Normal"/>
        <w:spacing w:before="0" w:after="60"/>
        <w:ind w:left="397" w:hanging="255"/>
        <w:rPr/>
      </w:pPr>
      <w:r>
        <w:rPr/>
        <w:t>e) Autorización administrativa de repoblación o reforzamiento poblacional, cuando sea exigible.</w:t>
      </w:r>
    </w:p>
    <w:p>
      <w:pPr>
        <w:pStyle w:val="Normal"/>
        <w:spacing w:before="0" w:after="60"/>
        <w:ind w:left="397" w:hanging="255"/>
        <w:rPr/>
      </w:pPr>
      <w:r>
        <w:rPr/>
        <w:t>f) Documentación de origen, transporte y condiciones sanitarias de los ejemplares introducidos.</w:t>
      </w:r>
    </w:p>
    <w:p>
      <w:pPr>
        <w:pStyle w:val="Normal"/>
        <w:spacing w:before="0" w:after="60"/>
        <w:ind w:left="397" w:hanging="255"/>
        <w:rPr/>
      </w:pPr>
      <w:r>
        <w:rPr/>
        <w:t>g) Relación del número de ejemplares liberados o incorporados al núcleo.</w:t>
      </w:r>
    </w:p>
    <w:p>
      <w:pPr>
        <w:pStyle w:val="Normal"/>
        <w:spacing w:before="0" w:after="60"/>
        <w:ind w:left="397" w:hanging="255"/>
        <w:rPr/>
      </w:pPr>
      <w:r>
        <w:rPr/>
        <w:t>h) Informes favorables y/o de no afección, en caso de que la normativa en vigor así lo exija, emitidos por el órgano competente de la Comunidad Autónoma. Cualquier otra autorización que sea requerida conforme la normativa en vigor del órgano competente.</w:t>
      </w:r>
    </w:p>
    <w:p>
      <w:pPr>
        <w:pStyle w:val="Ttulo2"/>
        <w:jc w:val="left"/>
        <w:rPr/>
      </w:pPr>
      <w:r>
        <w:rPr/>
        <w:t>ACTUACIÓN 7. INSTALACIÓN DE COMEDEROS Y BEBEDEROS ESPECÍFICOS PARA CONEJO DE MONTE</w:t>
      </w:r>
    </w:p>
    <w:p>
      <w:pPr>
        <w:pStyle w:val="Ttulo3"/>
        <w:jc w:val="left"/>
        <w:rPr/>
      </w:pPr>
      <w:r>
        <w:rPr/>
        <w:t>1. Finalidad</w:t>
      </w:r>
    </w:p>
    <w:p>
      <w:pPr>
        <w:pStyle w:val="Normal"/>
        <w:rPr/>
      </w:pPr>
      <w:r>
        <w:rPr/>
        <w:t>La actuación tiene por finalidad mejorar la disponibilidad de alimento y agua para el conejo de monte en zonas de recuperación, reforzando la eficacia de majanos, vivares artificiales, núcleos de cría semiextensivos o áreas de presencia de la especie.</w:t>
      </w:r>
    </w:p>
    <w:p>
      <w:pPr>
        <w:pStyle w:val="Ttulo3"/>
        <w:jc w:val="left"/>
        <w:rPr/>
      </w:pPr>
      <w:r>
        <w:rPr/>
        <w:t>2. Condiciones técnicas mínimas</w:t>
      </w:r>
    </w:p>
    <w:p>
      <w:pPr>
        <w:pStyle w:val="Normal"/>
        <w:spacing w:before="0" w:after="60"/>
        <w:ind w:left="397" w:hanging="255"/>
        <w:rPr/>
      </w:pPr>
      <w:r>
        <w:rPr/>
        <w:t>a) Cada unidad subvencionable debe incluir obligatoriamente un comedero y un bebedero adaptados al conejo de monte. Se admiten como válidas estructuras combinadas o unidades independientes si están dispuestas en el mismo punto de intervención.</w:t>
      </w:r>
    </w:p>
    <w:p>
      <w:pPr>
        <w:pStyle w:val="Normal"/>
        <w:spacing w:before="0" w:after="60"/>
        <w:ind w:left="397" w:hanging="255"/>
        <w:rPr/>
      </w:pPr>
      <w:r>
        <w:rPr/>
        <w:t>b) Los comederos y bebederos deben cumplir con las características y medidas que se describen en la actuación 2 del presente anexo, así como la necesidad y características del cerramiento oportuno.</w:t>
      </w:r>
    </w:p>
    <w:p>
      <w:pPr>
        <w:pStyle w:val="Normal"/>
        <w:spacing w:before="0" w:after="60"/>
        <w:ind w:left="397" w:hanging="255"/>
        <w:rPr/>
      </w:pPr>
      <w:r>
        <w:rPr/>
        <w:t>c) Los comederos y bebederos deberán ubicarse próximos a vivares, majanos, núcleos de cría o zonas de refugio del conejo de monte. Su distribución deberá ser homogénea en las áreas objetivo (núcleos, vivares y repoblaciones).</w:t>
      </w:r>
    </w:p>
    <w:p>
      <w:pPr>
        <w:pStyle w:val="Normal"/>
        <w:spacing w:before="0" w:after="60"/>
        <w:ind w:left="397" w:hanging="255"/>
        <w:rPr/>
      </w:pPr>
      <w:r>
        <w:rPr/>
        <w:t>d) Deberán estar diseñados o instalados de forma que sean accesibles para el conejo y seguros para la fauna.</w:t>
      </w:r>
    </w:p>
    <w:p>
      <w:pPr>
        <w:pStyle w:val="Normal"/>
        <w:spacing w:before="0" w:after="60"/>
        <w:ind w:left="397" w:hanging="255"/>
        <w:rPr/>
      </w:pPr>
      <w:r>
        <w:rPr/>
        <w:t>e) Se evitarán ubicaciones que incrementen de forma injustificada el riesgo de depredación, así como zonas inundables o pendiente elevada.</w:t>
      </w:r>
    </w:p>
    <w:p>
      <w:pPr>
        <w:pStyle w:val="Normal"/>
        <w:spacing w:before="0" w:after="60"/>
        <w:ind w:left="397" w:hanging="255"/>
        <w:rPr/>
      </w:pPr>
      <w:r>
        <w:rPr/>
        <w:t>f) Los bebederos deberán impedir riesgos de ahogamiento o atrapamiento.</w:t>
      </w:r>
    </w:p>
    <w:p>
      <w:pPr>
        <w:pStyle w:val="Normal"/>
        <w:spacing w:before="0" w:after="60"/>
        <w:ind w:left="397" w:hanging="255"/>
        <w:rPr/>
      </w:pPr>
      <w:r>
        <w:rPr/>
        <w:t>g) Los comederos deberán permitir una adecuada conservación del alimento y evitar acumulaciones que puedan generar enfermedades.</w:t>
      </w:r>
    </w:p>
    <w:p>
      <w:pPr>
        <w:pStyle w:val="Normal"/>
        <w:spacing w:before="0" w:after="60"/>
        <w:ind w:left="397" w:hanging="255"/>
        <w:rPr/>
      </w:pPr>
      <w:r>
        <w:rPr/>
        <w:t>h) La entidad beneficiaria deberá garantizar su mantenimiento, limpieza y reposición durante el periodo de permanencia de la actuación.</w:t>
      </w:r>
    </w:p>
    <w:p>
      <w:pPr>
        <w:pStyle w:val="Ttulo3"/>
        <w:jc w:val="left"/>
        <w:rPr/>
      </w:pPr>
      <w:r>
        <w:rPr/>
        <w:t>3. Límites subvencionables</w:t>
      </w:r>
    </w:p>
    <w:p>
      <w:pPr>
        <w:pStyle w:val="Normal"/>
        <w:rPr/>
      </w:pPr>
      <w:r>
        <w:rPr/>
        <w:t>El coste máximo subvencionable será el previsto en la Base Primera.</w:t>
      </w:r>
    </w:p>
    <w:p>
      <w:pPr>
        <w:pStyle w:val="Normal"/>
        <w:rPr/>
      </w:pPr>
      <w:r>
        <w:rPr/>
        <w:t>El límite máximo será de hasta 8 unidades completas por unidad de gestión de 400 hectáreas.</w:t>
      </w:r>
    </w:p>
    <w:p>
      <w:pPr>
        <w:pStyle w:val="Ttulo3"/>
        <w:jc w:val="left"/>
        <w:rPr/>
      </w:pPr>
      <w:r>
        <w:rPr/>
        <w:t>4. Documentación justificativa específica</w:t>
      </w:r>
    </w:p>
    <w:p>
      <w:pPr>
        <w:pStyle w:val="Normal"/>
        <w:rPr/>
      </w:pPr>
      <w:r>
        <w:rPr/>
        <w:t>La entidad beneficiaria deberá aportar:</w:t>
      </w:r>
    </w:p>
    <w:p>
      <w:pPr>
        <w:pStyle w:val="Normal"/>
        <w:spacing w:before="0" w:after="60"/>
        <w:ind w:left="397" w:hanging="255"/>
        <w:rPr/>
      </w:pPr>
      <w:r>
        <w:rPr/>
        <w:t>a) Relación georreferenciada de unidades instaladas.</w:t>
      </w:r>
    </w:p>
    <w:p>
      <w:pPr>
        <w:pStyle w:val="Normal"/>
        <w:spacing w:before="0" w:after="60"/>
        <w:ind w:left="397" w:hanging="255"/>
        <w:rPr/>
      </w:pPr>
      <w:r>
        <w:rPr/>
        <w:t>b) Fotografías fechadas y preferentemente georreferenciadas de antes y después de la actuación.</w:t>
      </w:r>
    </w:p>
    <w:p>
      <w:pPr>
        <w:pStyle w:val="Normal"/>
        <w:spacing w:before="0" w:after="60"/>
        <w:ind w:left="397" w:hanging="255"/>
        <w:rPr/>
      </w:pPr>
      <w:r>
        <w:rPr/>
        <w:t>c) Facturas y justificantes de pago, así como la ficha técnica del modelo de bebedero/comedero utilizado.</w:t>
      </w:r>
    </w:p>
    <w:p>
      <w:pPr>
        <w:pStyle w:val="Normal"/>
        <w:spacing w:before="0" w:after="60"/>
        <w:ind w:left="397" w:hanging="255"/>
        <w:rPr/>
      </w:pPr>
      <w:r>
        <w:rPr/>
        <w:t>d) Declaración de mantenimiento.</w:t>
      </w:r>
    </w:p>
    <w:p>
      <w:pPr>
        <w:pStyle w:val="Ttulo2"/>
        <w:jc w:val="left"/>
        <w:rPr/>
      </w:pPr>
      <w:r>
        <w:rPr/>
        <w:t>ACTUACIÓN 8. REPOBLACIONES DE CONEJO DE MONTE</w:t>
      </w:r>
    </w:p>
    <w:p>
      <w:pPr>
        <w:pStyle w:val="Ttulo3"/>
        <w:jc w:val="left"/>
        <w:rPr/>
      </w:pPr>
      <w:r>
        <w:rPr/>
        <w:t>1. Finalidad</w:t>
      </w:r>
    </w:p>
    <w:p>
      <w:pPr>
        <w:pStyle w:val="Normal"/>
        <w:rPr/>
      </w:pPr>
      <w:r>
        <w:rPr/>
        <w:t>Las repoblaciones de conejo de monte tienen por finalidad reforzar poblaciones existentes o favorecer la recuperación de la especie en zonas adecuadas, siempre que se integren en una estrategia de gestión sostenible y cuenten con las infraestructuras y autorizaciones necesarias.</w:t>
      </w:r>
    </w:p>
    <w:p>
      <w:pPr>
        <w:pStyle w:val="Ttulo3"/>
        <w:jc w:val="left"/>
        <w:rPr/>
      </w:pPr>
      <w:r>
        <w:rPr/>
        <w:t>2. Condiciones técnicas mínimas</w:t>
      </w:r>
    </w:p>
    <w:p>
      <w:pPr>
        <w:pStyle w:val="Normal"/>
        <w:spacing w:before="0" w:after="60"/>
        <w:ind w:left="397" w:hanging="255"/>
        <w:rPr/>
      </w:pPr>
      <w:r>
        <w:rPr/>
        <w:t>a) Las repoblaciones no podrán ejecutarse de forma aislada. El ratio recomendado de ejemplares será 3 machos por cada 5 hembras.</w:t>
      </w:r>
    </w:p>
    <w:p>
      <w:pPr>
        <w:pStyle w:val="Normal"/>
        <w:spacing w:before="0" w:after="60"/>
        <w:ind w:left="397" w:hanging="255"/>
        <w:rPr/>
      </w:pPr>
      <w:r>
        <w:rPr/>
        <w:t>b) Para ser subvencionables deberán estar vinculadas a la existencia, construcción o puesta en funcionamiento de núcleos de cría semiextensivos, vivares artificiales, majanos u otras infraestructuras adecuadas que garanticen la viabilidad técnica de la actuación.</w:t>
      </w:r>
    </w:p>
    <w:p>
      <w:pPr>
        <w:pStyle w:val="Normal"/>
        <w:spacing w:before="0" w:after="60"/>
        <w:ind w:left="397" w:hanging="255"/>
        <w:rPr/>
      </w:pPr>
      <w:r>
        <w:rPr/>
        <w:t>c) La actuación deberá resultar compatible con el plan técnico de caza.</w:t>
      </w:r>
    </w:p>
    <w:p>
      <w:pPr>
        <w:pStyle w:val="Normal"/>
        <w:spacing w:before="0" w:after="60"/>
        <w:ind w:left="397" w:hanging="255"/>
        <w:rPr/>
      </w:pPr>
      <w:r>
        <w:rPr/>
        <w:t>d) Deberá contar con autorización administrativa previa cuando resulte exigible conforme a la normativa aplicable.</w:t>
      </w:r>
    </w:p>
    <w:p>
      <w:pPr>
        <w:pStyle w:val="Normal"/>
        <w:spacing w:before="0" w:after="60"/>
        <w:ind w:left="397" w:hanging="255"/>
        <w:rPr/>
      </w:pPr>
      <w:r>
        <w:rPr/>
        <w:t>e) Los ejemplares deberán proceder de origen legalmente autorizado y contar con la documentación sanitaria, de procedencia, transporte e identificación exigible.</w:t>
      </w:r>
    </w:p>
    <w:p>
      <w:pPr>
        <w:pStyle w:val="Normal"/>
        <w:spacing w:before="0" w:after="60"/>
        <w:ind w:left="397" w:hanging="255"/>
        <w:rPr/>
      </w:pPr>
      <w:r>
        <w:rPr/>
        <w:t>f) No se admitirán ejemplares de origen no acreditado, capturados o trasladados sin autorización, ni aquellos que no cumplan las garantías sanitarias correspondientes.</w:t>
      </w:r>
    </w:p>
    <w:p>
      <w:pPr>
        <w:pStyle w:val="Normal"/>
        <w:spacing w:before="0" w:after="60"/>
        <w:ind w:left="397" w:hanging="255"/>
        <w:rPr/>
      </w:pPr>
      <w:r>
        <w:rPr/>
        <w:t>g) La liberación deberá realizarse en zonas adecuadas, próximas a refugios, vivares, majanos, puntos de agua y áreas de alimentación. El momento recomendado será primavera u otoño, en días de baja temperatura y preferentemente al amanecer o atardecer. La suelta deberá realizarse dentro de núcleos de cría semiextensivos.</w:t>
      </w:r>
    </w:p>
    <w:p>
      <w:pPr>
        <w:pStyle w:val="Normal"/>
        <w:spacing w:before="0" w:after="60"/>
        <w:ind w:left="397" w:hanging="255"/>
        <w:rPr/>
      </w:pPr>
      <w:r>
        <w:rPr/>
        <w:t>h) La entidad beneficiaria deberá adoptar medidas de seguimiento y mantenimiento de las infraestructuras asociadas.</w:t>
      </w:r>
    </w:p>
    <w:p>
      <w:pPr>
        <w:pStyle w:val="Normal"/>
        <w:spacing w:before="0" w:after="60"/>
        <w:ind w:left="397" w:hanging="255"/>
        <w:rPr/>
      </w:pPr>
      <w:r>
        <w:rPr/>
        <w:t>i) La Diputación Provincial de Cáceres podrá considerar no subvencionable la actuación cuando no se acredite la existencia, funcionalidad o adecuación técnica de las infraestructuras de apoyo.</w:t>
      </w:r>
    </w:p>
    <w:p>
      <w:pPr>
        <w:pStyle w:val="Ttulo3"/>
        <w:jc w:val="left"/>
        <w:rPr/>
      </w:pPr>
      <w:r>
        <w:rPr/>
        <w:t>3. Límites subvencionables</w:t>
      </w:r>
    </w:p>
    <w:p>
      <w:pPr>
        <w:pStyle w:val="Normal"/>
        <w:rPr/>
      </w:pPr>
      <w:r>
        <w:rPr/>
        <w:t>El coste máximo subvencionable será el previsto en la Base Primera.</w:t>
      </w:r>
    </w:p>
    <w:p>
      <w:pPr>
        <w:pStyle w:val="Normal"/>
        <w:rPr/>
      </w:pPr>
      <w:r>
        <w:rPr/>
        <w:t>El límite máximo será de hasta 100 ejemplares por unidad de gestión de 250 hectáreas.</w:t>
      </w:r>
    </w:p>
    <w:p>
      <w:pPr>
        <w:pStyle w:val="Ttulo3"/>
        <w:jc w:val="left"/>
        <w:rPr/>
      </w:pPr>
      <w:r>
        <w:rPr/>
        <w:t>4. Documentación justificativa específica</w:t>
      </w:r>
    </w:p>
    <w:p>
      <w:pPr>
        <w:pStyle w:val="Normal"/>
        <w:rPr/>
      </w:pPr>
      <w:r>
        <w:rPr/>
        <w:t>La entidad beneficiaria deberá aportar:</w:t>
      </w:r>
    </w:p>
    <w:p>
      <w:pPr>
        <w:pStyle w:val="Normal"/>
        <w:spacing w:before="0" w:after="60"/>
        <w:ind w:left="397" w:hanging="255"/>
        <w:rPr/>
      </w:pPr>
      <w:r>
        <w:rPr/>
        <w:t>a) Autorización administrativa de repoblación expresa previa del órgano competente en caza de la Comunidad Autónoma.</w:t>
      </w:r>
    </w:p>
    <w:p>
      <w:pPr>
        <w:pStyle w:val="Normal"/>
        <w:spacing w:before="0" w:after="60"/>
        <w:ind w:left="397" w:hanging="255"/>
        <w:rPr/>
      </w:pPr>
      <w:r>
        <w:rPr/>
        <w:t>b) Documentación acreditativa del origen legal y condiciones sanitarias de los ejemplares.</w:t>
      </w:r>
    </w:p>
    <w:p>
      <w:pPr>
        <w:pStyle w:val="Normal"/>
        <w:spacing w:before="0" w:after="60"/>
        <w:ind w:left="397" w:hanging="255"/>
        <w:rPr/>
      </w:pPr>
      <w:r>
        <w:rPr/>
        <w:t>c) Documentación de transporte, guía o certificado sanitario, cuando proceda.</w:t>
      </w:r>
    </w:p>
    <w:p>
      <w:pPr>
        <w:pStyle w:val="Normal"/>
        <w:spacing w:before="0" w:after="60"/>
        <w:ind w:left="397" w:hanging="255"/>
        <w:rPr/>
      </w:pPr>
      <w:r>
        <w:rPr/>
        <w:t>d) Relación del número de ejemplares introducidos.</w:t>
      </w:r>
    </w:p>
    <w:p>
      <w:pPr>
        <w:pStyle w:val="Normal"/>
        <w:spacing w:before="0" w:after="60"/>
        <w:ind w:left="397" w:hanging="255"/>
        <w:rPr/>
      </w:pPr>
      <w:r>
        <w:rPr/>
        <w:t>e) Plano de localización de la zona de suelta.</w:t>
      </w:r>
    </w:p>
    <w:p>
      <w:pPr>
        <w:pStyle w:val="Normal"/>
        <w:spacing w:before="0" w:after="60"/>
        <w:ind w:left="397" w:hanging="255"/>
        <w:rPr/>
      </w:pPr>
      <w:r>
        <w:rPr/>
        <w:t>f) Fotografías fechadas y preferentemente georreferenciadas de los puntos de liberación, del transporte y de las instalaciones de suelta en el momento de la liberación.</w:t>
      </w:r>
    </w:p>
    <w:p>
      <w:pPr>
        <w:pStyle w:val="Normal"/>
        <w:spacing w:before="0" w:after="60"/>
        <w:ind w:left="397" w:hanging="255"/>
        <w:rPr/>
      </w:pPr>
      <w:r>
        <w:rPr/>
        <w:t>g) Facturas y justificantes de pago.</w:t>
      </w:r>
    </w:p>
    <w:p>
      <w:pPr>
        <w:pStyle w:val="Normal"/>
        <w:spacing w:before="0" w:after="60"/>
        <w:ind w:left="397" w:hanging="255"/>
        <w:rPr/>
      </w:pPr>
      <w:r>
        <w:rPr/>
        <w:t>h) La zona de suelta deberá mantenerse como hábitat favorable durante al menos 3 años.</w:t>
      </w:r>
    </w:p>
    <w:p>
      <w:pPr>
        <w:pStyle w:val="Normal"/>
        <w:spacing w:before="0" w:after="60"/>
        <w:ind w:left="397" w:hanging="255"/>
        <w:rPr/>
      </w:pPr>
      <w:r>
        <w:rPr/>
        <w:t>i) Se recomienda el seguimiento con cámaras trampa o controles de presencia indirecta (huellas, excrementos, etc.).</w:t>
      </w:r>
    </w:p>
    <w:p>
      <w:pPr>
        <w:pStyle w:val="Ttulo2"/>
        <w:jc w:val="left"/>
        <w:rPr/>
      </w:pPr>
      <w:r>
        <w:rPr/>
        <w:t>ACTUACIÓN 9. CONSTRUCCIÓN DE VIVARES ARTIFICIALES O MAJANOS</w:t>
      </w:r>
    </w:p>
    <w:p>
      <w:pPr>
        <w:pStyle w:val="Ttulo3"/>
        <w:jc w:val="left"/>
        <w:rPr/>
      </w:pPr>
      <w:r>
        <w:rPr/>
        <w:t>1. Finalidad</w:t>
      </w:r>
    </w:p>
    <w:p>
      <w:pPr>
        <w:pStyle w:val="Normal"/>
        <w:rPr/>
      </w:pPr>
      <w:r>
        <w:rPr/>
        <w:t xml:space="preserve">La construcción de vivares artificiales o majanos tiene por finalidad proporcionar refugio, zonas de cría y protección frente a depredadores al conejo de monte </w:t>
      </w:r>
      <w:r>
        <w:rPr>
          <w:i/>
        </w:rPr>
        <w:t>(Oryctolagus cuniculus)</w:t>
      </w:r>
      <w:r>
        <w:rPr/>
        <w:t>, favoreciendo la recuperación y consolidación de sus poblaciones.</w:t>
      </w:r>
    </w:p>
    <w:p>
      <w:pPr>
        <w:pStyle w:val="Ttulo3"/>
        <w:jc w:val="left"/>
        <w:rPr/>
      </w:pPr>
      <w:r>
        <w:rPr/>
        <w:t>2. Condiciones técnicas mínimas</w:t>
      </w:r>
    </w:p>
    <w:p>
      <w:pPr>
        <w:pStyle w:val="Normal"/>
        <w:spacing w:before="0" w:after="60"/>
        <w:ind w:left="397" w:hanging="255"/>
        <w:rPr/>
      </w:pPr>
      <w:r>
        <w:rPr/>
        <w:t>a) Los vivares o majanos deberán ubicarse en zonas adecuadas para el conejo de monte, preferentemente próximas a áreas de alimentación, cobertura vegetal, puntos de agua o cultivos no productivos.</w:t>
      </w:r>
    </w:p>
    <w:p>
      <w:pPr>
        <w:pStyle w:val="Normal"/>
        <w:spacing w:before="0" w:after="60"/>
        <w:ind w:left="397" w:hanging="255"/>
        <w:rPr/>
      </w:pPr>
      <w:r>
        <w:rPr/>
        <w:t>b) Se evitará su instalación en zonas inundables, excesivamente compactadas, carentes de cobertura, muy expuestas o con riesgo evidente de deterioro.</w:t>
      </w:r>
    </w:p>
    <w:p>
      <w:pPr>
        <w:pStyle w:val="Normal"/>
        <w:spacing w:before="0" w:after="60"/>
        <w:ind w:left="397" w:hanging="255"/>
        <w:rPr/>
      </w:pPr>
      <w:r>
        <w:rPr/>
        <w:t>c) Deberán construirse con materiales adecuados, resistentes, seguros para la fauna y compatibles con el entorno.</w:t>
      </w:r>
    </w:p>
    <w:p>
      <w:pPr>
        <w:pStyle w:val="Normal"/>
        <w:spacing w:before="0" w:after="60"/>
        <w:ind w:left="397" w:hanging="255"/>
        <w:rPr/>
      </w:pPr>
      <w:r>
        <w:rPr/>
        <w:t>d) El diseño deberá permitir la entrada y salida de los conejos, la existencia de refugios internos y la protección frente a depredadores y condiciones climáticas adversas.</w:t>
      </w:r>
    </w:p>
    <w:p>
      <w:pPr>
        <w:pStyle w:val="Normal"/>
        <w:spacing w:before="0" w:after="60"/>
        <w:ind w:left="397" w:hanging="255"/>
        <w:rPr/>
      </w:pPr>
      <w:r>
        <w:rPr/>
        <w:t>e) Se procurará su distribución en grupos funcionales, evitando elementos aislados sin conexión con zonas de refugio, alimento o agua.</w:t>
      </w:r>
    </w:p>
    <w:p>
      <w:pPr>
        <w:pStyle w:val="Normal"/>
        <w:spacing w:before="0" w:after="60"/>
        <w:ind w:left="397" w:hanging="255"/>
        <w:rPr/>
      </w:pPr>
      <w:r>
        <w:rPr/>
        <w:t>f) La entidad beneficiaria deberá mantener los vivares o majanos en condiciones adecuadas de funcionalidad durante el periodo exigido.</w:t>
      </w:r>
    </w:p>
    <w:p>
      <w:pPr>
        <w:pStyle w:val="Normal"/>
        <w:spacing w:before="0" w:after="60"/>
        <w:ind w:left="397" w:hanging="255"/>
        <w:rPr/>
      </w:pPr>
      <w:r>
        <w:rPr/>
        <w:t>g) No se admitirán majanos meramente testimoniales, mal ubicados, no funcionales o construidos con materiales inadecuados o peligrosos.</w:t>
      </w:r>
    </w:p>
    <w:p>
      <w:pPr>
        <w:pStyle w:val="Normal"/>
        <w:spacing w:before="0" w:after="60"/>
        <w:ind w:left="397" w:hanging="255"/>
        <w:rPr/>
      </w:pPr>
      <w:r>
        <w:rPr/>
        <w:t>h) Deberán emplazarse en zonas tranquilas, con vegetación natural baja y de fácil acceso para la fauna, preferiblemente cercanas a zonas de alimentación (cultivos no productivos o márgenes). Se elegirá un emplazamiento con pendiente suave y seguro frente a posibles inundaciones, evitando la proximidad con arroyos y vaguadas con fuerte escorrentía.</w:t>
      </w:r>
    </w:p>
    <w:p>
      <w:pPr>
        <w:pStyle w:val="Normal"/>
        <w:spacing w:before="0" w:after="60"/>
        <w:ind w:left="397" w:hanging="255"/>
        <w:rPr/>
      </w:pPr>
      <w:r>
        <w:rPr/>
        <w:t>i) Los majanos deberán situarse a una distancia entre 25 y 50 m de distancia.</w:t>
      </w:r>
    </w:p>
    <w:p>
      <w:pPr>
        <w:pStyle w:val="Normal"/>
        <w:spacing w:before="0" w:after="60"/>
        <w:ind w:left="397" w:hanging="255"/>
        <w:rPr/>
      </w:pPr>
      <w:r>
        <w:rPr/>
        <w:t>j) El vivar deberá estar compuesto mínimamente por un sistema de tubos de hormigón interconectados con al menos 8 tubos, 4 bocas de entrada y 4 cámaras de cría. Tendrá dispuesto un relleno superior con tierra vegetal cribada y bien compactada, así como una possible cubierta vegetal para integración paisajística.</w:t>
      </w:r>
    </w:p>
    <w:p>
      <w:pPr>
        <w:pStyle w:val="Normal"/>
        <w:spacing w:before="0" w:after="60"/>
        <w:ind w:left="397" w:hanging="255"/>
        <w:rPr/>
      </w:pPr>
      <w:r>
        <w:rPr/>
        <w:t>k) La superficie mínima estimada será de 9 m2, con una altura mínima de tierra compactada de 80cm.</w:t>
      </w:r>
    </w:p>
    <w:p>
      <w:pPr>
        <w:pStyle w:val="Normal"/>
        <w:spacing w:before="0" w:after="60"/>
        <w:ind w:left="397" w:hanging="255"/>
        <w:rPr/>
      </w:pPr>
      <w:r>
        <w:rPr/>
        <w:t>l) Se recomienda que la construcción del vivar vaya asociado a actuaciones de alimentación (siembras, márgenes, comederos-bebederos) y a refugios vegetales o artificiales y comederos-bebederos).</w:t>
      </w:r>
    </w:p>
    <w:p>
      <w:pPr>
        <w:pStyle w:val="Normal"/>
        <w:spacing w:before="0" w:after="60"/>
        <w:ind w:left="397" w:hanging="255"/>
        <w:rPr/>
      </w:pPr>
      <w:r>
        <w:rPr/>
        <w:t>m) La distribución en grupos será de 5 vivares, con distancia máxima de 20m entre vivares, y con distancias máximas entre grupos de 150-200 metros.</w:t>
      </w:r>
    </w:p>
    <w:p>
      <w:pPr>
        <w:pStyle w:val="Normal"/>
        <w:spacing w:before="0" w:after="60"/>
        <w:ind w:left="397" w:hanging="255"/>
        <w:rPr/>
      </w:pPr>
      <w:r>
        <w:rPr/>
        <w:t>n) Se deberá garantizar un seguimiento y mantenimiento durante al menos 3 años, además de protección frente a ganado y fauna mayor si procede, y la possible señalización para evitar su destrucción accidental durante labores agrícolas o ganaderas.</w:t>
      </w:r>
    </w:p>
    <w:p>
      <w:pPr>
        <w:pStyle w:val="Normal"/>
        <w:spacing w:before="0" w:after="60"/>
        <w:ind w:left="397" w:hanging="255"/>
        <w:rPr/>
      </w:pPr>
      <w:r>
        <w:rPr/>
        <w:t>ñ) Se recomienda instalar cámaras de trampeo para verificar su uso real del vivar.</w:t>
      </w:r>
    </w:p>
    <w:p>
      <w:pPr>
        <w:pStyle w:val="Ttulo3"/>
        <w:jc w:val="left"/>
        <w:rPr/>
      </w:pPr>
      <w:r>
        <w:rPr/>
        <w:t>3. Límites subvencionables</w:t>
      </w:r>
    </w:p>
    <w:p>
      <w:pPr>
        <w:pStyle w:val="Normal"/>
        <w:rPr/>
      </w:pPr>
      <w:r>
        <w:rPr/>
        <w:t>El coste máximo subvencionable será el previsto en la Base Primera.</w:t>
      </w:r>
    </w:p>
    <w:p>
      <w:pPr>
        <w:pStyle w:val="Normal"/>
        <w:rPr/>
      </w:pPr>
      <w:r>
        <w:rPr/>
        <w:t xml:space="preserve">El límite máximo será de hasta 10 unidades por unidad de gestión de 250 hectáreas, preferentemente agrupadas en conjuntos funcionales. </w:t>
      </w:r>
    </w:p>
    <w:p>
      <w:pPr>
        <w:pStyle w:val="Ttulo3"/>
        <w:jc w:val="left"/>
        <w:rPr/>
      </w:pPr>
      <w:r>
        <w:rPr/>
        <w:t>4. Documentación justificativa específica</w:t>
      </w:r>
    </w:p>
    <w:p>
      <w:pPr>
        <w:pStyle w:val="Normal"/>
        <w:rPr/>
      </w:pPr>
      <w:r>
        <w:rPr/>
        <w:t>La entidad beneficiaria deberá aportar:</w:t>
      </w:r>
    </w:p>
    <w:p>
      <w:pPr>
        <w:pStyle w:val="Normal"/>
        <w:spacing w:before="0" w:after="60"/>
        <w:ind w:left="397" w:hanging="255"/>
        <w:rPr/>
      </w:pPr>
      <w:r>
        <w:rPr/>
        <w:t>a) Plano y coordenadas de localización de cada vivar o majano.</w:t>
      </w:r>
    </w:p>
    <w:p>
      <w:pPr>
        <w:pStyle w:val="Normal"/>
        <w:spacing w:before="0" w:after="60"/>
        <w:ind w:left="397" w:hanging="255"/>
        <w:rPr/>
      </w:pPr>
      <w:r>
        <w:rPr/>
        <w:t>b) Fotografías fechadas y preferentemente georreferenciadas del estado inicial, proceso de construcción y resultado final.</w:t>
      </w:r>
    </w:p>
    <w:p>
      <w:pPr>
        <w:pStyle w:val="Normal"/>
        <w:spacing w:before="0" w:after="60"/>
        <w:ind w:left="397" w:hanging="255"/>
        <w:rPr/>
      </w:pPr>
      <w:r>
        <w:rPr/>
        <w:t>c) Facturas y justificantes de pago de materiales y trabajos.</w:t>
      </w:r>
    </w:p>
    <w:p>
      <w:pPr>
        <w:pStyle w:val="Normal"/>
        <w:spacing w:before="0" w:after="60"/>
        <w:ind w:left="397" w:hanging="255"/>
        <w:rPr/>
      </w:pPr>
      <w:r>
        <w:rPr/>
        <w:t>d) Descripción de las características constructivas básicas y croquis del diseño del vivar construido.</w:t>
      </w:r>
    </w:p>
    <w:p>
      <w:pPr>
        <w:pStyle w:val="Normal"/>
        <w:spacing w:before="0" w:after="60"/>
        <w:ind w:left="397" w:hanging="255"/>
        <w:rPr/>
      </w:pPr>
      <w:r>
        <w:rPr/>
        <w:t>e) Declaración responsable.</w:t>
      </w:r>
    </w:p>
    <w:p>
      <w:pPr>
        <w:pStyle w:val="Ttulo2"/>
        <w:jc w:val="left"/>
        <w:rPr/>
      </w:pPr>
      <w:r>
        <w:rPr/>
        <w:t>ACTUACIÓN 10. CULTIVOS NO PRODUCTIVOS DE CEREALES Y LEGUMINOSAS PARA MEJORAR EL HÁBITAT DEL CONEJO</w:t>
      </w:r>
    </w:p>
    <w:p>
      <w:pPr>
        <w:pStyle w:val="Ttulo3"/>
        <w:jc w:val="left"/>
        <w:rPr/>
      </w:pPr>
      <w:r>
        <w:rPr/>
        <w:t>1. Finalidad</w:t>
      </w:r>
    </w:p>
    <w:p>
      <w:pPr>
        <w:pStyle w:val="Normal"/>
        <w:rPr/>
      </w:pPr>
      <w:r>
        <w:rPr/>
        <w:t>La actuación tiene por finalidad mejorar la disponibilidad de alimento y cobertura vegetal para el conejo de monte (</w:t>
      </w:r>
      <w:r>
        <w:rPr>
          <w:i/>
        </w:rPr>
        <w:t>Oryctolagus cuniculus</w:t>
      </w:r>
      <w:r>
        <w:rPr/>
        <w:t>) mediante la implantación de cultivos no productivos de cereales y leguminosas, vinculados con zonas de refugio, majanos, vivares o núcleos de cría.</w:t>
      </w:r>
    </w:p>
    <w:p>
      <w:pPr>
        <w:pStyle w:val="Ttulo3"/>
        <w:jc w:val="left"/>
        <w:rPr/>
      </w:pPr>
      <w:r>
        <w:rPr/>
        <w:t>2. Condiciones técnicas mínimas</w:t>
      </w:r>
    </w:p>
    <w:p>
      <w:pPr>
        <w:pStyle w:val="Normal"/>
        <w:spacing w:before="0" w:after="60"/>
        <w:ind w:left="397" w:hanging="255"/>
        <w:rPr/>
      </w:pPr>
      <w:r>
        <w:rPr/>
        <w:t>a) Los cultivos deberán tener finalidad exclusivamente cinegética y ambiental, sin aprovechamiento productivo ordinario.</w:t>
      </w:r>
    </w:p>
    <w:p>
      <w:pPr>
        <w:pStyle w:val="Normal"/>
        <w:spacing w:before="0" w:after="60"/>
        <w:ind w:left="397" w:hanging="255"/>
        <w:rPr/>
      </w:pPr>
      <w:r>
        <w:rPr/>
        <w:t>b) Deberán ubicarse preferentemente en las proximidades de vivares, majanos, núcleos de cría o zonas de presencia o recuperación del conejo.</w:t>
      </w:r>
    </w:p>
    <w:p>
      <w:pPr>
        <w:pStyle w:val="Normal"/>
        <w:spacing w:before="0" w:after="60"/>
        <w:ind w:left="397" w:hanging="255"/>
        <w:rPr/>
      </w:pPr>
      <w:r>
        <w:rPr/>
        <w:t>c) Podrán emplearse mezclas de cereales y leguminosas adaptadas a las condiciones de la zona, siendo recomendables como cereales la avena, cebada, triticale, o mezclas. En leguminosas se recomienda veza (</w:t>
      </w:r>
      <w:r>
        <w:rPr>
          <w:i/>
        </w:rPr>
        <w:t>Vicia sativa</w:t>
      </w:r>
      <w:r>
        <w:rPr/>
        <w:t>), altramuz (</w:t>
      </w:r>
      <w:r>
        <w:rPr>
          <w:i/>
        </w:rPr>
        <w:t>Lupinus albus</w:t>
      </w:r>
      <w:r>
        <w:rPr/>
        <w:t>), guisante forrajero (</w:t>
      </w:r>
      <w:r>
        <w:rPr>
          <w:i/>
        </w:rPr>
        <w:t>Pisum sativum</w:t>
      </w:r>
      <w:r>
        <w:rPr/>
        <w:t>), yeros, tréboles. La proporción de mezcla obligatoria será mínimo 80% de leguminosas y máximo 20% de cereales en peso. Siendo la dosis mínima de siembra de 150 kg/ha en siembras convencionales o 110 kg/ha si se emplean semillas seleccionadas de alta germinación.</w:t>
      </w:r>
    </w:p>
    <w:p>
      <w:pPr>
        <w:pStyle w:val="Normal"/>
        <w:spacing w:before="0" w:after="60"/>
        <w:ind w:left="397" w:hanging="255"/>
        <w:rPr/>
      </w:pPr>
      <w:r>
        <w:rPr/>
        <w:t>d) El método de siembra será siembra directa o mínimo laboreo, quedando prohibido el uso de herbicidas, insecticidas y fungicidas químicos. Será permitido los abonos orgánicos o compost vegetal con análisis previo.</w:t>
      </w:r>
    </w:p>
    <w:p>
      <w:pPr>
        <w:pStyle w:val="Normal"/>
        <w:spacing w:before="0" w:after="60"/>
        <w:ind w:left="397" w:hanging="255"/>
        <w:rPr/>
      </w:pPr>
      <w:r>
        <w:rPr/>
        <w:t xml:space="preserve">e) El cultivo no podrá ser cosechado ni destinado a aprovechamiento comercial. </w:t>
      </w:r>
    </w:p>
    <w:p>
      <w:pPr>
        <w:pStyle w:val="Normal"/>
        <w:spacing w:before="0" w:after="60"/>
        <w:ind w:left="397" w:hanging="255"/>
        <w:rPr/>
      </w:pPr>
      <w:r>
        <w:rPr/>
        <w:t>f) Se evitará el pastoreo intensivo o cualquier actuación que impida el cumplimiento de la finalidad subvencionada. Solo se permitirá pastoreo extensivo una vez finalizado el ciclo de floración y producción de semillas, nunca antes del 15 de septiembre.</w:t>
      </w:r>
    </w:p>
    <w:p>
      <w:pPr>
        <w:pStyle w:val="Normal"/>
        <w:spacing w:before="0" w:after="60"/>
        <w:ind w:left="397" w:hanging="255"/>
        <w:rPr/>
      </w:pPr>
      <w:r>
        <w:rPr/>
        <w:t>g) La implantación deberá distribuirse de forma estratégica, favoreciendo el acceso del conejo al alimento sin incrementar de forma injustificada el riesgo de depredación.</w:t>
      </w:r>
    </w:p>
    <w:p>
      <w:pPr>
        <w:pStyle w:val="Normal"/>
        <w:spacing w:before="0" w:after="60"/>
        <w:ind w:left="397" w:hanging="255"/>
        <w:rPr/>
      </w:pPr>
      <w:r>
        <w:rPr/>
        <w:t>h) No se admitirán cultivos desvinculados de una estrategia de recuperación del conejo o localizados en zonas donde no exista refugio o posibilidad real de utilización por la especie.</w:t>
      </w:r>
    </w:p>
    <w:p>
      <w:pPr>
        <w:pStyle w:val="Ttulo3"/>
        <w:jc w:val="left"/>
        <w:rPr/>
      </w:pPr>
      <w:r>
        <w:rPr/>
        <w:t>3. Límites subvencionables</w:t>
      </w:r>
    </w:p>
    <w:p>
      <w:pPr>
        <w:pStyle w:val="Normal"/>
        <w:rPr/>
      </w:pPr>
      <w:r>
        <w:rPr/>
        <w:t>El coste máximo subvencionable será el previsto en la Base Primera.</w:t>
      </w:r>
    </w:p>
    <w:p>
      <w:pPr>
        <w:pStyle w:val="Normal"/>
        <w:rPr/>
      </w:pPr>
      <w:r>
        <w:rPr/>
        <w:t>El límite máximo será de hasta 40 hectáreas por unidad de gestión de 250 hectáreas, con la obligatoriedad de estar vinculadas a vivares, majanos o núcleos de cría, y localizadas a una distancia inferior a 300m. Las fracciones de hectáreas se redondearán por defecto.</w:t>
      </w:r>
    </w:p>
    <w:p>
      <w:pPr>
        <w:pStyle w:val="Ttulo3"/>
        <w:jc w:val="left"/>
        <w:rPr/>
      </w:pPr>
      <w:r>
        <w:rPr/>
        <w:t>4. Documentación justificativa específica</w:t>
      </w:r>
    </w:p>
    <w:p>
      <w:pPr>
        <w:pStyle w:val="Normal"/>
        <w:rPr/>
      </w:pPr>
      <w:r>
        <w:rPr/>
        <w:t>La entidad beneficiaria deberá aportar:</w:t>
      </w:r>
    </w:p>
    <w:p>
      <w:pPr>
        <w:pStyle w:val="Normal"/>
        <w:spacing w:before="0" w:after="60"/>
        <w:ind w:left="397" w:hanging="255"/>
        <w:rPr/>
      </w:pPr>
      <w:r>
        <w:rPr/>
        <w:t>a) Plano de localización y medición de las superficies sembradas, debiendo ser georreferenciadas las actuaciones.</w:t>
      </w:r>
    </w:p>
    <w:p>
      <w:pPr>
        <w:pStyle w:val="Normal"/>
        <w:spacing w:before="0" w:after="60"/>
        <w:ind w:left="397" w:hanging="255"/>
        <w:rPr/>
      </w:pPr>
      <w:r>
        <w:rPr/>
        <w:t>b) Indicación de especies utilizadas.</w:t>
      </w:r>
    </w:p>
    <w:p>
      <w:pPr>
        <w:pStyle w:val="Normal"/>
        <w:spacing w:before="0" w:after="60"/>
        <w:ind w:left="397" w:hanging="255"/>
        <w:rPr/>
      </w:pPr>
      <w:r>
        <w:rPr/>
        <w:t>c) Fotografías fechadas y georreferenciadas antes y después de la actuación.</w:t>
      </w:r>
    </w:p>
    <w:p>
      <w:pPr>
        <w:pStyle w:val="Normal"/>
        <w:spacing w:before="0" w:after="60"/>
        <w:ind w:left="397" w:hanging="255"/>
        <w:rPr/>
      </w:pPr>
      <w:r>
        <w:rPr/>
        <w:t>d) Facturas y justificantes de pago, así como memoria técnica con las especies sembradas y la proporción de las mismas.</w:t>
      </w:r>
    </w:p>
    <w:p>
      <w:pPr>
        <w:pStyle w:val="Normal"/>
        <w:spacing w:before="0" w:after="60"/>
        <w:ind w:left="397" w:hanging="255"/>
        <w:rPr/>
      </w:pPr>
      <w:r>
        <w:rPr/>
        <w:t>e) Declaración de que el cultivo no ha sido cosechado ni destinado a aprovechamiento productivo.</w:t>
      </w:r>
    </w:p>
    <w:p>
      <w:pPr>
        <w:pStyle w:val="Ttulo2"/>
        <w:jc w:val="left"/>
        <w:rPr/>
      </w:pPr>
      <w:r>
        <w:rPr/>
        <w:t>ACTUACIÓN 11. DESBROCES SELECTIVOS MECANIZADOS EN ÁREAS DESTINADAS A LA RECUPERACIÓN DEL CONEJO</w:t>
      </w:r>
    </w:p>
    <w:p>
      <w:pPr>
        <w:pStyle w:val="Ttulo3"/>
        <w:jc w:val="left"/>
        <w:rPr/>
      </w:pPr>
      <w:r>
        <w:rPr/>
        <w:t>1. Finalidad</w:t>
      </w:r>
    </w:p>
    <w:p>
      <w:pPr>
        <w:pStyle w:val="Normal"/>
        <w:rPr/>
      </w:pPr>
      <w:r>
        <w:rPr/>
        <w:t>La actuación tiene por finalidad mejorar la estructura del hábitat en áreas destinadas a la recuperación del conejo de monte, generando zonas de alimentación y campeo, manteniendo al mismo tiempo refugio suficiente y cobertura vegetal adecuada.</w:t>
      </w:r>
    </w:p>
    <w:p>
      <w:pPr>
        <w:pStyle w:val="Ttulo3"/>
        <w:jc w:val="left"/>
        <w:rPr/>
      </w:pPr>
      <w:r>
        <w:rPr/>
        <w:t>2. Condiciones técnicas mínimas</w:t>
      </w:r>
    </w:p>
    <w:p>
      <w:pPr>
        <w:pStyle w:val="Normal"/>
        <w:spacing w:before="0" w:after="60"/>
        <w:ind w:left="397" w:hanging="255"/>
        <w:rPr/>
      </w:pPr>
      <w:r>
        <w:rPr/>
        <w:t>a) Los desbroces deberán ser selectivos y orientados a crear un mosaico de vegetación favorable para el conejo de monte.</w:t>
      </w:r>
    </w:p>
    <w:p>
      <w:pPr>
        <w:pStyle w:val="Normal"/>
        <w:spacing w:before="0" w:after="60"/>
        <w:ind w:left="397" w:hanging="255"/>
        <w:rPr/>
      </w:pPr>
      <w:r>
        <w:rPr/>
        <w:t>b) No se admitirán desbroces a hecho, eliminación completa de la cobertura vegetal o actuaciones que reduzcan de forma significativa el refugio disponible.</w:t>
      </w:r>
    </w:p>
    <w:p>
      <w:pPr>
        <w:pStyle w:val="Normal"/>
        <w:spacing w:before="0" w:after="60"/>
        <w:ind w:left="397" w:hanging="255"/>
        <w:rPr/>
      </w:pPr>
      <w:r>
        <w:rPr/>
        <w:t>c) Deberán respetarse manchas de vegetación natural, setos, lindes, pies arbóreos, vegetación de ribera y elementos de interés ambiental.</w:t>
      </w:r>
    </w:p>
    <w:p>
      <w:pPr>
        <w:pStyle w:val="Normal"/>
        <w:spacing w:before="0" w:after="60"/>
        <w:ind w:left="397" w:hanging="255"/>
        <w:rPr/>
      </w:pPr>
      <w:r>
        <w:rPr/>
        <w:t>d) La intervención será mediante eliminación selectiva de matorral utilizando desbrozadoras ligeras de cadenas o martillos, sin remoción profunda del suelo, sobre áreas tradicionalmente desbrozadas y/o roturadas en las que se han asentado comunidades monoespecíficas de matorral serias (jarales y brezales principalmente). Queda prohibido el uso de herbicidas o productos fitosanitarios en toda la superficie desbrozada.</w:t>
      </w:r>
    </w:p>
    <w:p>
      <w:pPr>
        <w:pStyle w:val="Normal"/>
        <w:spacing w:before="0" w:after="60"/>
        <w:ind w:left="397" w:hanging="255"/>
        <w:rPr/>
      </w:pPr>
      <w:r>
        <w:rPr/>
        <w:t>e) La actuación deberá ejecutarse preferentemente en el entorno de majanos, vivares, núcleos de cría, puntos de agua o zonas de alimentación.</w:t>
      </w:r>
    </w:p>
    <w:p>
      <w:pPr>
        <w:pStyle w:val="Normal"/>
        <w:spacing w:before="0" w:after="60"/>
        <w:ind w:left="397" w:hanging="255"/>
        <w:rPr/>
      </w:pPr>
      <w:r>
        <w:rPr/>
        <w:t>f) La maquinaria utilizada deberá ser adecuada al terreno y evitar daños innecesarios al suelo, quedando prohibido el laboreo con maquinaria pesada.</w:t>
      </w:r>
    </w:p>
    <w:p>
      <w:pPr>
        <w:pStyle w:val="Normal"/>
        <w:spacing w:before="0" w:after="60"/>
        <w:ind w:left="397" w:hanging="255"/>
        <w:rPr/>
      </w:pPr>
      <w:r>
        <w:rPr/>
        <w:t>g) No se admitirán desbroces que provoquen erosión, pérdida de suelo, afección a cauces, daños a especies protegidas o impactos ambientales no autorizados.</w:t>
      </w:r>
    </w:p>
    <w:p>
      <w:pPr>
        <w:pStyle w:val="Normal"/>
        <w:spacing w:before="0" w:after="60"/>
        <w:ind w:left="397" w:hanging="255"/>
        <w:rPr/>
      </w:pPr>
      <w:r>
        <w:rPr/>
        <w:t>h) La ejecución deberá respetar las limitaciones temporales y ambientales que resulten aplicables.</w:t>
      </w:r>
    </w:p>
    <w:p>
      <w:pPr>
        <w:pStyle w:val="Normal"/>
        <w:spacing w:before="0" w:after="60"/>
        <w:ind w:left="397" w:hanging="255"/>
        <w:rPr/>
      </w:pPr>
      <w:r>
        <w:rPr/>
        <w:t>i) Se realizarán fajas de desbroce con una anchura máxima de 30m y superficie por faja de entre 0,5 y 2 ha. La separación mínima entre fajas será de 20 metros, respetando rodales de vegetación autóctona no invasiva como puntos de refugio.</w:t>
      </w:r>
    </w:p>
    <w:p>
      <w:pPr>
        <w:pStyle w:val="Normal"/>
        <w:spacing w:before="0" w:after="60"/>
        <w:ind w:left="397" w:hanging="255"/>
        <w:rPr/>
      </w:pPr>
      <w:r>
        <w:rPr/>
        <w:t>j) No se podrá actuar sobre terrenos con pendientes superiores al 15%, quedando excluidas las zonas con regenerado arbóreo o matorral noble. Se excluyen áreas con poblaciones consolidadas de conejo de monte, a fin de priorizar las actuaciones en zonas de recuperación y evitar alteraciones innecesarias del habitat.</w:t>
      </w:r>
    </w:p>
    <w:p>
      <w:pPr>
        <w:pStyle w:val="Normal"/>
        <w:spacing w:before="0" w:after="60"/>
        <w:ind w:left="397" w:hanging="255"/>
        <w:rPr/>
      </w:pPr>
      <w:r>
        <w:rPr/>
        <w:t>k) Queda prohibida la actuación en espacios incluidos en Red Natura 2000 sin la correspondiente autorización previa.</w:t>
      </w:r>
    </w:p>
    <w:p>
      <w:pPr>
        <w:pStyle w:val="Ttulo3"/>
        <w:jc w:val="left"/>
        <w:rPr/>
      </w:pPr>
      <w:r>
        <w:rPr/>
        <w:t>3. Límites subvencionables</w:t>
      </w:r>
    </w:p>
    <w:p>
      <w:pPr>
        <w:pStyle w:val="Normal"/>
        <w:rPr/>
      </w:pPr>
      <w:r>
        <w:rPr/>
        <w:t>El coste máximo subvencionable será el previsto en la Base Primera.</w:t>
      </w:r>
    </w:p>
    <w:p>
      <w:pPr>
        <w:pStyle w:val="Normal"/>
        <w:rPr/>
      </w:pPr>
      <w:r>
        <w:rPr/>
        <w:t>El límite máximo será de hasta 8 hectáreas por unidad de gestión de 250 hectáreas.</w:t>
      </w:r>
    </w:p>
    <w:p>
      <w:pPr>
        <w:pStyle w:val="Ttulo3"/>
        <w:jc w:val="left"/>
        <w:rPr/>
      </w:pPr>
      <w:r>
        <w:rPr/>
        <w:t>4. Documentación justificativa específica</w:t>
      </w:r>
    </w:p>
    <w:p>
      <w:pPr>
        <w:pStyle w:val="Normal"/>
        <w:rPr/>
      </w:pPr>
      <w:r>
        <w:rPr/>
        <w:t>La entidad beneficiaria deberá aportar:</w:t>
      </w:r>
    </w:p>
    <w:p>
      <w:pPr>
        <w:pStyle w:val="Normal"/>
        <w:spacing w:before="0" w:after="60"/>
        <w:ind w:left="397" w:hanging="255"/>
        <w:rPr/>
      </w:pPr>
      <w:r>
        <w:rPr/>
        <w:t>a) Plano de localización y medición de la superficie desbrozada.</w:t>
      </w:r>
    </w:p>
    <w:p>
      <w:pPr>
        <w:pStyle w:val="Normal"/>
        <w:spacing w:before="0" w:after="60"/>
        <w:ind w:left="397" w:hanging="255"/>
        <w:rPr/>
      </w:pPr>
      <w:r>
        <w:rPr/>
        <w:t>b) Descripción de la finalidad de la actuación y su vinculación con la recuperación del conejo, así como la descripción de la maquinaria utilizada, la superficie desbrozada efectiva y el impacto visual y ecológico estimado.</w:t>
      </w:r>
    </w:p>
    <w:p>
      <w:pPr>
        <w:pStyle w:val="Normal"/>
        <w:spacing w:before="0" w:after="60"/>
        <w:ind w:left="397" w:hanging="255"/>
        <w:rPr/>
      </w:pPr>
      <w:r>
        <w:rPr/>
        <w:t>c) Fotografías fechadas y georreferenciadas del estado inicial y final del área exacta trabajada.</w:t>
      </w:r>
    </w:p>
    <w:p>
      <w:pPr>
        <w:pStyle w:val="Normal"/>
        <w:spacing w:before="0" w:after="60"/>
        <w:ind w:left="397" w:hanging="255"/>
        <w:rPr/>
      </w:pPr>
      <w:r>
        <w:rPr/>
        <w:t>d) Facturas y justificantes de pago.</w:t>
      </w:r>
    </w:p>
    <w:p>
      <w:pPr>
        <w:pStyle w:val="Normal"/>
        <w:spacing w:before="0" w:after="60"/>
        <w:ind w:left="397" w:hanging="255"/>
        <w:rPr/>
      </w:pPr>
      <w:r>
        <w:rPr/>
        <w:t>e) Informes favorables y/o de no afección, en caso de que la normativa en vigor así lo exija, emitidos por el órgano competente de la Comunidad Autónoma.</w:t>
      </w:r>
    </w:p>
    <w:p>
      <w:pPr>
        <w:pStyle w:val="Normal"/>
        <w:spacing w:before="0" w:after="60"/>
        <w:ind w:left="397" w:hanging="255"/>
        <w:rPr/>
      </w:pPr>
      <w:r>
        <w:rPr/>
        <w:t>f) Cualquier otra autorización que sea requerida conforme la normativa en vigor del órgano competente.</w:t>
      </w:r>
    </w:p>
    <w:p>
      <w:pPr>
        <w:pStyle w:val="Ttulo1"/>
        <w:jc w:val="left"/>
        <w:rPr/>
      </w:pPr>
      <w:r>
        <w:rPr/>
        <w:t>6. DOCUMENTACIÓN TÉCNICA MÍNIMA A APORTAR EN LA SOLICITUD</w:t>
      </w:r>
    </w:p>
    <w:p>
      <w:pPr>
        <w:pStyle w:val="Normal"/>
        <w:rPr/>
      </w:pPr>
      <w:r>
        <w:rPr/>
        <w:t>Sin perjuicio de lo previsto en la Base Quinta, la entidad solicitante deberá aportar, para cada actuación incluida en el proyecto:</w:t>
      </w:r>
    </w:p>
    <w:p>
      <w:pPr>
        <w:pStyle w:val="Normal"/>
        <w:spacing w:before="0" w:after="60"/>
        <w:ind w:left="397" w:hanging="255"/>
        <w:rPr/>
      </w:pPr>
      <w:r>
        <w:rPr/>
        <w:t>a) Identificación del coto social y plano general del coto.</w:t>
      </w:r>
    </w:p>
    <w:p>
      <w:pPr>
        <w:pStyle w:val="Normal"/>
        <w:spacing w:before="0" w:after="60"/>
        <w:ind w:left="397" w:hanging="255"/>
        <w:rPr/>
      </w:pPr>
      <w:r>
        <w:rPr/>
        <w:t>b) Plano de localización de las actuaciones.</w:t>
      </w:r>
    </w:p>
    <w:p>
      <w:pPr>
        <w:pStyle w:val="Normal"/>
        <w:spacing w:before="0" w:after="60"/>
        <w:ind w:left="397" w:hanging="255"/>
        <w:rPr/>
      </w:pPr>
      <w:r>
        <w:rPr/>
        <w:t>c) Referencias SIGPAC, catastrales, coordenadas geográficas o sistema equivalente.</w:t>
      </w:r>
    </w:p>
    <w:p>
      <w:pPr>
        <w:pStyle w:val="Normal"/>
        <w:spacing w:before="0" w:after="60"/>
        <w:ind w:left="397" w:hanging="255"/>
        <w:rPr/>
      </w:pPr>
      <w:r>
        <w:rPr/>
        <w:t>d) Descripción técnica de la actuación.</w:t>
      </w:r>
    </w:p>
    <w:p>
      <w:pPr>
        <w:pStyle w:val="Normal"/>
        <w:spacing w:before="0" w:after="60"/>
        <w:ind w:left="397" w:hanging="255"/>
        <w:rPr/>
      </w:pPr>
      <w:r>
        <w:rPr/>
        <w:t>e) Medición prevista: hectáreas, unidades, ejemplares o longitud, según proceda.</w:t>
      </w:r>
    </w:p>
    <w:p>
      <w:pPr>
        <w:pStyle w:val="Normal"/>
        <w:spacing w:before="0" w:after="60"/>
        <w:ind w:left="397" w:hanging="255"/>
        <w:rPr/>
      </w:pPr>
      <w:r>
        <w:rPr/>
        <w:t>f) Presupuesto desglosado.</w:t>
      </w:r>
    </w:p>
    <w:p>
      <w:pPr>
        <w:pStyle w:val="Normal"/>
        <w:spacing w:before="0" w:after="60"/>
        <w:ind w:left="397" w:hanging="255"/>
        <w:rPr/>
      </w:pPr>
      <w:r>
        <w:rPr/>
        <w:t>g) Fotografías del estado inicial de la zona de actuación fechadas y georreferenciadas.</w:t>
      </w:r>
    </w:p>
    <w:p>
      <w:pPr>
        <w:pStyle w:val="Normal"/>
        <w:spacing w:before="0" w:after="60"/>
        <w:ind w:left="397" w:hanging="255"/>
        <w:rPr/>
      </w:pPr>
      <w:r>
        <w:rPr/>
        <w:t>h) Indicación de autorizaciones, informes, permisos o comunicaciones administrativas necesarias.</w:t>
      </w:r>
    </w:p>
    <w:p>
      <w:pPr>
        <w:pStyle w:val="Normal"/>
        <w:spacing w:before="0" w:after="60"/>
        <w:ind w:left="397" w:hanging="255"/>
        <w:rPr/>
      </w:pPr>
      <w:r>
        <w:rPr/>
        <w:t>i) En el caso de repoblaciones, documentación justificativa de la existencia o previsión de infraestructuras adecuadas de apoyo.</w:t>
      </w:r>
    </w:p>
    <w:p>
      <w:pPr>
        <w:pStyle w:val="Ttulo1"/>
        <w:jc w:val="left"/>
        <w:rPr/>
      </w:pPr>
      <w:r>
        <w:rPr/>
        <w:t>7. DOCUMENTACIÓN TÉCNICA MÍNIMA A APORTAR EN LA JUSTIFICACIÓN</w:t>
      </w:r>
    </w:p>
    <w:p>
      <w:pPr>
        <w:pStyle w:val="Normal"/>
        <w:rPr/>
      </w:pPr>
      <w:r>
        <w:rPr/>
        <w:t>Sin perjuicio de lo previsto en la base relativa a la justificación y en el Anexo VI, la entidad beneficiaria deberá aportar:</w:t>
      </w:r>
    </w:p>
    <w:p>
      <w:pPr>
        <w:pStyle w:val="Normal"/>
        <w:spacing w:before="0" w:after="60"/>
        <w:ind w:left="397" w:hanging="255"/>
        <w:rPr/>
      </w:pPr>
      <w:r>
        <w:rPr/>
        <w:t>a) Memoria final de ejecución.</w:t>
      </w:r>
    </w:p>
    <w:p>
      <w:pPr>
        <w:pStyle w:val="Normal"/>
        <w:spacing w:before="0" w:after="60"/>
        <w:ind w:left="397" w:hanging="255"/>
        <w:rPr/>
      </w:pPr>
      <w:r>
        <w:rPr/>
        <w:t>b) Relación de actuaciones ejecutadas.</w:t>
      </w:r>
    </w:p>
    <w:p>
      <w:pPr>
        <w:pStyle w:val="Normal"/>
        <w:spacing w:before="0" w:after="60"/>
        <w:ind w:left="397" w:hanging="255"/>
        <w:rPr/>
      </w:pPr>
      <w:r>
        <w:rPr/>
        <w:t>c) Plano final de localización de las actuaciones.</w:t>
      </w:r>
    </w:p>
    <w:p>
      <w:pPr>
        <w:pStyle w:val="Normal"/>
        <w:spacing w:before="0" w:after="60"/>
        <w:ind w:left="397" w:hanging="255"/>
        <w:rPr/>
      </w:pPr>
      <w:r>
        <w:rPr/>
        <w:t>d) Fotografías fechadas y preferentemente georreferenciadas que permitan comprobar la ejecución.</w:t>
      </w:r>
    </w:p>
    <w:p>
      <w:pPr>
        <w:pStyle w:val="Normal"/>
        <w:spacing w:before="0" w:after="60"/>
        <w:ind w:left="397" w:hanging="255"/>
        <w:rPr/>
      </w:pPr>
      <w:r>
        <w:rPr/>
        <w:t>e) Facturas o documentos de valor probatorio equivalente.</w:t>
      </w:r>
    </w:p>
    <w:p>
      <w:pPr>
        <w:pStyle w:val="Normal"/>
        <w:spacing w:before="0" w:after="60"/>
        <w:ind w:left="397" w:hanging="255"/>
        <w:rPr/>
      </w:pPr>
      <w:r>
        <w:rPr/>
        <w:t>f) Justificantes de pago.</w:t>
      </w:r>
    </w:p>
    <w:p>
      <w:pPr>
        <w:pStyle w:val="Normal"/>
        <w:spacing w:before="0" w:after="60"/>
        <w:ind w:left="397" w:hanging="255"/>
        <w:rPr/>
      </w:pPr>
      <w:r>
        <w:rPr/>
        <w:t>g) Autorizaciones, informes, permisos o comunicaciones administrativas, cuando resulten exigibles.</w:t>
      </w:r>
    </w:p>
    <w:p>
      <w:pPr>
        <w:pStyle w:val="Normal"/>
        <w:spacing w:before="0" w:after="60"/>
        <w:ind w:left="397" w:hanging="255"/>
        <w:rPr/>
      </w:pPr>
      <w:r>
        <w:rPr/>
        <w:t>h) Documentación sanitaria, de origen y transporte de ejemplares, en el caso de repoblaciones.</w:t>
      </w:r>
    </w:p>
    <w:p>
      <w:pPr>
        <w:pStyle w:val="Normal"/>
        <w:spacing w:before="0" w:after="60"/>
        <w:ind w:left="397" w:hanging="255"/>
        <w:rPr/>
      </w:pPr>
      <w:r>
        <w:rPr/>
        <w:t>i) Declaración de mantenimiento de las actuaciones, cuando proceda.</w:t>
      </w:r>
    </w:p>
    <w:p>
      <w:pPr>
        <w:pStyle w:val="Normal"/>
        <w:spacing w:before="0" w:after="60"/>
        <w:ind w:left="397" w:hanging="255"/>
        <w:rPr/>
      </w:pPr>
      <w:r>
        <w:rPr/>
        <w:t>j) Cualquier otra documentación que pueda requerir la Diputación Provincial de Cáceres para comprobar la correcta ejecución de las actuaciones subvencionadas.</w:t>
      </w:r>
    </w:p>
    <w:p>
      <w:pPr>
        <w:pStyle w:val="Ttulo1"/>
        <w:jc w:val="left"/>
        <w:rPr/>
      </w:pPr>
      <w:r>
        <w:rPr/>
        <w:t>8. CRITERIOS DE COMPROBACIÓN Y CONTROL</w:t>
      </w:r>
    </w:p>
    <w:p>
      <w:pPr>
        <w:pStyle w:val="Normal"/>
        <w:rPr/>
      </w:pPr>
      <w:r>
        <w:rPr/>
        <w:t>La Diputación Provincial de Cáceres podrá realizar actuaciones de comprobación documental y material de las actuaciones subvencionadas.</w:t>
      </w:r>
    </w:p>
    <w:p>
      <w:pPr>
        <w:pStyle w:val="Normal"/>
        <w:rPr/>
      </w:pPr>
      <w:r>
        <w:rPr/>
        <w:t>La comprobación podrá referirse, entre otros extremos, a:</w:t>
      </w:r>
    </w:p>
    <w:p>
      <w:pPr>
        <w:pStyle w:val="Normal"/>
        <w:spacing w:before="0" w:after="60"/>
        <w:ind w:left="397" w:hanging="255"/>
        <w:rPr/>
      </w:pPr>
      <w:r>
        <w:rPr/>
        <w:t>a) La efectiva ejecución de las actuaciones.</w:t>
      </w:r>
    </w:p>
    <w:p>
      <w:pPr>
        <w:pStyle w:val="Normal"/>
        <w:spacing w:before="0" w:after="60"/>
        <w:ind w:left="397" w:hanging="255"/>
        <w:rPr/>
      </w:pPr>
      <w:r>
        <w:rPr/>
        <w:t>b) Su localización dentro del coto social indicado.</w:t>
      </w:r>
    </w:p>
    <w:p>
      <w:pPr>
        <w:pStyle w:val="Normal"/>
        <w:spacing w:before="0" w:after="60"/>
        <w:ind w:left="397" w:hanging="255"/>
        <w:rPr/>
      </w:pPr>
      <w:r>
        <w:rPr/>
        <w:t>c) La correspondencia entre lo solicitado, lo concedido y lo ejecutado.</w:t>
      </w:r>
    </w:p>
    <w:p>
      <w:pPr>
        <w:pStyle w:val="Normal"/>
        <w:spacing w:before="0" w:after="60"/>
        <w:ind w:left="397" w:hanging="255"/>
        <w:rPr/>
      </w:pPr>
      <w:r>
        <w:rPr/>
        <w:t>d) El cumplimiento de los límites de superficie, unidades, ejemplares o coste máximo subvencionable.</w:t>
      </w:r>
    </w:p>
    <w:p>
      <w:pPr>
        <w:pStyle w:val="Normal"/>
        <w:spacing w:before="0" w:after="60"/>
        <w:ind w:left="397" w:hanging="255"/>
        <w:rPr/>
      </w:pPr>
      <w:r>
        <w:rPr/>
        <w:t>e) La adecuación técnica de los materiales, infraestructuras y trabajos realizados.</w:t>
      </w:r>
    </w:p>
    <w:p>
      <w:pPr>
        <w:pStyle w:val="Normal"/>
        <w:spacing w:before="0" w:after="60"/>
        <w:ind w:left="397" w:hanging="255"/>
        <w:rPr/>
      </w:pPr>
      <w:r>
        <w:rPr/>
        <w:t>f) La funcionalidad de las actuaciones ejecutadas.</w:t>
      </w:r>
    </w:p>
    <w:p>
      <w:pPr>
        <w:pStyle w:val="Normal"/>
        <w:spacing w:before="0" w:after="60"/>
        <w:ind w:left="397" w:hanging="255"/>
        <w:rPr/>
      </w:pPr>
      <w:r>
        <w:rPr/>
        <w:t>g) La existencia de autorizaciones o permisos exigibles.</w:t>
      </w:r>
    </w:p>
    <w:p>
      <w:pPr>
        <w:pStyle w:val="Normal"/>
        <w:spacing w:before="0" w:after="60"/>
        <w:ind w:left="397" w:hanging="255"/>
        <w:rPr/>
      </w:pPr>
      <w:r>
        <w:rPr/>
        <w:t>h) La correcta aplicación de los fondos públicos.</w:t>
      </w:r>
    </w:p>
    <w:p>
      <w:pPr>
        <w:pStyle w:val="Normal"/>
        <w:spacing w:before="0" w:after="60"/>
        <w:ind w:left="397" w:hanging="255"/>
        <w:rPr/>
      </w:pPr>
      <w:r>
        <w:rPr/>
        <w:t>i) La permanencia y mantenimiento de las actuaciones durante el periodo exigido.</w:t>
      </w:r>
    </w:p>
    <w:p>
      <w:pPr>
        <w:pStyle w:val="Normal"/>
        <w:rPr/>
      </w:pPr>
      <w:r>
        <w:rPr/>
      </w:r>
    </w:p>
    <w:p>
      <w:pPr>
        <w:pStyle w:val="Normal"/>
        <w:rPr/>
      </w:pPr>
      <w:r>
        <w:rPr/>
        <w:t>La comprobación técnica podrá realizarse mediante inspección in situ, análisis documental, herramientas SIG, fotografías georreferenciadas o cualquier otro medio de verificación admitido en derecho.</w:t>
      </w:r>
    </w:p>
    <w:p>
      <w:pPr>
        <w:pStyle w:val="Normal"/>
        <w:rPr/>
      </w:pPr>
      <w:r>
        <w:rPr/>
        <w:t>Cuando se compruebe que una actuación no se ha ejecutado, se ha ejecutado parcialmente, no cumple las condiciones técnicas mínimas, no resulta funcional, carece de autorización exigible o no responde a la finalidad subvencionada, podrá declararse la pérdida del derecho al cobro o exigirse el reintegro total o parcial de la subvención, conforme a lo previsto en las bases de la convocatoria y en la normativa general de subvenciones.</w:t>
      </w:r>
    </w:p>
    <w:p>
      <w:pPr>
        <w:pStyle w:val="Ttulo1"/>
        <w:jc w:val="left"/>
        <w:rPr/>
      </w:pPr>
      <w:r>
        <w:rPr/>
        <w:t>9. INTERPRETACIÓN TÉCNICA</w:t>
      </w:r>
    </w:p>
    <w:p>
      <w:pPr>
        <w:pStyle w:val="Normal"/>
        <w:rPr/>
      </w:pPr>
      <w:r>
        <w:rPr/>
        <w:t>Las dudas que puedan surgir en la aplicación de este anexo serán resueltas por el órgano gestor de la convocatoria, atendiendo a la finalidad de la subvención, a la normativa aplicable y a criterios técnicos de sostenibilidad, mejora del hábitat, recuperación de especies cinegéticas de caza menor y conservación de la biodiversidad.</w:t>
      </w:r>
    </w:p>
    <w:p>
      <w:pPr>
        <w:pStyle w:val="Normal"/>
        <w:widowControl/>
        <w:suppressAutoHyphens w:val="true"/>
        <w:bidi w:val="0"/>
        <w:spacing w:lineRule="auto" w:line="259" w:before="0" w:after="120"/>
        <w:jc w:val="both"/>
        <w:rPr/>
      </w:pPr>
      <w:r>
        <w:rPr/>
        <w:t>La interpretación de las condiciones técnicas no podrá suponer, en ningún caso, la ampliación de los costes máximos, límites de superficie, número de unidades o ejemplares establecidos en las bases de la convocatoria.</w:t>
      </w:r>
    </w:p>
    <w:sectPr>
      <w:footerReference w:type="default" r:id="rId3"/>
      <w:type w:val="nextPage"/>
      <w:pgSz w:w="12240" w:h="15840"/>
      <w:pgMar w:left="1361" w:right="1361" w:gutter="0" w:header="0" w:top="1247" w:footer="720" w:bottom="124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Arial">
    <w:charset w:val="00"/>
    <w:family w:val="roman"/>
    <w:pitch w:val="variable"/>
  </w:font>
  <w:font w:name="Calibri">
    <w:charset w:val="00"/>
    <w:family w:val="roman"/>
    <w:pitch w:val="variable"/>
  </w:font>
  <w:font w:name="Courier">
    <w:altName w:val="Courier New"/>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jc w:val="center"/>
      <w:rPr/>
    </w:pPr>
    <w:r>
      <w:rPr>
        <w:sz w:val="16"/>
      </w:rPr>
      <w:t>Anexo I - Especificaciones técnicas</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decimal"/>
      <w:lvlText w:val="%1."/>
      <w:lvlJc w:val="left"/>
      <w:pPr>
        <w:tabs>
          <w:tab w:val="num" w:pos="360"/>
        </w:tabs>
        <w:ind w:left="36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6">
    <w:lvl w:ilvl="0">
      <w:start w:val="1"/>
      <w:numFmt w:val="decimal"/>
      <w:lvlText w:val="%1."/>
      <w:lvlJc w:val="left"/>
      <w:pPr>
        <w:tabs>
          <w:tab w:val="num" w:pos="1080"/>
        </w:tabs>
        <w:ind w:left="108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7">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20"/>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c693f"/>
    <w:pPr>
      <w:widowControl/>
      <w:suppressAutoHyphens w:val="true"/>
      <w:bidi w:val="0"/>
      <w:spacing w:lineRule="auto" w:line="259" w:before="0" w:after="120"/>
      <w:jc w:val="both"/>
    </w:pPr>
    <w:rPr>
      <w:rFonts w:ascii="Arial" w:hAnsi="Arial" w:eastAsia="Arial" w:cs="" w:cstheme="minorBidi"/>
      <w:color w:val="auto"/>
      <w:kern w:val="0"/>
      <w:sz w:val="21"/>
      <w:szCs w:val="22"/>
      <w:lang w:val="en-US" w:eastAsia="en-US" w:bidi="ar-SA"/>
    </w:rPr>
  </w:style>
  <w:style w:type="paragraph" w:styleId="Ttulo1">
    <w:name w:val="Heading 1"/>
    <w:basedOn w:val="Normal"/>
    <w:next w:val="Normal"/>
    <w:link w:val="Ttulo1Car"/>
    <w:uiPriority w:val="9"/>
    <w:qFormat/>
    <w:rsid w:val="00fc693f"/>
    <w:pPr>
      <w:keepNext w:val="true"/>
      <w:keepLines/>
      <w:spacing w:before="240" w:after="120"/>
      <w:outlineLvl w:val="0"/>
    </w:pPr>
    <w:rPr>
      <w:rFonts w:ascii="Calibri" w:hAnsi="Calibri" w:eastAsia="ＭＳ ゴシック" w:cs="" w:asciiTheme="majorHAnsi" w:cstheme="majorBidi" w:eastAsiaTheme="majorEastAsia" w:hAnsiTheme="majorHAnsi"/>
      <w:b/>
      <w:bCs/>
      <w:color w:val="365F91" w:themeColor="accent1" w:themeShade="bf"/>
      <w:sz w:val="24"/>
      <w:szCs w:val="28"/>
    </w:rPr>
  </w:style>
  <w:style w:type="paragraph" w:styleId="Ttulo2">
    <w:name w:val="Heading 2"/>
    <w:basedOn w:val="Normal"/>
    <w:next w:val="Normal"/>
    <w:link w:val="Ttulo2Car"/>
    <w:uiPriority w:val="9"/>
    <w:unhideWhenUsed/>
    <w:qFormat/>
    <w:rsid w:val="00fc693f"/>
    <w:pPr>
      <w:keepNext w:val="true"/>
      <w:keepLines/>
      <w:spacing w:before="200" w:after="100"/>
      <w:outlineLvl w:val="1"/>
    </w:pPr>
    <w:rPr>
      <w:rFonts w:ascii="Calibri" w:hAnsi="Calibri" w:eastAsia="ＭＳ ゴシック" w:cs="" w:asciiTheme="majorHAnsi" w:cstheme="majorBidi" w:eastAsiaTheme="majorEastAsia" w:hAnsiTheme="majorHAnsi"/>
      <w:b/>
      <w:bCs/>
      <w:color w:val="4F81BD" w:themeColor="accent1"/>
      <w:sz w:val="22"/>
      <w:szCs w:val="26"/>
    </w:rPr>
  </w:style>
  <w:style w:type="paragraph" w:styleId="Ttulo3">
    <w:name w:val="Heading 3"/>
    <w:basedOn w:val="Normal"/>
    <w:next w:val="Normal"/>
    <w:link w:val="Ttulo3Car"/>
    <w:uiPriority w:val="9"/>
    <w:unhideWhenUsed/>
    <w:qFormat/>
    <w:rsid w:val="00fc693f"/>
    <w:pPr>
      <w:keepNext w:val="true"/>
      <w:keepLines/>
      <w:spacing w:before="160" w:after="80"/>
      <w:outlineLvl w:val="2"/>
    </w:pPr>
    <w:rPr>
      <w:rFonts w:ascii="Calibri" w:hAnsi="Calibri" w:eastAsia="ＭＳ ゴシック" w:cs="" w:asciiTheme="majorHAnsi" w:cstheme="majorBidi" w:eastAsiaTheme="majorEastAsia" w:hAnsiTheme="majorHAnsi"/>
      <w:b/>
      <w:bCs/>
      <w:color w:val="4F81BD" w:themeColor="accent1"/>
    </w:rPr>
  </w:style>
  <w:style w:type="paragraph" w:styleId="Ttulo4">
    <w:name w:val="Heading 4"/>
    <w:basedOn w:val="Normal"/>
    <w:next w:val="Normal"/>
    <w:link w:val="Ttulo4Car"/>
    <w:uiPriority w:val="9"/>
    <w:semiHidden/>
    <w:unhideWhenUsed/>
    <w:qFormat/>
    <w:rsid w:val="00fc693f"/>
    <w:pPr>
      <w:keepNext w:val="true"/>
      <w:keepLines/>
      <w:spacing w:before="200" w:after="0"/>
      <w:outlineLvl w:val="3"/>
    </w:pPr>
    <w:rPr>
      <w:rFonts w:ascii="Calibri" w:hAnsi="Calibri" w:eastAsia="ＭＳ ゴシック" w:cs="" w:asciiTheme="majorHAnsi" w:cstheme="majorBidi" w:eastAsiaTheme="majorEastAsia" w:hAnsiTheme="majorHAnsi"/>
      <w:b/>
      <w:bCs/>
      <w:i/>
      <w:iCs/>
      <w:color w:val="4F81BD" w:themeColor="accent1"/>
    </w:rPr>
  </w:style>
  <w:style w:type="paragraph" w:styleId="Ttulo5">
    <w:name w:val="Heading 5"/>
    <w:basedOn w:val="Normal"/>
    <w:next w:val="Normal"/>
    <w:link w:val="Ttulo5Car"/>
    <w:uiPriority w:val="9"/>
    <w:semiHidden/>
    <w:unhideWhenUsed/>
    <w:qFormat/>
    <w:rsid w:val="00fc693f"/>
    <w:pPr>
      <w:keepNext w:val="true"/>
      <w:keepLines/>
      <w:spacing w:before="200" w:after="0"/>
      <w:outlineLvl w:val="4"/>
    </w:pPr>
    <w:rPr>
      <w:rFonts w:ascii="Calibri" w:hAnsi="Calibri" w:eastAsia="ＭＳ ゴシック" w:cs="" w:asciiTheme="majorHAnsi" w:cstheme="majorBidi" w:eastAsiaTheme="majorEastAsia" w:hAnsiTheme="majorHAnsi"/>
      <w:color w:val="243F60" w:themeColor="accent1" w:themeShade="7f"/>
    </w:rPr>
  </w:style>
  <w:style w:type="paragraph" w:styleId="Ttulo6">
    <w:name w:val="Heading 6"/>
    <w:basedOn w:val="Normal"/>
    <w:next w:val="Normal"/>
    <w:link w:val="Ttulo6Car"/>
    <w:uiPriority w:val="9"/>
    <w:semiHidden/>
    <w:unhideWhenUsed/>
    <w:qFormat/>
    <w:rsid w:val="00fc693f"/>
    <w:pPr>
      <w:keepNext w:val="true"/>
      <w:keepLines/>
      <w:spacing w:before="200" w:after="0"/>
      <w:outlineLvl w:val="5"/>
    </w:pPr>
    <w:rPr>
      <w:rFonts w:ascii="Calibri" w:hAnsi="Calibri" w:eastAsia="ＭＳ ゴシック" w:cs="" w:asciiTheme="majorHAnsi" w:cstheme="majorBidi" w:eastAsiaTheme="majorEastAsia" w:hAnsiTheme="majorHAnsi"/>
      <w:i/>
      <w:iCs/>
      <w:color w:val="243F60" w:themeColor="accent1" w:themeShade="7f"/>
    </w:rPr>
  </w:style>
  <w:style w:type="paragraph" w:styleId="Ttulo7">
    <w:name w:val="Heading 7"/>
    <w:basedOn w:val="Normal"/>
    <w:next w:val="Normal"/>
    <w:link w:val="Ttulo7Car"/>
    <w:uiPriority w:val="9"/>
    <w:semiHidden/>
    <w:unhideWhenUsed/>
    <w:qFormat/>
    <w:rsid w:val="00fc693f"/>
    <w:pPr>
      <w:keepNext w:val="true"/>
      <w:keepLines/>
      <w:spacing w:before="200" w:after="0"/>
      <w:outlineLvl w:val="6"/>
    </w:pPr>
    <w:rPr>
      <w:rFonts w:ascii="Calibri" w:hAnsi="Calibri" w:eastAsia="ＭＳ ゴシック" w:cs="" w:asciiTheme="majorHAnsi" w:cstheme="majorBidi" w:eastAsiaTheme="majorEastAsia" w:hAnsiTheme="majorHAnsi"/>
      <w:i/>
      <w:iCs/>
      <w:color w:val="404040" w:themeColor="text1" w:themeTint="bf"/>
    </w:rPr>
  </w:style>
  <w:style w:type="paragraph" w:styleId="Ttulo8">
    <w:name w:val="Heading 8"/>
    <w:basedOn w:val="Normal"/>
    <w:next w:val="Normal"/>
    <w:link w:val="Ttulo8Car"/>
    <w:uiPriority w:val="9"/>
    <w:semiHidden/>
    <w:unhideWhenUsed/>
    <w:qFormat/>
    <w:rsid w:val="00fc693f"/>
    <w:pPr>
      <w:keepNext w:val="true"/>
      <w:keepLines/>
      <w:spacing w:before="200" w:after="0"/>
      <w:outlineLvl w:val="7"/>
    </w:pPr>
    <w:rPr>
      <w:rFonts w:ascii="Calibri" w:hAnsi="Calibri" w:eastAsia="ＭＳ ゴシック" w:cs="" w:asciiTheme="majorHAnsi" w:cstheme="majorBidi" w:eastAsiaTheme="majorEastAsia" w:hAnsiTheme="majorHAnsi"/>
      <w:color w:val="4F81BD" w:themeColor="accent1"/>
      <w:sz w:val="20"/>
      <w:szCs w:val="20"/>
    </w:rPr>
  </w:style>
  <w:style w:type="paragraph" w:styleId="Ttulo9">
    <w:name w:val="Heading 9"/>
    <w:basedOn w:val="Normal"/>
    <w:next w:val="Normal"/>
    <w:link w:val="Ttulo9Car"/>
    <w:uiPriority w:val="9"/>
    <w:semiHidden/>
    <w:unhideWhenUsed/>
    <w:qFormat/>
    <w:rsid w:val="00fc693f"/>
    <w:pPr>
      <w:keepNext w:val="true"/>
      <w:keepLines/>
      <w:spacing w:before="200" w:after="0"/>
      <w:outlineLvl w:val="8"/>
    </w:pPr>
    <w:rPr>
      <w:rFonts w:ascii="Calibri" w:hAnsi="Calibri" w:eastAsia="ＭＳ ゴシック" w:cs="" w:asciiTheme="majorHAnsi" w:cstheme="majorBidi" w:eastAsiaTheme="majorEastAsia" w:hAnsiTheme="majorHAnsi"/>
      <w:i/>
      <w:iCs/>
      <w:color w:val="404040" w:themeColor="text1" w:themeTint="bf"/>
      <w:sz w:val="20"/>
      <w:szCs w:val="20"/>
    </w:rPr>
  </w:style>
  <w:style w:type="character" w:styleId="DefaultParagraphFont" w:default="1">
    <w:name w:val="Default Paragraph Font"/>
    <w:uiPriority w:val="1"/>
    <w:unhideWhenUsed/>
    <w:qFormat/>
    <w:rPr/>
  </w:style>
  <w:style w:type="character" w:styleId="EncabezadoCar" w:customStyle="1">
    <w:name w:val="Encabezado Car"/>
    <w:basedOn w:val="DefaultParagraphFont"/>
    <w:uiPriority w:val="99"/>
    <w:qFormat/>
    <w:rsid w:val="00e618bf"/>
    <w:rPr/>
  </w:style>
  <w:style w:type="character" w:styleId="PiedepginaCar" w:customStyle="1">
    <w:name w:val="Pie de página Car"/>
    <w:basedOn w:val="DefaultParagraphFont"/>
    <w:uiPriority w:val="99"/>
    <w:qFormat/>
    <w:rsid w:val="00e618bf"/>
    <w:rPr/>
  </w:style>
  <w:style w:type="character" w:styleId="Ttulo1Car" w:customStyle="1">
    <w:name w:val="Título 1 Car"/>
    <w:basedOn w:val="DefaultParagraphFont"/>
    <w:uiPriority w:val="9"/>
    <w:qFormat/>
    <w:rsid w:val="00fc693f"/>
    <w:rPr>
      <w:rFonts w:ascii="Calibri" w:hAnsi="Calibri" w:eastAsia="ＭＳ ゴシック" w:cs="" w:asciiTheme="majorHAnsi" w:cstheme="majorBidi" w:eastAsiaTheme="majorEastAsia" w:hAnsiTheme="majorHAnsi"/>
      <w:b/>
      <w:bCs/>
      <w:color w:val="365F91" w:themeColor="accent1" w:themeShade="bf"/>
      <w:sz w:val="28"/>
      <w:szCs w:val="28"/>
    </w:rPr>
  </w:style>
  <w:style w:type="character" w:styleId="Ttulo2Car" w:customStyle="1">
    <w:name w:val="Título 2 Car"/>
    <w:basedOn w:val="DefaultParagraphFont"/>
    <w:uiPriority w:val="9"/>
    <w:qFormat/>
    <w:rsid w:val="00fc693f"/>
    <w:rPr>
      <w:rFonts w:ascii="Calibri" w:hAnsi="Calibri" w:eastAsia="ＭＳ ゴシック" w:cs="" w:asciiTheme="majorHAnsi" w:cstheme="majorBidi" w:eastAsiaTheme="majorEastAsia" w:hAnsiTheme="majorHAnsi"/>
      <w:b/>
      <w:bCs/>
      <w:color w:val="4F81BD" w:themeColor="accent1"/>
      <w:sz w:val="26"/>
      <w:szCs w:val="26"/>
    </w:rPr>
  </w:style>
  <w:style w:type="character" w:styleId="Ttulo3Car" w:customStyle="1">
    <w:name w:val="Título 3 Car"/>
    <w:basedOn w:val="DefaultParagraphFont"/>
    <w:uiPriority w:val="9"/>
    <w:qFormat/>
    <w:rsid w:val="00fc693f"/>
    <w:rPr>
      <w:rFonts w:ascii="Calibri" w:hAnsi="Calibri" w:eastAsia="ＭＳ ゴシック" w:cs="" w:asciiTheme="majorHAnsi" w:cstheme="majorBidi" w:eastAsiaTheme="majorEastAsia" w:hAnsiTheme="majorHAnsi"/>
      <w:b/>
      <w:bCs/>
      <w:color w:val="4F81BD" w:themeColor="accent1"/>
    </w:rPr>
  </w:style>
  <w:style w:type="character" w:styleId="TtuloCar" w:customStyle="1">
    <w:name w:val="Título Car"/>
    <w:basedOn w:val="DefaultParagraphFont"/>
    <w:uiPriority w:val="10"/>
    <w:qFormat/>
    <w:rsid w:val="00fc693f"/>
    <w:rPr>
      <w:rFonts w:ascii="Calibri" w:hAnsi="Calibri" w:eastAsia="ＭＳ ゴシック" w:cs="" w:asciiTheme="majorHAnsi" w:cstheme="majorBidi" w:eastAsiaTheme="majorEastAsia" w:hAnsiTheme="majorHAnsi"/>
      <w:color w:val="17365D" w:themeColor="text2" w:themeShade="bf"/>
      <w:spacing w:val="5"/>
      <w:kern w:val="2"/>
      <w:sz w:val="52"/>
      <w:szCs w:val="52"/>
    </w:rPr>
  </w:style>
  <w:style w:type="character" w:styleId="SubttuloCar" w:customStyle="1">
    <w:name w:val="Subtítulo Car"/>
    <w:basedOn w:val="DefaultParagraphFont"/>
    <w:uiPriority w:val="11"/>
    <w:qFormat/>
    <w:rsid w:val="00fc693f"/>
    <w:rPr>
      <w:rFonts w:ascii="Calibri" w:hAnsi="Calibri" w:eastAsia="ＭＳ ゴシック" w:cs="" w:asciiTheme="majorHAnsi" w:cstheme="majorBidi" w:eastAsiaTheme="majorEastAsia" w:hAnsiTheme="majorHAnsi"/>
      <w:i/>
      <w:iCs/>
      <w:color w:val="4F81BD" w:themeColor="accent1"/>
      <w:spacing w:val="15"/>
      <w:sz w:val="24"/>
      <w:szCs w:val="24"/>
    </w:rPr>
  </w:style>
  <w:style w:type="character" w:styleId="TextoindependienteCar" w:customStyle="1">
    <w:name w:val="Texto independiente Car"/>
    <w:basedOn w:val="DefaultParagraphFont"/>
    <w:uiPriority w:val="99"/>
    <w:qFormat/>
    <w:rsid w:val="00aa1d8d"/>
    <w:rPr/>
  </w:style>
  <w:style w:type="character" w:styleId="Textoindependiente2Car" w:customStyle="1">
    <w:name w:val="Texto independiente 2 Car"/>
    <w:basedOn w:val="DefaultParagraphFont"/>
    <w:link w:val="BodyText2"/>
    <w:uiPriority w:val="99"/>
    <w:qFormat/>
    <w:rsid w:val="00aa1d8d"/>
    <w:rPr/>
  </w:style>
  <w:style w:type="character" w:styleId="Textoindependiente3Car" w:customStyle="1">
    <w:name w:val="Texto independiente 3 Car"/>
    <w:basedOn w:val="DefaultParagraphFont"/>
    <w:link w:val="BodyText3"/>
    <w:uiPriority w:val="99"/>
    <w:qFormat/>
    <w:rsid w:val="00aa1d8d"/>
    <w:rPr>
      <w:sz w:val="16"/>
      <w:szCs w:val="16"/>
    </w:rPr>
  </w:style>
  <w:style w:type="character" w:styleId="TextomacroCar" w:customStyle="1">
    <w:name w:val="Texto macro Car"/>
    <w:basedOn w:val="DefaultParagraphFont"/>
    <w:link w:val="Macro"/>
    <w:uiPriority w:val="99"/>
    <w:qFormat/>
    <w:rsid w:val="0029639d"/>
    <w:rPr>
      <w:rFonts w:ascii="Courier" w:hAnsi="Courier"/>
      <w:sz w:val="20"/>
      <w:szCs w:val="20"/>
    </w:rPr>
  </w:style>
  <w:style w:type="character" w:styleId="CitaCar" w:customStyle="1">
    <w:name w:val="Cita Car"/>
    <w:basedOn w:val="DefaultParagraphFont"/>
    <w:link w:val="Quote"/>
    <w:uiPriority w:val="29"/>
    <w:qFormat/>
    <w:rsid w:val="00fc693f"/>
    <w:rPr>
      <w:i/>
      <w:iCs/>
      <w:color w:val="000000" w:themeColor="text1"/>
    </w:rPr>
  </w:style>
  <w:style w:type="character" w:styleId="Ttulo4Car" w:customStyle="1">
    <w:name w:val="Título 4 Car"/>
    <w:basedOn w:val="DefaultParagraphFont"/>
    <w:uiPriority w:val="9"/>
    <w:semiHidden/>
    <w:qFormat/>
    <w:rsid w:val="00fc693f"/>
    <w:rPr>
      <w:rFonts w:ascii="Calibri" w:hAnsi="Calibri" w:eastAsia="ＭＳ ゴシック" w:cs="" w:asciiTheme="majorHAnsi" w:cstheme="majorBidi" w:eastAsiaTheme="majorEastAsia" w:hAnsiTheme="majorHAnsi"/>
      <w:b/>
      <w:bCs/>
      <w:i/>
      <w:iCs/>
      <w:color w:val="4F81BD" w:themeColor="accent1"/>
    </w:rPr>
  </w:style>
  <w:style w:type="character" w:styleId="Ttulo5Car" w:customStyle="1">
    <w:name w:val="Título 5 Car"/>
    <w:basedOn w:val="DefaultParagraphFont"/>
    <w:uiPriority w:val="9"/>
    <w:semiHidden/>
    <w:qFormat/>
    <w:rsid w:val="00fc693f"/>
    <w:rPr>
      <w:rFonts w:ascii="Calibri" w:hAnsi="Calibri" w:eastAsia="ＭＳ ゴシック" w:cs="" w:asciiTheme="majorHAnsi" w:cstheme="majorBidi" w:eastAsiaTheme="majorEastAsia" w:hAnsiTheme="majorHAnsi"/>
      <w:color w:val="243F60" w:themeColor="accent1" w:themeShade="7f"/>
    </w:rPr>
  </w:style>
  <w:style w:type="character" w:styleId="Ttulo6Car" w:customStyle="1">
    <w:name w:val="Título 6 Car"/>
    <w:basedOn w:val="DefaultParagraphFont"/>
    <w:uiPriority w:val="9"/>
    <w:semiHidden/>
    <w:qFormat/>
    <w:rsid w:val="00fc693f"/>
    <w:rPr>
      <w:rFonts w:ascii="Calibri" w:hAnsi="Calibri" w:eastAsia="ＭＳ ゴシック" w:cs="" w:asciiTheme="majorHAnsi" w:cstheme="majorBidi" w:eastAsiaTheme="majorEastAsia" w:hAnsiTheme="majorHAnsi"/>
      <w:i/>
      <w:iCs/>
      <w:color w:val="243F60" w:themeColor="accent1" w:themeShade="7f"/>
    </w:rPr>
  </w:style>
  <w:style w:type="character" w:styleId="Ttulo7Car" w:customStyle="1">
    <w:name w:val="Título 7 Car"/>
    <w:basedOn w:val="DefaultParagraphFont"/>
    <w:uiPriority w:val="9"/>
    <w:semiHidden/>
    <w:qFormat/>
    <w:rsid w:val="00fc693f"/>
    <w:rPr>
      <w:rFonts w:ascii="Calibri" w:hAnsi="Calibri" w:eastAsia="ＭＳ ゴシック" w:cs="" w:asciiTheme="majorHAnsi" w:cstheme="majorBidi" w:eastAsiaTheme="majorEastAsia" w:hAnsiTheme="majorHAnsi"/>
      <w:i/>
      <w:iCs/>
      <w:color w:val="404040" w:themeColor="text1" w:themeTint="bf"/>
    </w:rPr>
  </w:style>
  <w:style w:type="character" w:styleId="Ttulo8Car" w:customStyle="1">
    <w:name w:val="Título 8 Car"/>
    <w:basedOn w:val="DefaultParagraphFont"/>
    <w:uiPriority w:val="9"/>
    <w:semiHidden/>
    <w:qFormat/>
    <w:rsid w:val="00fc693f"/>
    <w:rPr>
      <w:rFonts w:ascii="Calibri" w:hAnsi="Calibri" w:eastAsia="ＭＳ ゴシック" w:cs="" w:asciiTheme="majorHAnsi" w:cstheme="majorBidi" w:eastAsiaTheme="majorEastAsia" w:hAnsiTheme="majorHAnsi"/>
      <w:color w:val="4F81BD" w:themeColor="accent1"/>
      <w:sz w:val="20"/>
      <w:szCs w:val="20"/>
    </w:rPr>
  </w:style>
  <w:style w:type="character" w:styleId="Ttulo9Car" w:customStyle="1">
    <w:name w:val="Título 9 Car"/>
    <w:basedOn w:val="DefaultParagraphFont"/>
    <w:uiPriority w:val="9"/>
    <w:semiHidden/>
    <w:qFormat/>
    <w:rsid w:val="00fc693f"/>
    <w:rPr>
      <w:rFonts w:ascii="Calibri" w:hAnsi="Calibri" w:eastAsia="ＭＳ ゴシック" w:cs="" w:asciiTheme="majorHAnsi" w:cstheme="majorBidi" w:eastAsiaTheme="majorEastAsia" w:hAnsiTheme="majorHAns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Destacado">
    <w:name w:val="Emphasis"/>
    <w:basedOn w:val="DefaultParagraphFont"/>
    <w:uiPriority w:val="20"/>
    <w:qFormat/>
    <w:rsid w:val="00fc693f"/>
    <w:rPr>
      <w:i/>
      <w:iCs/>
    </w:rPr>
  </w:style>
  <w:style w:type="character" w:styleId="CitadestacadaCar" w:customStyle="1">
    <w:name w:val="Cita destacada C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link w:val="TextoindependienteCar"/>
    <w:uiPriority w:val="99"/>
    <w:unhideWhenUsed/>
    <w:rsid w:val="00aa1d8d"/>
    <w:pPr/>
    <w:rPr/>
  </w:style>
  <w:style w:type="paragraph" w:styleId="Lista">
    <w:name w:val="List"/>
    <w:basedOn w:val="Normal"/>
    <w:uiPriority w:val="99"/>
    <w:unhideWhenUsed/>
    <w:rsid w:val="00aa1d8d"/>
    <w:pPr>
      <w:spacing w:before="0" w:after="120"/>
      <w:ind w:left="360" w:hanging="360"/>
      <w:contextualSpacing/>
    </w:pPr>
    <w:rPr/>
  </w:style>
  <w:style w:type="paragraph" w:styleId="Ley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general">
    <w:name w:val="Title"/>
    <w:basedOn w:val="Normal"/>
    <w:next w:val="Cuerpodetexto"/>
    <w:link w:val="TtuloCar"/>
    <w:uiPriority w:val="10"/>
    <w:qFormat/>
    <w:rsid w:val="00fc693f"/>
    <w:pPr>
      <w:pBdr>
        <w:bottom w:val="single" w:sz="8" w:space="4" w:color="4F81BD"/>
      </w:pBdr>
      <w:spacing w:lineRule="auto" w:line="240" w:before="0" w:after="300"/>
      <w:contextualSpacing/>
    </w:pPr>
    <w:rPr>
      <w:rFonts w:ascii="Calibri" w:hAnsi="Calibri" w:eastAsia="ＭＳ ゴシック" w:cs="" w:asciiTheme="majorHAnsi" w:cstheme="majorBidi" w:eastAsiaTheme="majorEastAsia" w:hAnsiTheme="majorHAnsi"/>
      <w:b/>
      <w:color w:val="17365D" w:themeColor="text2" w:themeShade="bf"/>
      <w:spacing w:val="5"/>
      <w:kern w:val="2"/>
      <w:sz w:val="28"/>
      <w:szCs w:val="52"/>
    </w:rPr>
  </w:style>
  <w:style w:type="paragraph" w:styleId="Caption">
    <w:name w:val="caption"/>
    <w:basedOn w:val="Normal"/>
    <w:next w:val="Normal"/>
    <w:uiPriority w:val="35"/>
    <w:semiHidden/>
    <w:unhideWhenUsed/>
    <w:qFormat/>
    <w:rsid w:val="00fc693f"/>
    <w:pPr>
      <w:spacing w:lineRule="auto" w:line="240"/>
    </w:pPr>
    <w:rPr>
      <w:b/>
      <w:bCs/>
      <w:color w:val="4F81BD" w:themeColor="accent1"/>
      <w:sz w:val="18"/>
      <w:szCs w:val="18"/>
    </w:rPr>
  </w:style>
  <w:style w:type="paragraph" w:styleId="Cabeceraypie" w:customStyle="1">
    <w:name w:val="Cabecera y pie"/>
    <w:basedOn w:val="Normal"/>
    <w:qFormat/>
    <w:pPr/>
    <w:rPr/>
  </w:style>
  <w:style w:type="paragraph" w:styleId="Cabecera">
    <w:name w:val="Header"/>
    <w:basedOn w:val="Normal"/>
    <w:link w:val="EncabezadoCar"/>
    <w:uiPriority w:val="99"/>
    <w:unhideWhenUsed/>
    <w:rsid w:val="00e618bf"/>
    <w:pPr>
      <w:tabs>
        <w:tab w:val="clear" w:pos="720"/>
        <w:tab w:val="center" w:pos="4680" w:leader="none"/>
        <w:tab w:val="right" w:pos="9360" w:leader="none"/>
      </w:tabs>
      <w:spacing w:lineRule="auto" w:line="240" w:before="0" w:after="0"/>
    </w:pPr>
    <w:rPr/>
  </w:style>
  <w:style w:type="paragraph" w:styleId="Piedepgina">
    <w:name w:val="Footer"/>
    <w:basedOn w:val="Normal"/>
    <w:link w:val="PiedepginaC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suppressAutoHyphens w:val="true"/>
      <w:bidi w:val="0"/>
      <w:spacing w:before="0" w:after="0"/>
      <w:jc w:val="left"/>
    </w:pPr>
    <w:rPr>
      <w:rFonts w:ascii="Cambria" w:hAnsi="Cambria" w:eastAsia="ＭＳ 明朝" w:cs="" w:asciiTheme="minorHAnsi" w:cstheme="minorBidi" w:eastAsiaTheme="minorEastAsia" w:hAnsiTheme="minorHAnsi"/>
      <w:color w:val="auto"/>
      <w:kern w:val="0"/>
      <w:sz w:val="22"/>
      <w:szCs w:val="22"/>
      <w:lang w:val="en-US" w:eastAsia="en-US" w:bidi="ar-SA"/>
    </w:rPr>
  </w:style>
  <w:style w:type="paragraph" w:styleId="Subttulo">
    <w:name w:val="Subtitle"/>
    <w:basedOn w:val="Normal"/>
    <w:next w:val="Normal"/>
    <w:link w:val="SubttuloCar"/>
    <w:uiPriority w:val="11"/>
    <w:qFormat/>
    <w:rsid w:val="00fc693f"/>
    <w:pPr/>
    <w:rPr>
      <w:rFonts w:ascii="Calibri" w:hAnsi="Calibri" w:eastAsia="ＭＳ ゴシック" w:cs="" w:asciiTheme="majorHAnsi" w:cstheme="majorBidi" w:eastAsiaTheme="majorEastAsia" w:hAnsiTheme="majorHAnsi"/>
      <w:i/>
      <w:iCs/>
      <w:color w:val="4F81BD" w:themeColor="accent1"/>
      <w:spacing w:val="15"/>
      <w:sz w:val="24"/>
      <w:szCs w:val="24"/>
    </w:rPr>
  </w:style>
  <w:style w:type="paragraph" w:styleId="ListParagraph">
    <w:name w:val="List Paragraph"/>
    <w:basedOn w:val="Normal"/>
    <w:uiPriority w:val="34"/>
    <w:qFormat/>
    <w:rsid w:val="00fc693f"/>
    <w:pPr>
      <w:spacing w:before="0" w:after="120"/>
      <w:ind w:left="720" w:hanging="0"/>
      <w:contextualSpacing/>
    </w:pPr>
    <w:rPr/>
  </w:style>
  <w:style w:type="paragraph" w:styleId="BodyText2">
    <w:name w:val="Body Text 2"/>
    <w:basedOn w:val="Normal"/>
    <w:link w:val="Textoindependiente2Car"/>
    <w:uiPriority w:val="99"/>
    <w:unhideWhenUsed/>
    <w:qFormat/>
    <w:rsid w:val="00aa1d8d"/>
    <w:pPr>
      <w:spacing w:lineRule="auto" w:line="480"/>
    </w:pPr>
    <w:rPr/>
  </w:style>
  <w:style w:type="paragraph" w:styleId="BodyText3">
    <w:name w:val="Body Text 3"/>
    <w:basedOn w:val="Normal"/>
    <w:link w:val="Textoindependiente3Car"/>
    <w:uiPriority w:val="99"/>
    <w:unhideWhenUsed/>
    <w:qFormat/>
    <w:rsid w:val="00aa1d8d"/>
    <w:pPr/>
    <w:rPr>
      <w:sz w:val="16"/>
      <w:szCs w:val="16"/>
    </w:rPr>
  </w:style>
  <w:style w:type="paragraph" w:styleId="ListBullet3">
    <w:name w:val="List Bullet 3"/>
    <w:basedOn w:val="Normal"/>
    <w:uiPriority w:val="99"/>
    <w:unhideWhenUsed/>
    <w:qFormat/>
    <w:rsid w:val="00326f90"/>
    <w:pPr>
      <w:numPr>
        <w:ilvl w:val="0"/>
        <w:numId w:val="3"/>
      </w:numPr>
      <w:spacing w:before="0" w:after="120"/>
      <w:contextualSpacing/>
    </w:pPr>
    <w:rPr/>
  </w:style>
  <w:style w:type="paragraph" w:styleId="ListBullet4">
    <w:name w:val="List Bullet 4"/>
    <w:basedOn w:val="Normal"/>
    <w:uiPriority w:val="99"/>
    <w:unhideWhenUsed/>
    <w:qFormat/>
    <w:rsid w:val="00326f90"/>
    <w:pPr>
      <w:spacing w:before="0" w:after="120"/>
      <w:ind w:left="1080" w:hanging="360"/>
      <w:contextualSpacing/>
    </w:pPr>
    <w:rPr/>
  </w:style>
  <w:style w:type="paragraph" w:styleId="ListBullet">
    <w:name w:val="List Bullet"/>
    <w:basedOn w:val="Normal"/>
    <w:uiPriority w:val="99"/>
    <w:unhideWhenUsed/>
    <w:qFormat/>
    <w:rsid w:val="00326f90"/>
    <w:pPr>
      <w:numPr>
        <w:ilvl w:val="0"/>
        <w:numId w:val="1"/>
      </w:numPr>
      <w:spacing w:before="0" w:after="120"/>
      <w:contextualSpacing/>
    </w:pPr>
    <w:rPr/>
  </w:style>
  <w:style w:type="paragraph" w:styleId="ListBullet2">
    <w:name w:val="List Bullet 2"/>
    <w:basedOn w:val="Normal"/>
    <w:uiPriority w:val="99"/>
    <w:unhideWhenUsed/>
    <w:qFormat/>
    <w:rsid w:val="00326f90"/>
    <w:pPr>
      <w:numPr>
        <w:ilvl w:val="0"/>
        <w:numId w:val="2"/>
      </w:numPr>
      <w:spacing w:before="0" w:after="120"/>
      <w:contextualSpacing/>
    </w:pPr>
    <w:rPr/>
  </w:style>
  <w:style w:type="paragraph" w:styleId="ListNumber">
    <w:name w:val="List Number"/>
    <w:basedOn w:val="Normal"/>
    <w:uiPriority w:val="99"/>
    <w:unhideWhenUsed/>
    <w:qFormat/>
    <w:rsid w:val="00326f90"/>
    <w:pPr>
      <w:numPr>
        <w:ilvl w:val="0"/>
        <w:numId w:val="4"/>
      </w:numPr>
      <w:spacing w:before="0" w:after="120"/>
      <w:contextualSpacing/>
    </w:pPr>
    <w:rPr/>
  </w:style>
  <w:style w:type="paragraph" w:styleId="ListNumber2">
    <w:name w:val="List Number 2"/>
    <w:basedOn w:val="Normal"/>
    <w:uiPriority w:val="99"/>
    <w:unhideWhenUsed/>
    <w:qFormat/>
    <w:rsid w:val="0029639d"/>
    <w:pPr>
      <w:numPr>
        <w:ilvl w:val="0"/>
        <w:numId w:val="5"/>
      </w:numPr>
      <w:spacing w:before="0" w:after="120"/>
      <w:contextualSpacing/>
    </w:pPr>
    <w:rPr/>
  </w:style>
  <w:style w:type="paragraph" w:styleId="ListNumber3">
    <w:name w:val="List Number 3"/>
    <w:basedOn w:val="Normal"/>
    <w:uiPriority w:val="99"/>
    <w:unhideWhenUsed/>
    <w:qFormat/>
    <w:rsid w:val="0029639d"/>
    <w:pPr>
      <w:numPr>
        <w:ilvl w:val="0"/>
        <w:numId w:val="6"/>
      </w:numPr>
      <w:spacing w:before="0" w:after="120"/>
      <w:contextualSpacing/>
    </w:pPr>
    <w:rPr/>
  </w:style>
  <w:style w:type="paragraph" w:styleId="ListContinue">
    <w:name w:val="List Continue"/>
    <w:basedOn w:val="Normal"/>
    <w:uiPriority w:val="99"/>
    <w:unhideWhenUsed/>
    <w:qFormat/>
    <w:rsid w:val="0029639d"/>
    <w:pPr>
      <w:spacing w:before="0" w:after="120"/>
      <w:ind w:left="360" w:hanging="0"/>
      <w:contextualSpacing/>
    </w:pPr>
    <w:rPr/>
  </w:style>
  <w:style w:type="paragraph" w:styleId="ListContinue2">
    <w:name w:val="List Continue 2"/>
    <w:basedOn w:val="Normal"/>
    <w:uiPriority w:val="99"/>
    <w:unhideWhenUsed/>
    <w:qFormat/>
    <w:rsid w:val="0029639d"/>
    <w:pPr>
      <w:spacing w:before="0" w:after="120"/>
      <w:ind w:left="720" w:hanging="0"/>
      <w:contextualSpacing/>
    </w:pPr>
    <w:rPr/>
  </w:style>
  <w:style w:type="paragraph" w:styleId="ListContinue3">
    <w:name w:val="List Continue 3"/>
    <w:basedOn w:val="Normal"/>
    <w:uiPriority w:val="99"/>
    <w:unhideWhenUsed/>
    <w:qFormat/>
    <w:rsid w:val="0029639d"/>
    <w:pPr>
      <w:spacing w:before="0" w:after="120"/>
      <w:ind w:left="1080" w:hanging="0"/>
      <w:contextualSpacing/>
    </w:pPr>
    <w:rPr/>
  </w:style>
  <w:style w:type="paragraph" w:styleId="Macro">
    <w:name w:val="macro"/>
    <w:link w:val="TextomacroC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left"/>
    </w:pPr>
    <w:rPr>
      <w:rFonts w:ascii="Courier" w:hAnsi="Courier" w:eastAsia="ＭＳ 明朝" w:cs="" w:cstheme="minorBidi" w:eastAsiaTheme="minorEastAsia"/>
      <w:color w:val="auto"/>
      <w:kern w:val="0"/>
      <w:sz w:val="20"/>
      <w:szCs w:val="20"/>
      <w:lang w:val="en-US" w:eastAsia="en-US" w:bidi="ar-SA"/>
    </w:rPr>
  </w:style>
  <w:style w:type="paragraph" w:styleId="Quote">
    <w:name w:val="Quote"/>
    <w:basedOn w:val="Normal"/>
    <w:next w:val="Normal"/>
    <w:link w:val="CitaCar"/>
    <w:uiPriority w:val="29"/>
    <w:qFormat/>
    <w:rsid w:val="00fc693f"/>
    <w:pPr/>
    <w:rPr>
      <w:i/>
      <w:iCs/>
      <w:color w:val="000000" w:themeColor="text1"/>
    </w:rPr>
  </w:style>
  <w:style w:type="paragraph" w:styleId="IntenseQuote">
    <w:name w:val="Intense Quote"/>
    <w:basedOn w:val="Normal"/>
    <w:next w:val="Normal"/>
    <w:link w:val="CitadestacadaCar"/>
    <w:uiPriority w:val="30"/>
    <w:qFormat/>
    <w:rsid w:val="00fc693f"/>
    <w:pPr>
      <w:pBdr>
        <w:bottom w:val="single" w:sz="4" w:space="4" w:color="4F81BD"/>
      </w:pBdr>
      <w:spacing w:before="200" w:after="280"/>
      <w:ind w:left="936" w:right="936" w:hanging="0"/>
    </w:pPr>
    <w:rPr>
      <w:b/>
      <w:bCs/>
      <w:i/>
      <w:iCs/>
      <w:color w:val="4F81BD" w:themeColor="accent1"/>
    </w:rPr>
  </w:style>
  <w:style w:type="paragraph" w:styleId="Indexheading">
    <w:name w:val="index heading"/>
    <w:basedOn w:val="Ttulogeneral"/>
    <w:qFormat/>
    <w:pPr/>
    <w:rPr/>
  </w:style>
  <w:style w:type="paragraph" w:styleId="Ttulodelndice">
    <w:name w:val="Index Heading"/>
    <w:basedOn w:val="Ttulo"/>
    <w:pPr/>
    <w:rPr/>
  </w:style>
  <w:style w:type="paragraph" w:styleId="Ttulodelsumario">
    <w:name w:val="TOC Heading"/>
    <w:basedOn w:val="Ttulo1"/>
    <w:next w:val="Normal"/>
    <w:uiPriority w:val="39"/>
    <w:semiHidden/>
    <w:unhideWhenUsed/>
    <w:qFormat/>
    <w:rsid w:val="00fc693f"/>
    <w:pPr>
      <w:outlineLvl w:val="9"/>
    </w:pPr>
    <w:rPr/>
  </w:style>
  <w:style w:type="paragraph" w:styleId="NormalWeb">
    <w:name w:val="Normal (Web)"/>
    <w:basedOn w:val="Normal"/>
    <w:uiPriority w:val="99"/>
    <w:semiHidden/>
    <w:unhideWhenUsed/>
    <w:qFormat/>
    <w:rsid w:val="001d7644"/>
    <w:pPr/>
    <w:rPr>
      <w:rFonts w:ascii="Times New Roman" w:hAnsi="Times New Roman" w:cs="Times New Roman"/>
      <w:sz w:val="24"/>
      <w:szCs w:val="24"/>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fc693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Sombreadoclaro">
    <w:name w:val="Light Shading"/>
    <w:basedOn w:val="Tablanormal"/>
    <w:uiPriority w:val="60"/>
    <w:rsid w:val="00fc693f"/>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staclara-nfasis1">
    <w:name w:val="Light List Accent 1"/>
    <w:basedOn w:val="Tablanormal"/>
    <w:uiPriority w:val="61"/>
    <w:rsid w:val="00fc693f"/>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staclara-nfasis2">
    <w:name w:val="Light List Accent 2"/>
    <w:basedOn w:val="Tablanormal"/>
    <w:uiPriority w:val="61"/>
    <w:rsid w:val="00cb0664"/>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staclara-nfasis3">
    <w:name w:val="Light List Accent 3"/>
    <w:basedOn w:val="Tablanormal"/>
    <w:uiPriority w:val="61"/>
    <w:rsid w:val="00cb0664"/>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staclara-nfasis4">
    <w:name w:val="Light List Accent 4"/>
    <w:basedOn w:val="Tablanormal"/>
    <w:uiPriority w:val="61"/>
    <w:rsid w:val="00cb0664"/>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staclara-nfasis5">
    <w:name w:val="Light List Accent 5"/>
    <w:basedOn w:val="Tablanormal"/>
    <w:uiPriority w:val="61"/>
    <w:rsid w:val="00cb0664"/>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staclara-nfasis6">
    <w:name w:val="Light List Accent 6"/>
    <w:basedOn w:val="Tablanormal"/>
    <w:uiPriority w:val="61"/>
    <w:rsid w:val="00cb0664"/>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Cuadrculaclara">
    <w:name w:val="Light Grid"/>
    <w:basedOn w:val="Tablanormal"/>
    <w:uiPriority w:val="62"/>
    <w:rsid w:val="00cb0664"/>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Cuadrculaclara-nfasis1">
    <w:name w:val="Light Grid Accent 1"/>
    <w:basedOn w:val="Tablanormal"/>
    <w:uiPriority w:val="62"/>
    <w:rsid w:val="00cb0664"/>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Cuadrculaclara-nfasis2">
    <w:name w:val="Light Grid Accent 2"/>
    <w:basedOn w:val="Tablanormal"/>
    <w:uiPriority w:val="62"/>
    <w:rsid w:val="00cb0664"/>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Cuadrculaclara-nfasis3">
    <w:name w:val="Light Grid Accent 3"/>
    <w:basedOn w:val="Tablanormal"/>
    <w:uiPriority w:val="62"/>
    <w:rsid w:val="00cb0664"/>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Cuadrculaclara-nfasis4">
    <w:name w:val="Light Grid Accent 4"/>
    <w:basedOn w:val="Tablanormal"/>
    <w:uiPriority w:val="62"/>
    <w:rsid w:val="00cb0664"/>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Cuadrculaclara-nfasis5">
    <w:name w:val="Light Grid Accent 5"/>
    <w:basedOn w:val="Tablanormal"/>
    <w:uiPriority w:val="62"/>
    <w:rsid w:val="00cb0664"/>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Cuadrculaclara-nfasis6">
    <w:name w:val="Light Grid Accent 6"/>
    <w:basedOn w:val="Tablanormal"/>
    <w:uiPriority w:val="62"/>
    <w:rsid w:val="00cb0664"/>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ombreadomedio1">
    <w:name w:val="Medium Shading 1"/>
    <w:basedOn w:val="Tablanormal"/>
    <w:uiPriority w:val="63"/>
    <w:rsid w:val="00cb0664"/>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000000" w:themeColor="text1" w:sz="8" w:space="0"/>
          <w:left w:val="single" w:color="000000" w:themeColor="text1" w:sz="8" w:space="0"/>
          <w:bottom w:val="single" w:color="000000" w:themeColor="text1" w:sz="8" w:space="0"/>
          <w:right w:val="single" w:color="00000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1">
    <w:name w:val="Medium Shading 2 Accent 1"/>
    <w:basedOn w:val="Tablanormal"/>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2">
    <w:name w:val="Medium Shading 2 Accent 2"/>
    <w:basedOn w:val="Tablanormal"/>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3">
    <w:name w:val="Medium Shading 2 Accent 3"/>
    <w:basedOn w:val="Tablanormal"/>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4">
    <w:name w:val="Medium Shading 2 Accent 4"/>
    <w:basedOn w:val="Tablanormal"/>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5">
    <w:name w:val="Medium Shading 2 Accent 5"/>
    <w:basedOn w:val="Tablanormal"/>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6">
    <w:name w:val="Medium Shading 2 Accent 6"/>
    <w:basedOn w:val="Tablanormal"/>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Listamedia1">
    <w:name w:val="Medium List 1"/>
    <w:basedOn w:val="Tablanormal"/>
    <w:uiPriority w:val="65"/>
    <w:rsid w:val="00cb0664"/>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Pr/>
    </w:tblStylePr>
    <w:tblStylePr w:type="lastRow">
      <w:rPr>
        <w:b/>
        <w:bCs/>
      </w:rPr>
      <w:tblPr/>
      <w:tcPr>
        <w:tcBorders>
          <w:top w:val="single" w:color="00000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Pr/>
    </w:tblStylePr>
    <w:tblStylePr w:type="lastRow">
      <w:rPr>
        <w:b/>
        <w:bCs/>
      </w:rPr>
      <w:tblPr/>
      <w:tcPr>
        <w:tcBorders>
          <w:top w:val="single" w:color="4F81B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Pr/>
    </w:tblStylePr>
    <w:tblStylePr w:type="lastRow">
      <w:rPr>
        <w:b/>
        <w:bCs/>
      </w:rPr>
      <w:tblPr/>
      <w:tcPr>
        <w:tcBorders>
          <w:top w:val="single" w:color="C0504D"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Pr/>
    </w:tblStylePr>
    <w:tblStylePr w:type="lastRow">
      <w:rPr>
        <w:b/>
        <w:bCs/>
      </w:rPr>
      <w:tblPr/>
      <w:tcPr>
        <w:tcBorders>
          <w:top w:val="single" w:color="9BBB59"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Pr/>
    </w:tblStylePr>
    <w:tblStylePr w:type="lastRow">
      <w:rPr>
        <w:b/>
        <w:bCs/>
      </w:rPr>
      <w:tblPr/>
      <w:tcPr>
        <w:tcBorders>
          <w:top w:val="single" w:color="8064A2"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Pr/>
    </w:tblStylePr>
    <w:tblStylePr w:type="lastRow">
      <w:rPr>
        <w:b/>
        <w:bCs/>
      </w:rPr>
      <w:tblPr/>
      <w:tcPr>
        <w:tcBorders>
          <w:top w:val="single" w:color="4BACC6"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Pr/>
    </w:tblStylePr>
    <w:tblStylePr w:type="lastRow">
      <w:rPr>
        <w:b/>
        <w:bCs/>
      </w:rPr>
      <w:tblPr/>
      <w:tcPr>
        <w:tcBorders>
          <w:top w:val="single" w:color="F79646"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Cuadrculamedia3-nfasis1">
    <w:name w:val="Medium Grid 3 Accent 1"/>
    <w:basedOn w:val="Tablanormal"/>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Cuadrculamedia3-nfasis2">
    <w:name w:val="Medium Grid 3 Accent 2"/>
    <w:basedOn w:val="Tablanormal"/>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Cuadrculamedia3-nfasis3">
    <w:name w:val="Medium Grid 3 Accent 3"/>
    <w:basedOn w:val="Tablanormal"/>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Cuadrculamedia3-nfasis4">
    <w:name w:val="Medium Grid 3 Accent 4"/>
    <w:basedOn w:val="Tablanormal"/>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Cuadrculamedia3-nfasis5">
    <w:name w:val="Medium Grid 3 Accent 5"/>
    <w:basedOn w:val="Tablanormal"/>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Cuadrculamedia3-nfasis6">
    <w:name w:val="Medium Grid 3 Accent 6"/>
    <w:basedOn w:val="Tablanormal"/>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Listaoscura">
    <w:name w:val="Dark List"/>
    <w:basedOn w:val="Tablanormal"/>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Sombreadovistoso-nfasis1">
    <w:name w:val="Colorful Shading Accent 1"/>
    <w:basedOn w:val="Tablanormal"/>
    <w:uiPriority w:val="71"/>
    <w:rsid w:val="00cb0664"/>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4F81BD"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Sombreadovistoso-nfasis2">
    <w:name w:val="Colorful Shading Accent 2"/>
    <w:basedOn w:val="Tablanormal"/>
    <w:uiPriority w:val="71"/>
    <w:rsid w:val="00cb0664"/>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C0504D"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Sombreadovistoso-nfasis3">
    <w:name w:val="Colorful Shading Accent 3"/>
    <w:basedOn w:val="Tablanormal"/>
    <w:uiPriority w:val="71"/>
    <w:rsid w:val="00cb0664"/>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9BBB59"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8064A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Sombreadovistoso-nfasis5">
    <w:name w:val="Colorful Shading Accent 5"/>
    <w:basedOn w:val="Tablanormal"/>
    <w:uiPriority w:val="71"/>
    <w:rsid w:val="00cb0664"/>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4BACC6"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Sombreadovistoso-nfasis6">
    <w:name w:val="Colorful Shading Accent 6"/>
    <w:basedOn w:val="Tablanormal"/>
    <w:uiPriority w:val="71"/>
    <w:rsid w:val="00cb0664"/>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F79646"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Listavistosa">
    <w:name w:val="Colorful List"/>
    <w:basedOn w:val="Tablanormal"/>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D1269-32EB-415A-A101-0FAEB05E7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2154</TotalTime>
  <Application>LibreOffice/7.5.8.2$Windows_X86_64 LibreOffice_project/f718d63693263970429a68f568db6046aaa9df01</Application>
  <AppVersion>15.0000</AppVersion>
  <Pages>18</Pages>
  <Words>7351</Words>
  <Characters>42582</Characters>
  <CharactersWithSpaces>49570</CharactersWithSpaces>
  <Paragraphs>382</Paragraphs>
  <Company>Diputación de Cáceres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2026-06-16T17:30:00Z</dcterms:created>
  <dc:creator>Diputación Provincial de Cáceres</dc:creator>
  <dc:description>Documento generado como borrador de trabajo.</dc:description>
  <dc:language>es-ES</dc:language>
  <cp:lastModifiedBy/>
  <dcterms:modified xsi:type="dcterms:W3CDTF">2026-07-06T09:57:00Z</dcterms:modified>
  <cp:revision>25</cp:revision>
  <dc:subject>Convocatoria de subvenciones para caza menor en cotos sociales de la provincia de Cáceres</dc:subject>
  <dc:title>Anexo I. Especificaciones técnicas de las actuaciones subvencionables</dc:title>
</cp:coreProperties>
</file>

<file path=docProps/custom.xml><?xml version="1.0" encoding="utf-8"?>
<Properties xmlns="http://schemas.openxmlformats.org/officeDocument/2006/custom-properties" xmlns:vt="http://schemas.openxmlformats.org/officeDocument/2006/docPropsVTypes"/>
</file>