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C4A5" w14:textId="29773EBA" w:rsidR="00205CB2" w:rsidRDefault="00205CB2" w:rsidP="00205CB2">
      <w:pPr>
        <w:pStyle w:val="Ttol10"/>
      </w:pPr>
      <w:r>
        <w:t xml:space="preserve">Convocatoria de subvención, en régimen de concurrencia competitiva, para la Campaña de Teatro </w:t>
      </w:r>
      <w:proofErr w:type="gramStart"/>
      <w:r>
        <w:t>Amateur</w:t>
      </w:r>
      <w:proofErr w:type="gramEnd"/>
      <w:r>
        <w:t xml:space="preserve"> </w:t>
      </w:r>
      <w:r w:rsidR="006238C9">
        <w:t>202</w:t>
      </w:r>
      <w:r w:rsidR="00B76CC9">
        <w:t>7</w:t>
      </w:r>
    </w:p>
    <w:p w14:paraId="3627EF1E" w14:textId="77777777" w:rsidR="00205CB2" w:rsidRDefault="00205CB2" w:rsidP="00205CB2">
      <w:pPr>
        <w:pStyle w:val="Ttol10"/>
      </w:pPr>
      <w:r>
        <w:t>Objeto y finalidad</w:t>
      </w:r>
    </w:p>
    <w:p w14:paraId="350D316F" w14:textId="2CD4FCBD" w:rsidR="00205CB2" w:rsidRDefault="00205CB2" w:rsidP="00205CB2">
      <w:pPr>
        <w:pStyle w:val="Text"/>
      </w:pPr>
      <w:r>
        <w:t xml:space="preserve">Subvención en régimen de concurrencia competitiva para el proyecto Campaña de Teatro </w:t>
      </w:r>
      <w:proofErr w:type="gramStart"/>
      <w:r>
        <w:t>Amateur</w:t>
      </w:r>
      <w:proofErr w:type="gramEnd"/>
      <w:r>
        <w:t xml:space="preserve"> de la Diputación de Girona, ejecutado desde el Servicio Casa de Cultura, dirigida a los grupos de teatro </w:t>
      </w:r>
      <w:proofErr w:type="gramStart"/>
      <w:r>
        <w:t>amateur</w:t>
      </w:r>
      <w:proofErr w:type="gramEnd"/>
      <w:r>
        <w:t xml:space="preserve"> de las comarcas gerundenses, de acuerdo con las bases específicas reguladoras aprobadas por el Pleno de la Diputación de Gerona a fecha </w:t>
      </w:r>
      <w:r w:rsidR="006238C9">
        <w:t>1</w:t>
      </w:r>
      <w:r w:rsidR="00B76CC9">
        <w:t>9</w:t>
      </w:r>
      <w:r>
        <w:t xml:space="preserve"> de </w:t>
      </w:r>
      <w:r w:rsidR="00B76CC9">
        <w:t>mayo</w:t>
      </w:r>
      <w:r>
        <w:t xml:space="preserve"> de </w:t>
      </w:r>
      <w:r w:rsidR="006238C9">
        <w:t>202</w:t>
      </w:r>
      <w:r w:rsidR="00B76CC9">
        <w:t>6</w:t>
      </w:r>
      <w:r>
        <w:t>.</w:t>
      </w:r>
    </w:p>
    <w:p w14:paraId="562E3981" w14:textId="7C08DD8D" w:rsidR="00205CB2" w:rsidRDefault="00205CB2" w:rsidP="00205CB2">
      <w:pPr>
        <w:pStyle w:val="Ttol10"/>
      </w:pPr>
      <w:r>
        <w:t>Beneficiarios</w:t>
      </w:r>
    </w:p>
    <w:p w14:paraId="4660DCF5" w14:textId="77777777" w:rsidR="00205CB2" w:rsidRDefault="00205CB2" w:rsidP="00205CB2">
      <w:pPr>
        <w:pStyle w:val="Text"/>
      </w:pPr>
      <w:r>
        <w:t xml:space="preserve">De acuerdo con el punto 3 de las bases reguladoras de la subvención para la Campaña de Teatro </w:t>
      </w:r>
      <w:proofErr w:type="gramStart"/>
      <w:r>
        <w:t>Amateur</w:t>
      </w:r>
      <w:proofErr w:type="gramEnd"/>
      <w:r>
        <w:t xml:space="preserve">, pueden participar los grupos de teatro </w:t>
      </w:r>
      <w:proofErr w:type="gramStart"/>
      <w:r>
        <w:t>amateur</w:t>
      </w:r>
      <w:proofErr w:type="gramEnd"/>
      <w:r>
        <w:t xml:space="preserve"> legalmente constituidos y con domicilio fiscal en las Comarcas Gerundenses.</w:t>
      </w:r>
    </w:p>
    <w:p w14:paraId="0F2500B8" w14:textId="763F48F7" w:rsidR="00CB6B85" w:rsidRDefault="00CB6B85" w:rsidP="00CB6B85">
      <w:pPr>
        <w:pStyle w:val="Ttol10"/>
      </w:pPr>
      <w:r>
        <w:t>Criterios de valoración</w:t>
      </w:r>
    </w:p>
    <w:p w14:paraId="5DDB38F3" w14:textId="407E7780" w:rsidR="00CB6B85" w:rsidRDefault="00CB6B85" w:rsidP="00CB6B85">
      <w:pPr>
        <w:pStyle w:val="Text"/>
        <w:rPr>
          <w:lang w:val="es-ES"/>
        </w:rPr>
      </w:pPr>
      <w:r w:rsidRPr="00CB6B85">
        <w:rPr>
          <w:lang w:val="es-ES"/>
        </w:rPr>
        <w:t xml:space="preserve">Las propuestas se seleccionarán a partir de los proyectos recibidos y serán evaluadas mediante una metodología y un jurado, detallados en el punto </w:t>
      </w:r>
      <w:r w:rsidR="00B76CC9">
        <w:rPr>
          <w:lang w:val="es-ES"/>
        </w:rPr>
        <w:t>9</w:t>
      </w:r>
      <w:r w:rsidRPr="00CB6B85">
        <w:rPr>
          <w:lang w:val="es-ES"/>
        </w:rPr>
        <w:t xml:space="preserve"> de las bases, que valorará las obras de forma global teniendo en cuenta los distintos aspectos de la representación: interpretación, escenografía, vestuario, dramaturgia, iluminación, etc.</w:t>
      </w:r>
      <w:r>
        <w:rPr>
          <w:lang w:val="es-ES"/>
        </w:rPr>
        <w:t xml:space="preserve"> </w:t>
      </w:r>
      <w:r w:rsidRPr="00CB6B85">
        <w:rPr>
          <w:lang w:val="es-ES"/>
        </w:rPr>
        <w:t>Las obras se puntuarán en una escala de cero a quince puntos</w:t>
      </w:r>
      <w:r w:rsidR="00B76CC9">
        <w:rPr>
          <w:lang w:val="es-ES"/>
        </w:rPr>
        <w:t xml:space="preserve"> sin repetir puntuación</w:t>
      </w:r>
      <w:r w:rsidRPr="00CB6B85">
        <w:rPr>
          <w:lang w:val="es-ES"/>
        </w:rPr>
        <w:t>.</w:t>
      </w:r>
    </w:p>
    <w:p w14:paraId="1B51FF22" w14:textId="3DBCACF8" w:rsidR="00CB6B85" w:rsidRDefault="00B76CC9" w:rsidP="00CB6B85">
      <w:pPr>
        <w:pStyle w:val="Text"/>
        <w:rPr>
          <w:lang w:val="es-ES"/>
        </w:rPr>
      </w:pPr>
      <w:r w:rsidRPr="00B76CC9">
        <w:rPr>
          <w:lang w:val="es-ES"/>
        </w:rPr>
        <w:t>Habrá un máximo de quince obras seleccionadas y serán las que obtengan la mayor puntuación. En caso de existir un empate entre un número de compañías superior a las máximas permitidas por cada categoría, el jurado deberá reconsiderar las puntuaciones de todas las compañías hasta conseguir un desempate.</w:t>
      </w:r>
    </w:p>
    <w:p w14:paraId="211FCEEA" w14:textId="77777777" w:rsidR="00B76CC9" w:rsidRDefault="00B76CC9" w:rsidP="00B76CC9">
      <w:pPr>
        <w:pStyle w:val="Llistat"/>
        <w:numPr>
          <w:ilvl w:val="0"/>
          <w:numId w:val="0"/>
        </w:numPr>
        <w:rPr>
          <w:color w:val="000000"/>
          <w:lang w:val="es-ES"/>
        </w:rPr>
      </w:pPr>
      <w:r w:rsidRPr="00B76CC9">
        <w:rPr>
          <w:color w:val="000000"/>
          <w:lang w:val="es-ES"/>
        </w:rPr>
        <w:t>La selección se distribuirá en tres categorías de acuerdo con la puntuación obtenida:</w:t>
      </w:r>
    </w:p>
    <w:p w14:paraId="7F77CA39" w14:textId="77777777" w:rsidR="00B76CC9" w:rsidRPr="00B76CC9" w:rsidRDefault="00B76CC9" w:rsidP="00B76CC9">
      <w:pPr>
        <w:pStyle w:val="Llistat"/>
        <w:numPr>
          <w:ilvl w:val="0"/>
          <w:numId w:val="9"/>
        </w:numPr>
        <w:rPr>
          <w:color w:val="000000"/>
          <w:lang w:val="es-ES"/>
        </w:rPr>
      </w:pPr>
      <w:r w:rsidRPr="00B76CC9">
        <w:rPr>
          <w:color w:val="000000"/>
          <w:lang w:val="es-ES"/>
        </w:rPr>
        <w:t>Primera categoría: las tres compañías con mayor puntuación.</w:t>
      </w:r>
    </w:p>
    <w:p w14:paraId="3195E1AC" w14:textId="1DE954F9" w:rsidR="00B76CC9" w:rsidRPr="00B76CC9" w:rsidRDefault="00B76CC9" w:rsidP="00B76CC9">
      <w:pPr>
        <w:pStyle w:val="Llistat"/>
        <w:numPr>
          <w:ilvl w:val="0"/>
          <w:numId w:val="9"/>
        </w:numPr>
        <w:rPr>
          <w:color w:val="000000"/>
          <w:lang w:val="es-ES"/>
        </w:rPr>
      </w:pPr>
      <w:r w:rsidRPr="00B76CC9">
        <w:rPr>
          <w:color w:val="000000"/>
          <w:lang w:val="es-ES"/>
        </w:rPr>
        <w:t>Segunda categoría: las tres compañías siguientes según la puntuación obtenida.</w:t>
      </w:r>
    </w:p>
    <w:p w14:paraId="42F38975" w14:textId="3D37BC03" w:rsidR="00B76CC9" w:rsidRDefault="00B76CC9" w:rsidP="00B76CC9">
      <w:pPr>
        <w:pStyle w:val="Llistat"/>
        <w:numPr>
          <w:ilvl w:val="0"/>
          <w:numId w:val="10"/>
        </w:numPr>
        <w:rPr>
          <w:color w:val="000000"/>
          <w:lang w:val="es-ES"/>
        </w:rPr>
      </w:pPr>
      <w:r w:rsidRPr="00B76CC9">
        <w:rPr>
          <w:color w:val="000000"/>
          <w:lang w:val="es-ES"/>
        </w:rPr>
        <w:t>Tercera categoría: las demás compañías seleccionadas hasta el máximo establecido en esta convocatoria.</w:t>
      </w:r>
    </w:p>
    <w:p w14:paraId="46AEC6B1" w14:textId="77777777" w:rsidR="00CB6B85" w:rsidRDefault="00CB6B85">
      <w:pPr>
        <w:rPr>
          <w:rFonts w:ascii="Arial" w:hAnsi="Arial" w:cs="Arial"/>
          <w:b/>
          <w:bCs/>
          <w:color w:val="000000"/>
          <w:lang w:val="es-ES"/>
        </w:rPr>
      </w:pPr>
      <w:r>
        <w:rPr>
          <w:lang w:val="es-ES"/>
        </w:rPr>
        <w:br w:type="page"/>
      </w:r>
    </w:p>
    <w:p w14:paraId="651A67C4" w14:textId="410BB846" w:rsidR="00B76CC9" w:rsidRDefault="00205CB2" w:rsidP="00B76CC9">
      <w:pPr>
        <w:pStyle w:val="Ttol10"/>
        <w:rPr>
          <w:lang w:val="es-ES"/>
        </w:rPr>
      </w:pPr>
      <w:r w:rsidRPr="00CB6B85">
        <w:rPr>
          <w:lang w:val="es-ES"/>
        </w:rPr>
        <w:lastRenderedPageBreak/>
        <w:t>Dotación económica y determinación de la aplicación presupuestaria</w:t>
      </w:r>
    </w:p>
    <w:p w14:paraId="5C7E1BDE" w14:textId="35E31E9E" w:rsidR="00205CB2" w:rsidRPr="00CB6B85" w:rsidRDefault="00205CB2" w:rsidP="00205CB2">
      <w:pPr>
        <w:pStyle w:val="Text"/>
        <w:rPr>
          <w:lang w:val="es-ES"/>
        </w:rPr>
      </w:pPr>
      <w:r w:rsidRPr="00CB6B85">
        <w:rPr>
          <w:lang w:val="es-ES"/>
        </w:rPr>
        <w:t xml:space="preserve">El importe estimado destinado a la convocatoria es de </w:t>
      </w:r>
      <w:r w:rsidR="00B76CC9">
        <w:rPr>
          <w:lang w:val="es-ES"/>
        </w:rPr>
        <w:t>34.500</w:t>
      </w:r>
      <w:r w:rsidRPr="00CB6B85">
        <w:rPr>
          <w:lang w:val="es-ES"/>
        </w:rPr>
        <w:t xml:space="preserve"> €, condicionada a la existencia de crédito adecuado y suficiente con aprobación definitiva. Las aplicaciones presupuestarias a las que se carga el crédito presupuestario y los importes son los que se detallan a continuación.</w:t>
      </w:r>
    </w:p>
    <w:p w14:paraId="6CFFE970" w14:textId="168988F5" w:rsidR="00205CB2" w:rsidRPr="00CB6B85" w:rsidRDefault="00205CB2" w:rsidP="00205CB2">
      <w:pPr>
        <w:pStyle w:val="Llistat"/>
        <w:rPr>
          <w:lang w:val="es-ES"/>
        </w:rPr>
      </w:pPr>
      <w:r w:rsidRPr="00CB6B85">
        <w:rPr>
          <w:lang w:val="es-ES"/>
        </w:rPr>
        <w:t xml:space="preserve">Anualidad: </w:t>
      </w:r>
      <w:r w:rsidR="006238C9" w:rsidRPr="00CB6B85">
        <w:rPr>
          <w:lang w:val="es-ES"/>
        </w:rPr>
        <w:t>202</w:t>
      </w:r>
      <w:r w:rsidR="00B76CC9">
        <w:rPr>
          <w:lang w:val="es-ES"/>
        </w:rPr>
        <w:t>7</w:t>
      </w:r>
    </w:p>
    <w:p w14:paraId="30AB6D11" w14:textId="2578A332" w:rsidR="00205CB2" w:rsidRPr="00CB6B85" w:rsidRDefault="00205CB2" w:rsidP="00205CB2">
      <w:pPr>
        <w:pStyle w:val="Llistat"/>
        <w:rPr>
          <w:lang w:val="es-ES"/>
        </w:rPr>
      </w:pPr>
      <w:r w:rsidRPr="00CB6B85">
        <w:rPr>
          <w:lang w:val="es-ES"/>
        </w:rPr>
        <w:t>Aplicación presupuestaria: 305/3340</w:t>
      </w:r>
      <w:r w:rsidR="001639B9" w:rsidRPr="00CB6B85">
        <w:rPr>
          <w:lang w:val="es-ES"/>
        </w:rPr>
        <w:t>4</w:t>
      </w:r>
      <w:r w:rsidRPr="00CB6B85">
        <w:rPr>
          <w:lang w:val="es-ES"/>
        </w:rPr>
        <w:t>/4810400</w:t>
      </w:r>
    </w:p>
    <w:p w14:paraId="3B83F6EC" w14:textId="08A7E287" w:rsidR="00205CB2" w:rsidRPr="00CB6B85" w:rsidRDefault="00205CB2" w:rsidP="00205CB2">
      <w:pPr>
        <w:pStyle w:val="Llistat"/>
        <w:rPr>
          <w:lang w:val="es-ES"/>
        </w:rPr>
      </w:pPr>
      <w:r w:rsidRPr="00CB6B85">
        <w:rPr>
          <w:lang w:val="es-ES"/>
        </w:rPr>
        <w:t xml:space="preserve">Título: Subvención para la programación de la Campaña de Teatro </w:t>
      </w:r>
      <w:proofErr w:type="gramStart"/>
      <w:r w:rsidRPr="00CB6B85">
        <w:rPr>
          <w:lang w:val="es-ES"/>
        </w:rPr>
        <w:t>Amateur</w:t>
      </w:r>
      <w:proofErr w:type="gramEnd"/>
      <w:r w:rsidRPr="00CB6B85">
        <w:rPr>
          <w:lang w:val="es-ES"/>
        </w:rPr>
        <w:t xml:space="preserve"> </w:t>
      </w:r>
      <w:r w:rsidR="006238C9" w:rsidRPr="00CB6B85">
        <w:rPr>
          <w:lang w:val="es-ES"/>
        </w:rPr>
        <w:t>202</w:t>
      </w:r>
      <w:r w:rsidR="00B76CC9">
        <w:rPr>
          <w:lang w:val="es-ES"/>
        </w:rPr>
        <w:t>7</w:t>
      </w:r>
    </w:p>
    <w:p w14:paraId="50A49C17" w14:textId="52C24596" w:rsidR="00205CB2" w:rsidRPr="00CB6B85" w:rsidRDefault="00205CB2" w:rsidP="00205CB2">
      <w:pPr>
        <w:pStyle w:val="Llistat"/>
        <w:rPr>
          <w:lang w:val="es-ES"/>
        </w:rPr>
      </w:pPr>
      <w:r w:rsidRPr="00CB6B85">
        <w:rPr>
          <w:lang w:val="es-ES"/>
        </w:rPr>
        <w:t xml:space="preserve">Importe: </w:t>
      </w:r>
      <w:r w:rsidR="00B76CC9">
        <w:rPr>
          <w:lang w:val="es-ES"/>
        </w:rPr>
        <w:t>34.500</w:t>
      </w:r>
      <w:r w:rsidRPr="00CB6B85">
        <w:rPr>
          <w:lang w:val="es-ES"/>
        </w:rPr>
        <w:t xml:space="preserve"> €</w:t>
      </w:r>
    </w:p>
    <w:p w14:paraId="6A431576" w14:textId="77777777" w:rsidR="00B76CC9" w:rsidRPr="00B76CC9" w:rsidRDefault="00B76CC9" w:rsidP="00B76CC9">
      <w:pPr>
        <w:pStyle w:val="Text"/>
        <w:rPr>
          <w:lang w:val="es-ES"/>
        </w:rPr>
      </w:pPr>
      <w:r w:rsidRPr="00B76CC9">
        <w:rPr>
          <w:lang w:val="es-ES"/>
        </w:rPr>
        <w:t>La cuantía de cada subvención va vinculada a la categoría asignada según la puntuación obtenida por el jurado. Se evaluará cada solicitud de acuerdo con los criterios establecidos y atendiendo a la calificación conseguida, el presupuesto presentado y la dotación presupuestaria establecida en la convocatoria, se determinará el importe de la subvención a otorgar, así como el porcentaje que representa sobre el presupuesto de la actividad o proyecto.</w:t>
      </w:r>
    </w:p>
    <w:p w14:paraId="2A9B3579" w14:textId="77777777" w:rsidR="00B76CC9" w:rsidRPr="00B76CC9" w:rsidRDefault="00B76CC9" w:rsidP="00B76CC9">
      <w:pPr>
        <w:pStyle w:val="Text"/>
        <w:rPr>
          <w:lang w:val="es-ES"/>
        </w:rPr>
      </w:pPr>
      <w:r w:rsidRPr="00B76CC9">
        <w:rPr>
          <w:lang w:val="es-ES"/>
        </w:rPr>
        <w:t>La Diputación de Girona contribuirá a la financiación de las representaciones de las obras seleccionadas mediante una aportación económica de 500 € por actuación.</w:t>
      </w:r>
    </w:p>
    <w:p w14:paraId="1F5F2220" w14:textId="77777777" w:rsidR="00B76CC9" w:rsidRPr="00B76CC9" w:rsidRDefault="00B76CC9" w:rsidP="00B76CC9">
      <w:pPr>
        <w:pStyle w:val="Text"/>
        <w:rPr>
          <w:lang w:val="es-ES"/>
        </w:rPr>
      </w:pPr>
      <w:r w:rsidRPr="00B76CC9">
        <w:rPr>
          <w:lang w:val="es-ES"/>
        </w:rPr>
        <w:t>El número máximo de actuaciones subvencionables por categoría será el siguiente:</w:t>
      </w:r>
    </w:p>
    <w:p w14:paraId="1FACDDD3" w14:textId="4E010CBD" w:rsidR="00B76CC9" w:rsidRPr="00B76CC9" w:rsidRDefault="00B76CC9" w:rsidP="00B76CC9">
      <w:pPr>
        <w:pStyle w:val="Text"/>
        <w:numPr>
          <w:ilvl w:val="0"/>
          <w:numId w:val="10"/>
        </w:numPr>
        <w:rPr>
          <w:lang w:val="es-ES"/>
        </w:rPr>
      </w:pPr>
      <w:r w:rsidRPr="00B76CC9">
        <w:rPr>
          <w:lang w:val="es-ES"/>
        </w:rPr>
        <w:t>Primera categoría: hasta seis actuaciones.</w:t>
      </w:r>
    </w:p>
    <w:p w14:paraId="45C6A3F8" w14:textId="195289A0" w:rsidR="00B76CC9" w:rsidRPr="00B76CC9" w:rsidRDefault="00B76CC9" w:rsidP="00B76CC9">
      <w:pPr>
        <w:pStyle w:val="Text"/>
        <w:numPr>
          <w:ilvl w:val="0"/>
          <w:numId w:val="10"/>
        </w:numPr>
        <w:rPr>
          <w:lang w:val="es-ES"/>
        </w:rPr>
      </w:pPr>
      <w:r w:rsidRPr="00B76CC9">
        <w:rPr>
          <w:lang w:val="es-ES"/>
        </w:rPr>
        <w:t>Segunda categoría: hasta cinco actuaciones.</w:t>
      </w:r>
    </w:p>
    <w:p w14:paraId="708D4366" w14:textId="0E76863C" w:rsidR="00B76CC9" w:rsidRPr="00B76CC9" w:rsidRDefault="00B76CC9" w:rsidP="00B76CC9">
      <w:pPr>
        <w:pStyle w:val="Text"/>
        <w:numPr>
          <w:ilvl w:val="0"/>
          <w:numId w:val="10"/>
        </w:numPr>
        <w:rPr>
          <w:lang w:val="es-ES"/>
        </w:rPr>
      </w:pPr>
      <w:r w:rsidRPr="00B76CC9">
        <w:rPr>
          <w:lang w:val="es-ES"/>
        </w:rPr>
        <w:t>Tercera categoría: hasta cuatro actuaciones.</w:t>
      </w:r>
    </w:p>
    <w:p w14:paraId="4C24F74D" w14:textId="765F85E1" w:rsidR="00B76CC9" w:rsidRDefault="00B76CC9" w:rsidP="00B76CC9">
      <w:pPr>
        <w:pStyle w:val="Text"/>
        <w:rPr>
          <w:lang w:val="es-ES"/>
        </w:rPr>
      </w:pPr>
      <w:r w:rsidRPr="00B76CC9">
        <w:rPr>
          <w:lang w:val="es-ES"/>
        </w:rPr>
        <w:t>Las compañías podrán negociar con las entidades o instituciones programadoras mejoras del caché. En cualquier caso, la entidad o institución acogedora deberá garantizar a la compañía una compensación mínima de 250€ en concepto de dietas, desplazamientos o costes de producción inherentes a la función.</w:t>
      </w:r>
    </w:p>
    <w:p w14:paraId="4957411D" w14:textId="77777777" w:rsidR="00205CB2" w:rsidRPr="00CB6B85" w:rsidRDefault="00205CB2" w:rsidP="00205CB2">
      <w:pPr>
        <w:pStyle w:val="Ttol10"/>
        <w:rPr>
          <w:lang w:val="es-ES"/>
        </w:rPr>
      </w:pPr>
      <w:r w:rsidRPr="00CB6B85">
        <w:rPr>
          <w:lang w:val="es-ES"/>
        </w:rPr>
        <w:t>Plazo de presentación de solicitudes</w:t>
      </w:r>
    </w:p>
    <w:p w14:paraId="3369C1D0" w14:textId="20678E73" w:rsidR="00205CB2" w:rsidRPr="00CB6B85" w:rsidRDefault="00205CB2" w:rsidP="00205CB2">
      <w:pPr>
        <w:pStyle w:val="Text"/>
        <w:rPr>
          <w:lang w:val="es-ES"/>
        </w:rPr>
      </w:pPr>
      <w:r w:rsidRPr="00CB6B85">
        <w:rPr>
          <w:lang w:val="es-ES"/>
        </w:rPr>
        <w:t>El plazo de presentación va desde el día 2</w:t>
      </w:r>
      <w:r w:rsidR="00B76CC9">
        <w:rPr>
          <w:lang w:val="es-ES"/>
        </w:rPr>
        <w:t>4</w:t>
      </w:r>
      <w:r w:rsidRPr="00CB6B85">
        <w:rPr>
          <w:lang w:val="es-ES"/>
        </w:rPr>
        <w:t xml:space="preserve"> de agosto al </w:t>
      </w:r>
      <w:r w:rsidR="00B76CC9">
        <w:rPr>
          <w:lang w:val="es-ES"/>
        </w:rPr>
        <w:t>14</w:t>
      </w:r>
      <w:r w:rsidRPr="00CB6B85">
        <w:rPr>
          <w:lang w:val="es-ES"/>
        </w:rPr>
        <w:t xml:space="preserve"> de septiembre de </w:t>
      </w:r>
      <w:r w:rsidR="006238C9" w:rsidRPr="00CB6B85">
        <w:rPr>
          <w:lang w:val="es-ES"/>
        </w:rPr>
        <w:t>202</w:t>
      </w:r>
      <w:r w:rsidR="00B76CC9">
        <w:rPr>
          <w:lang w:val="es-ES"/>
        </w:rPr>
        <w:t>6</w:t>
      </w:r>
      <w:r w:rsidRPr="00CB6B85">
        <w:rPr>
          <w:lang w:val="es-ES"/>
        </w:rPr>
        <w:t xml:space="preserve"> incluidos.</w:t>
      </w:r>
    </w:p>
    <w:p w14:paraId="7B3D1EF4" w14:textId="77777777" w:rsidR="00205CB2" w:rsidRPr="00CB6B85" w:rsidRDefault="00205CB2" w:rsidP="00205CB2">
      <w:pPr>
        <w:pStyle w:val="Text"/>
        <w:rPr>
          <w:lang w:val="es-ES"/>
        </w:rPr>
      </w:pPr>
      <w:r w:rsidRPr="00CB6B85">
        <w:rPr>
          <w:lang w:val="es-ES"/>
        </w:rPr>
        <w:t>Se deben formular las solicitudes mediante el modelo disponible en la web de la Casa de Cultura de Girona, acompañado de la documentación que prevé el artículo 5 de las bases reguladoras.</w:t>
      </w:r>
    </w:p>
    <w:p w14:paraId="3E4FB7E1" w14:textId="77777777" w:rsidR="00B76CC9" w:rsidRDefault="00B76CC9">
      <w:pPr>
        <w:rPr>
          <w:rFonts w:ascii="Arial" w:hAnsi="Arial" w:cs="Arial"/>
          <w:b/>
          <w:bCs/>
          <w:color w:val="000000"/>
          <w:lang w:val="es-ES"/>
        </w:rPr>
      </w:pPr>
      <w:r>
        <w:rPr>
          <w:lang w:val="es-ES"/>
        </w:rPr>
        <w:br w:type="page"/>
      </w:r>
    </w:p>
    <w:p w14:paraId="72D96109" w14:textId="3FD08A20" w:rsidR="00205CB2" w:rsidRPr="00CB6B85" w:rsidRDefault="00205CB2" w:rsidP="00205CB2">
      <w:pPr>
        <w:pStyle w:val="Ttol10"/>
        <w:rPr>
          <w:lang w:val="es-ES"/>
        </w:rPr>
      </w:pPr>
      <w:r w:rsidRPr="00CB6B85">
        <w:rPr>
          <w:lang w:val="es-ES"/>
        </w:rPr>
        <w:lastRenderedPageBreak/>
        <w:t>Ámbito temporal de las acciones subvencionables</w:t>
      </w:r>
    </w:p>
    <w:p w14:paraId="186C93C7" w14:textId="08680B1A" w:rsidR="00205CB2" w:rsidRPr="00CB6B85" w:rsidRDefault="00205CB2" w:rsidP="00205CB2">
      <w:pPr>
        <w:pStyle w:val="Text"/>
        <w:rPr>
          <w:lang w:val="es-ES"/>
        </w:rPr>
      </w:pPr>
      <w:r w:rsidRPr="00CB6B85">
        <w:rPr>
          <w:lang w:val="es-ES"/>
        </w:rPr>
        <w:t xml:space="preserve">Se subvencionarán las actuaciones realizadas a partir del 1 de noviembre de </w:t>
      </w:r>
      <w:r w:rsidR="006238C9" w:rsidRPr="00CB6B85">
        <w:rPr>
          <w:lang w:val="es-ES"/>
        </w:rPr>
        <w:t>202</w:t>
      </w:r>
      <w:r w:rsidR="00B76CC9">
        <w:rPr>
          <w:lang w:val="es-ES"/>
        </w:rPr>
        <w:t>6</w:t>
      </w:r>
      <w:r w:rsidRPr="00CB6B85">
        <w:rPr>
          <w:lang w:val="es-ES"/>
        </w:rPr>
        <w:t xml:space="preserve"> y hasta el 31 de octubre de </w:t>
      </w:r>
      <w:r w:rsidR="006238C9" w:rsidRPr="00CB6B85">
        <w:rPr>
          <w:lang w:val="es-ES"/>
        </w:rPr>
        <w:t>202</w:t>
      </w:r>
      <w:r w:rsidR="00B76CC9">
        <w:rPr>
          <w:lang w:val="es-ES"/>
        </w:rPr>
        <w:t>7</w:t>
      </w:r>
      <w:r w:rsidRPr="00CB6B85">
        <w:rPr>
          <w:lang w:val="es-ES"/>
        </w:rPr>
        <w:t>.</w:t>
      </w:r>
    </w:p>
    <w:p w14:paraId="186DF65D" w14:textId="77777777" w:rsidR="00205CB2" w:rsidRPr="00CB6B85" w:rsidRDefault="00205CB2" w:rsidP="00205CB2">
      <w:pPr>
        <w:pStyle w:val="Ttol10"/>
        <w:rPr>
          <w:lang w:val="es-ES"/>
        </w:rPr>
      </w:pPr>
      <w:r w:rsidRPr="00CB6B85">
        <w:rPr>
          <w:lang w:val="es-ES"/>
        </w:rPr>
        <w:t>Plazo para justificar las subvenciones</w:t>
      </w:r>
    </w:p>
    <w:p w14:paraId="4D9102AF" w14:textId="01483EE6" w:rsidR="00205CB2" w:rsidRPr="00CB6B85" w:rsidRDefault="00205CB2" w:rsidP="00205CB2">
      <w:pPr>
        <w:pStyle w:val="Text"/>
        <w:rPr>
          <w:lang w:val="es-ES"/>
        </w:rPr>
      </w:pPr>
      <w:r w:rsidRPr="00CB6B85">
        <w:rPr>
          <w:lang w:val="es-ES"/>
        </w:rPr>
        <w:t xml:space="preserve">Los beneficiarios tendrán que presentar la justificación de los gastos una vez finalizada la actuación subvencionada dentro del período de justificación. Este período para justificar los gastos que son objeto de subvención en esta convocatoria se inicia el 2 de enero de </w:t>
      </w:r>
      <w:r w:rsidR="006238C9" w:rsidRPr="00CB6B85">
        <w:rPr>
          <w:lang w:val="es-ES"/>
        </w:rPr>
        <w:t>202</w:t>
      </w:r>
      <w:r w:rsidR="00B76CC9">
        <w:rPr>
          <w:lang w:val="es-ES"/>
        </w:rPr>
        <w:t>7</w:t>
      </w:r>
      <w:r w:rsidRPr="00CB6B85">
        <w:rPr>
          <w:lang w:val="es-ES"/>
        </w:rPr>
        <w:t xml:space="preserve"> y finaliza el 31 de octubre de </w:t>
      </w:r>
      <w:r w:rsidR="006238C9" w:rsidRPr="00CB6B85">
        <w:rPr>
          <w:lang w:val="es-ES"/>
        </w:rPr>
        <w:t>202</w:t>
      </w:r>
      <w:r w:rsidR="00B76CC9">
        <w:rPr>
          <w:lang w:val="es-ES"/>
        </w:rPr>
        <w:t>7</w:t>
      </w:r>
      <w:r w:rsidRPr="00CB6B85">
        <w:rPr>
          <w:lang w:val="es-ES"/>
        </w:rPr>
        <w:t>.</w:t>
      </w:r>
    </w:p>
    <w:p w14:paraId="4F20D68E" w14:textId="1218CBFA" w:rsidR="00205CB2" w:rsidRPr="00CB6B85" w:rsidRDefault="00205CB2" w:rsidP="00205CB2">
      <w:pPr>
        <w:pStyle w:val="Ttol10"/>
        <w:rPr>
          <w:lang w:val="es-ES"/>
        </w:rPr>
      </w:pPr>
      <w:r w:rsidRPr="00CB6B85">
        <w:rPr>
          <w:lang w:val="es-ES"/>
        </w:rPr>
        <w:t>Plazo de resolución y notificación</w:t>
      </w:r>
    </w:p>
    <w:p w14:paraId="39D3DD67" w14:textId="77777777" w:rsidR="00205CB2" w:rsidRPr="00CB6B85" w:rsidRDefault="00205CB2" w:rsidP="00205CB2">
      <w:pPr>
        <w:pStyle w:val="Ttol10"/>
        <w:rPr>
          <w:lang w:val="es-ES"/>
        </w:rPr>
      </w:pPr>
      <w:r w:rsidRPr="00CB6B85">
        <w:rPr>
          <w:lang w:val="es-ES"/>
        </w:rPr>
        <w:t>Plazo de resolución</w:t>
      </w:r>
    </w:p>
    <w:p w14:paraId="0FE18DC4" w14:textId="77777777" w:rsidR="00205CB2" w:rsidRPr="00CB6B85" w:rsidRDefault="00205CB2" w:rsidP="00205CB2">
      <w:pPr>
        <w:pStyle w:val="Text"/>
        <w:rPr>
          <w:lang w:val="es-ES"/>
        </w:rPr>
      </w:pPr>
      <w:r w:rsidRPr="00CB6B85">
        <w:rPr>
          <w:lang w:val="es-ES"/>
        </w:rPr>
        <w:t>El plazo para resolver la convocatoria será el determinado en las bases. Una vez transcurrido el plazo sin que se haya adoptado resolución, los solicitantes podrán entender desestimadas sus solicitudes por silencio administrativo.</w:t>
      </w:r>
    </w:p>
    <w:p w14:paraId="5B084768" w14:textId="77777777" w:rsidR="00205CB2" w:rsidRPr="00CB6B85" w:rsidRDefault="00205CB2" w:rsidP="00205CB2">
      <w:pPr>
        <w:pStyle w:val="Ttol10"/>
        <w:rPr>
          <w:lang w:val="es-ES"/>
        </w:rPr>
      </w:pPr>
      <w:r w:rsidRPr="00CB6B85">
        <w:rPr>
          <w:lang w:val="es-ES"/>
        </w:rPr>
        <w:t>Plazo de notificación</w:t>
      </w:r>
    </w:p>
    <w:p w14:paraId="67A84B41" w14:textId="77777777" w:rsidR="00205CB2" w:rsidRPr="00CB6B85" w:rsidRDefault="00205CB2" w:rsidP="00205CB2">
      <w:pPr>
        <w:pStyle w:val="Text"/>
        <w:rPr>
          <w:lang w:val="es-ES"/>
        </w:rPr>
      </w:pPr>
      <w:r w:rsidRPr="00CB6B85">
        <w:rPr>
          <w:lang w:val="es-ES"/>
        </w:rPr>
        <w:t>La resolución se notificará de forma individualizada a todos los beneficiarios, tal y como prevé el artículo 41.1 de la Ley 39/2015, de 1 de octubre, de procedimiento administrativo común de las administraciones públicas, así como a los peticionarios la solicitud de los que se haya desestimado.</w:t>
      </w:r>
    </w:p>
    <w:p w14:paraId="3E5BDAB9" w14:textId="77777777" w:rsidR="00205CB2" w:rsidRPr="00CB6B85" w:rsidRDefault="00205CB2" w:rsidP="00205CB2">
      <w:pPr>
        <w:pStyle w:val="Ttol10"/>
        <w:rPr>
          <w:lang w:val="es-ES"/>
        </w:rPr>
      </w:pPr>
      <w:r w:rsidRPr="00CB6B85">
        <w:rPr>
          <w:lang w:val="es-ES"/>
        </w:rPr>
        <w:t>Régimen de recursos</w:t>
      </w:r>
    </w:p>
    <w:p w14:paraId="64E2CA70" w14:textId="77777777" w:rsidR="00205CB2" w:rsidRPr="00CB6B85" w:rsidRDefault="00205CB2" w:rsidP="00205CB2">
      <w:pPr>
        <w:pStyle w:val="Text"/>
        <w:rPr>
          <w:lang w:val="es-ES"/>
        </w:rPr>
      </w:pPr>
      <w:r w:rsidRPr="00CB6B85">
        <w:rPr>
          <w:lang w:val="es-ES"/>
        </w:rPr>
        <w:t>La resolución de la convocatoria pone fin a la vía administrativa. Contra esta resolución cabe interponer recurso contencioso administrativo ante el Juzgado Contencioso Administrativo de Girona, en el plazo de 2 meses a contar desde el día siguiente al de la notificación. Alternativamente, y de forma potestativa, se puede interponer recurso de reposición ante la Junta de Gobierno de la Diputación de Girona, en el plazo de 1 mes a contar desde el día siguiente al de la notificación.</w:t>
      </w:r>
    </w:p>
    <w:p w14:paraId="6B7D25B8" w14:textId="77777777" w:rsidR="00205CB2" w:rsidRPr="00CB6B85" w:rsidRDefault="00205CB2" w:rsidP="00205CB2">
      <w:pPr>
        <w:pStyle w:val="Ttol10"/>
        <w:rPr>
          <w:lang w:val="es-ES"/>
        </w:rPr>
      </w:pPr>
      <w:r w:rsidRPr="00CB6B85">
        <w:rPr>
          <w:lang w:val="es-ES"/>
        </w:rPr>
        <w:t>Publicidad</w:t>
      </w:r>
    </w:p>
    <w:p w14:paraId="3B1CE76D" w14:textId="77777777" w:rsidR="00BD09ED" w:rsidRPr="00CB6B85" w:rsidRDefault="00205CB2" w:rsidP="00205CB2">
      <w:pPr>
        <w:pStyle w:val="Text"/>
        <w:rPr>
          <w:lang w:val="es-ES"/>
        </w:rPr>
      </w:pPr>
      <w:r w:rsidRPr="00CB6B85">
        <w:rPr>
          <w:lang w:val="es-ES"/>
        </w:rPr>
        <w:t>Esta convocatoria se publicará en el tablón electrónico de la Diputación de Girona, en el sitio web y, de acuerdo con lo que prevé el artículo 17.3 b de la Ley 38/2003, general de subvenciones, se publicará su extracto en el BOPG.</w:t>
      </w:r>
    </w:p>
    <w:sectPr w:rsidR="00BD09ED" w:rsidRPr="00CB6B85" w:rsidSect="00072F98">
      <w:headerReference w:type="default" r:id="rId7"/>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76775" w14:textId="77777777" w:rsidR="00EC458F" w:rsidRDefault="00EC458F" w:rsidP="00072F98">
      <w:pPr>
        <w:spacing w:after="0" w:line="240" w:lineRule="auto"/>
      </w:pPr>
      <w:r>
        <w:separator/>
      </w:r>
    </w:p>
  </w:endnote>
  <w:endnote w:type="continuationSeparator" w:id="0">
    <w:p w14:paraId="00C4324C" w14:textId="77777777" w:rsidR="00EC458F" w:rsidRDefault="00EC458F"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7E1FE" w14:textId="77777777" w:rsidR="00EC458F" w:rsidRDefault="00EC458F" w:rsidP="00072F98">
      <w:pPr>
        <w:spacing w:after="0" w:line="240" w:lineRule="auto"/>
      </w:pPr>
      <w:r>
        <w:separator/>
      </w:r>
    </w:p>
  </w:footnote>
  <w:footnote w:type="continuationSeparator" w:id="0">
    <w:p w14:paraId="50E1AABB" w14:textId="77777777" w:rsidR="00EC458F" w:rsidRDefault="00EC458F"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53E3" w14:textId="77777777" w:rsidR="00072F98" w:rsidRDefault="00072F98">
    <w:pPr>
      <w:pStyle w:val="Capalera"/>
    </w:pPr>
    <w:r>
      <w:rPr>
        <w:noProof/>
        <w:lang w:val="ca-ES" w:eastAsia="ca-ES"/>
      </w:rPr>
      <w:drawing>
        <wp:anchor distT="0" distB="0" distL="114300" distR="114300" simplePos="0" relativeHeight="251658240" behindDoc="0" locked="0" layoutInCell="1" allowOverlap="1" wp14:anchorId="48B73F1F" wp14:editId="38FD6027">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15:restartNumberingAfterBreak="0">
    <w:nsid w:val="2D4A376B"/>
    <w:multiLevelType w:val="hybridMultilevel"/>
    <w:tmpl w:val="98EAD436"/>
    <w:lvl w:ilvl="0" w:tplc="7C4AA1B6">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CBC0B00"/>
    <w:multiLevelType w:val="hybridMultilevel"/>
    <w:tmpl w:val="596296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23641691">
    <w:abstractNumId w:val="5"/>
  </w:num>
  <w:num w:numId="2" w16cid:durableId="1051341788">
    <w:abstractNumId w:val="9"/>
  </w:num>
  <w:num w:numId="3" w16cid:durableId="2141533323">
    <w:abstractNumId w:val="8"/>
  </w:num>
  <w:num w:numId="4" w16cid:durableId="1888375239">
    <w:abstractNumId w:val="3"/>
  </w:num>
  <w:num w:numId="5" w16cid:durableId="579757869">
    <w:abstractNumId w:val="6"/>
  </w:num>
  <w:num w:numId="6" w16cid:durableId="1671443103">
    <w:abstractNumId w:val="0"/>
  </w:num>
  <w:num w:numId="7" w16cid:durableId="1093621949">
    <w:abstractNumId w:val="1"/>
  </w:num>
  <w:num w:numId="8" w16cid:durableId="862669557">
    <w:abstractNumId w:val="2"/>
  </w:num>
  <w:num w:numId="9" w16cid:durableId="1375235477">
    <w:abstractNumId w:val="7"/>
  </w:num>
  <w:num w:numId="10" w16cid:durableId="19347774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CB2"/>
    <w:rsid w:val="00037E1E"/>
    <w:rsid w:val="0006076A"/>
    <w:rsid w:val="00072F98"/>
    <w:rsid w:val="000B038F"/>
    <w:rsid w:val="000C0128"/>
    <w:rsid w:val="000E202B"/>
    <w:rsid w:val="000F7DC5"/>
    <w:rsid w:val="001639B9"/>
    <w:rsid w:val="0019224E"/>
    <w:rsid w:val="001A357B"/>
    <w:rsid w:val="001E24E6"/>
    <w:rsid w:val="001F146A"/>
    <w:rsid w:val="001F775D"/>
    <w:rsid w:val="00205CB2"/>
    <w:rsid w:val="00250FA6"/>
    <w:rsid w:val="00251E9D"/>
    <w:rsid w:val="002F347D"/>
    <w:rsid w:val="003319E0"/>
    <w:rsid w:val="00335AB7"/>
    <w:rsid w:val="00341BA0"/>
    <w:rsid w:val="003B7B7B"/>
    <w:rsid w:val="00463A6A"/>
    <w:rsid w:val="0046606E"/>
    <w:rsid w:val="0048427D"/>
    <w:rsid w:val="00486A58"/>
    <w:rsid w:val="00550F5E"/>
    <w:rsid w:val="00551D5C"/>
    <w:rsid w:val="005551ED"/>
    <w:rsid w:val="005B2AA2"/>
    <w:rsid w:val="005D6CE7"/>
    <w:rsid w:val="006238C9"/>
    <w:rsid w:val="006325F5"/>
    <w:rsid w:val="00646619"/>
    <w:rsid w:val="00696FB4"/>
    <w:rsid w:val="006A0698"/>
    <w:rsid w:val="006F6F87"/>
    <w:rsid w:val="007051A2"/>
    <w:rsid w:val="0072269A"/>
    <w:rsid w:val="007355B3"/>
    <w:rsid w:val="00781B06"/>
    <w:rsid w:val="007E76D9"/>
    <w:rsid w:val="00856529"/>
    <w:rsid w:val="008868E7"/>
    <w:rsid w:val="008F71BA"/>
    <w:rsid w:val="0092324B"/>
    <w:rsid w:val="0098225B"/>
    <w:rsid w:val="00A629E0"/>
    <w:rsid w:val="00A71F4C"/>
    <w:rsid w:val="00AF6C01"/>
    <w:rsid w:val="00B42FC2"/>
    <w:rsid w:val="00B74BA4"/>
    <w:rsid w:val="00B76CC9"/>
    <w:rsid w:val="00BC79C2"/>
    <w:rsid w:val="00BD09ED"/>
    <w:rsid w:val="00C07721"/>
    <w:rsid w:val="00C22271"/>
    <w:rsid w:val="00C42339"/>
    <w:rsid w:val="00C74E3F"/>
    <w:rsid w:val="00CB4175"/>
    <w:rsid w:val="00CB5C58"/>
    <w:rsid w:val="00CB6B85"/>
    <w:rsid w:val="00D32AE4"/>
    <w:rsid w:val="00DE397A"/>
    <w:rsid w:val="00E0138A"/>
    <w:rsid w:val="00E441DF"/>
    <w:rsid w:val="00E64988"/>
    <w:rsid w:val="00EC2E25"/>
    <w:rsid w:val="00EC458F"/>
    <w:rsid w:val="00F42AA2"/>
    <w:rsid w:val="00F80BFA"/>
    <w:rsid w:val="00F8593D"/>
    <w:rsid w:val="00F8603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30422"/>
  <w15:chartTrackingRefBased/>
  <w15:docId w15:val="{790AF317-011F-41A1-B8D1-7FF28A3E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146A"/>
  </w:style>
  <w:style w:type="paragraph" w:styleId="Ttol1">
    <w:name w:val="heading 1"/>
    <w:basedOn w:val="Normal"/>
    <w:next w:val="Normal"/>
    <w:link w:val="Ttol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ol2">
    <w:name w:val="heading 2"/>
    <w:basedOn w:val="Normal"/>
    <w:next w:val="Normal"/>
    <w:link w:val="Ttol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ol3">
    <w:name w:val="heading 3"/>
    <w:basedOn w:val="Normal"/>
    <w:next w:val="Normal"/>
    <w:link w:val="Ttol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argrafdellista">
    <w:name w:val="List Paragraph"/>
    <w:basedOn w:val="Normal"/>
    <w:link w:val="PargrafdellistaCar"/>
    <w:uiPriority w:val="34"/>
    <w:rsid w:val="00EC2E25"/>
    <w:pPr>
      <w:ind w:left="720"/>
      <w:contextualSpacing/>
    </w:pPr>
  </w:style>
  <w:style w:type="character" w:customStyle="1" w:styleId="Ttol1Car">
    <w:name w:val="Títol 1 Car"/>
    <w:basedOn w:val="Lletraperdefectedelpargraf"/>
    <w:link w:val="Ttol1"/>
    <w:uiPriority w:val="9"/>
    <w:rsid w:val="006A0698"/>
    <w:rPr>
      <w:rFonts w:asciiTheme="majorHAnsi" w:eastAsiaTheme="majorEastAsia" w:hAnsiTheme="majorHAnsi" w:cstheme="majorBidi"/>
      <w:color w:val="2E74B5" w:themeColor="accent1" w:themeShade="BF"/>
      <w:sz w:val="32"/>
      <w:szCs w:val="32"/>
    </w:rPr>
  </w:style>
  <w:style w:type="character" w:customStyle="1" w:styleId="Ttol2Car">
    <w:name w:val="Títol 2 Car"/>
    <w:basedOn w:val="Lletraperdefectedelpargraf"/>
    <w:link w:val="Ttol2"/>
    <w:uiPriority w:val="9"/>
    <w:rsid w:val="00F86038"/>
    <w:rPr>
      <w:rFonts w:asciiTheme="majorHAnsi" w:eastAsiaTheme="majorEastAsia" w:hAnsiTheme="majorHAnsi" w:cstheme="majorBidi"/>
      <w:color w:val="2E74B5" w:themeColor="accent1" w:themeShade="BF"/>
      <w:sz w:val="26"/>
      <w:szCs w:val="26"/>
    </w:rPr>
  </w:style>
  <w:style w:type="character" w:customStyle="1" w:styleId="Ttol3Car">
    <w:name w:val="Títol 3 Car"/>
    <w:basedOn w:val="Lletraperdefectedelpargraf"/>
    <w:link w:val="Ttol3"/>
    <w:uiPriority w:val="9"/>
    <w:rsid w:val="00F86038"/>
    <w:rPr>
      <w:rFonts w:asciiTheme="majorHAnsi" w:eastAsiaTheme="majorEastAsia" w:hAnsiTheme="majorHAnsi" w:cstheme="majorBidi"/>
      <w:color w:val="1F4D78" w:themeColor="accent1" w:themeShade="7F"/>
      <w:sz w:val="24"/>
      <w:szCs w:val="24"/>
    </w:rPr>
  </w:style>
  <w:style w:type="paragraph" w:styleId="Textdeglobus">
    <w:name w:val="Balloon Text"/>
    <w:basedOn w:val="Normal"/>
    <w:link w:val="TextdeglobusCar"/>
    <w:uiPriority w:val="99"/>
    <w:semiHidden/>
    <w:unhideWhenUsed/>
    <w:rsid w:val="00550F5E"/>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550F5E"/>
    <w:rPr>
      <w:rFonts w:ascii="Segoe UI" w:hAnsi="Segoe UI" w:cs="Segoe UI"/>
      <w:sz w:val="18"/>
      <w:szCs w:val="18"/>
    </w:rPr>
  </w:style>
  <w:style w:type="paragraph" w:customStyle="1" w:styleId="Ttol10">
    <w:name w:val="Títol1"/>
    <w:basedOn w:val="Default"/>
    <w:link w:val="TtolCar"/>
    <w:qFormat/>
    <w:rsid w:val="005B2AA2"/>
    <w:pPr>
      <w:spacing w:before="480" w:after="360" w:line="276" w:lineRule="auto"/>
      <w:jc w:val="both"/>
    </w:pPr>
    <w:rPr>
      <w:b/>
      <w:bCs/>
      <w:sz w:val="22"/>
      <w:szCs w:val="22"/>
    </w:rPr>
  </w:style>
  <w:style w:type="paragraph" w:customStyle="1" w:styleId="Llistat">
    <w:name w:val="Llistat"/>
    <w:basedOn w:val="Pargrafdel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Lletraperdefectedelpargraf"/>
    <w:link w:val="Default"/>
    <w:rsid w:val="000F7DC5"/>
    <w:rPr>
      <w:rFonts w:ascii="Arial" w:hAnsi="Arial" w:cs="Arial"/>
      <w:color w:val="000000"/>
      <w:sz w:val="24"/>
      <w:szCs w:val="24"/>
    </w:rPr>
  </w:style>
  <w:style w:type="character" w:customStyle="1" w:styleId="TtolCar">
    <w:name w:val="Títol Car"/>
    <w:basedOn w:val="DefaultCar"/>
    <w:link w:val="Ttol10"/>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argrafdellistaCar">
    <w:name w:val="Paràgraf de llista Car"/>
    <w:basedOn w:val="Lletraperdefectedelpargraf"/>
    <w:link w:val="Pargrafdellista"/>
    <w:uiPriority w:val="34"/>
    <w:rsid w:val="000F7DC5"/>
  </w:style>
  <w:style w:type="character" w:customStyle="1" w:styleId="LlistatCar">
    <w:name w:val="Llistat Car"/>
    <w:basedOn w:val="Pargrafdel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Capalera">
    <w:name w:val="header"/>
    <w:basedOn w:val="Normal"/>
    <w:link w:val="CapaleraCar"/>
    <w:uiPriority w:val="99"/>
    <w:unhideWhenUsed/>
    <w:rsid w:val="00072F98"/>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72F98"/>
  </w:style>
  <w:style w:type="paragraph" w:styleId="Peu">
    <w:name w:val="footer"/>
    <w:basedOn w:val="Normal"/>
    <w:link w:val="PeuCar"/>
    <w:uiPriority w:val="99"/>
    <w:unhideWhenUsed/>
    <w:rsid w:val="00072F98"/>
    <w:pPr>
      <w:tabs>
        <w:tab w:val="center" w:pos="4252"/>
        <w:tab w:val="right" w:pos="8504"/>
      </w:tabs>
      <w:spacing w:after="0" w:line="240" w:lineRule="auto"/>
    </w:pPr>
  </w:style>
  <w:style w:type="character" w:customStyle="1" w:styleId="PeuCar">
    <w:name w:val="Peu Car"/>
    <w:basedOn w:val="Lletraperdefectedelpargraf"/>
    <w:link w:val="Peu"/>
    <w:uiPriority w:val="99"/>
    <w:rsid w:val="0007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841</Words>
  <Characters>4794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Diputació de Girona</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6</cp:revision>
  <cp:lastPrinted>2024-03-05T14:28:00Z</cp:lastPrinted>
  <dcterms:created xsi:type="dcterms:W3CDTF">2024-07-26T08:44:00Z</dcterms:created>
  <dcterms:modified xsi:type="dcterms:W3CDTF">2026-06-11T08:22:00Z</dcterms:modified>
</cp:coreProperties>
</file>