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436" w:rsidRPr="00ED1436" w:rsidRDefault="00ED1436" w:rsidP="00ED1436">
      <w:pPr>
        <w:jc w:val="both"/>
        <w:rPr>
          <w:rFonts w:ascii="Arial" w:hAnsi="Arial" w:cs="Arial"/>
          <w:b/>
        </w:rPr>
      </w:pPr>
      <w:r w:rsidRPr="00ED1436">
        <w:rPr>
          <w:rFonts w:ascii="Arial" w:hAnsi="Arial" w:cs="Arial"/>
          <w:b/>
        </w:rPr>
        <w:t xml:space="preserve">Extracte de l’acord de la Junta de Govern de la Diputació de Girona en la sessió </w:t>
      </w:r>
      <w:r w:rsidRPr="004027A6">
        <w:rPr>
          <w:rFonts w:ascii="Arial" w:hAnsi="Arial" w:cs="Arial"/>
          <w:b/>
        </w:rPr>
        <w:t>de</w:t>
      </w:r>
      <w:r w:rsidR="00D858F0" w:rsidRPr="004027A6">
        <w:rPr>
          <w:rFonts w:ascii="Arial" w:hAnsi="Arial" w:cs="Arial"/>
          <w:b/>
        </w:rPr>
        <w:t xml:space="preserve"> </w:t>
      </w:r>
      <w:r w:rsidR="00FD378B" w:rsidRPr="00FD378B">
        <w:rPr>
          <w:rFonts w:ascii="Arial" w:hAnsi="Arial" w:cs="Arial"/>
          <w:b/>
        </w:rPr>
        <w:t>18</w:t>
      </w:r>
      <w:r w:rsidR="00D858F0" w:rsidRPr="00FD378B">
        <w:rPr>
          <w:rFonts w:ascii="Arial" w:hAnsi="Arial" w:cs="Arial"/>
          <w:b/>
        </w:rPr>
        <w:t xml:space="preserve"> de juny de 2024</w:t>
      </w:r>
      <w:r w:rsidRPr="00FD378B">
        <w:rPr>
          <w:rFonts w:ascii="Arial" w:hAnsi="Arial" w:cs="Arial"/>
          <w:b/>
        </w:rPr>
        <w:t xml:space="preserve">, de la convocatòria de subvencions per a </w:t>
      </w:r>
      <w:r w:rsidR="00FD378B" w:rsidRPr="00FD378B">
        <w:rPr>
          <w:rFonts w:ascii="Arial" w:hAnsi="Arial" w:cs="Arial"/>
          <w:b/>
        </w:rPr>
        <w:t xml:space="preserve">l’adquisició d’equips amb tecnologia RFID per a la gestió de les biblioteques públiques de </w:t>
      </w:r>
      <w:r w:rsidRPr="00FD378B">
        <w:rPr>
          <w:rFonts w:ascii="Arial" w:hAnsi="Arial" w:cs="Arial"/>
          <w:b/>
        </w:rPr>
        <w:t>l’any 2024</w:t>
      </w:r>
      <w:r w:rsidRPr="00ED1436">
        <w:rPr>
          <w:rFonts w:ascii="Arial" w:hAnsi="Arial" w:cs="Arial"/>
          <w:b/>
        </w:rPr>
        <w:t xml:space="preserve"> </w:t>
      </w:r>
      <w:bookmarkStart w:id="0" w:name="_GoBack"/>
      <w:bookmarkEnd w:id="0"/>
    </w:p>
    <w:p w:rsidR="00ED1436" w:rsidRPr="00ED1436" w:rsidRDefault="00ED1436" w:rsidP="00ED1436">
      <w:pPr>
        <w:jc w:val="both"/>
        <w:rPr>
          <w:rFonts w:ascii="Arial" w:hAnsi="Arial" w:cs="Arial"/>
        </w:rPr>
      </w:pPr>
    </w:p>
    <w:p w:rsidR="00133D44" w:rsidRDefault="00ED1436" w:rsidP="00ED1436">
      <w:pPr>
        <w:jc w:val="both"/>
        <w:rPr>
          <w:rFonts w:ascii="Arial" w:hAnsi="Arial" w:cs="Arial"/>
        </w:rPr>
      </w:pPr>
      <w:r w:rsidRPr="00ED1436">
        <w:rPr>
          <w:rFonts w:ascii="Arial" w:hAnsi="Arial" w:cs="Arial"/>
        </w:rPr>
        <w:t>De conformitat amb el que preveuen els articles 17.3.b i 20.8.a de la Llei 38/2003, de 17 de novembre, general de subvencions, es publica l’extracte de la convocatòria el text complet de la qual es pot consultar a la Base de Dades Nacional de Subvencions:</w:t>
      </w:r>
    </w:p>
    <w:p w:rsidR="00ED1436" w:rsidRDefault="00ED1436" w:rsidP="00ED1436">
      <w:pPr>
        <w:jc w:val="both"/>
        <w:rPr>
          <w:rFonts w:ascii="Arial" w:hAnsi="Arial" w:cs="Arial"/>
        </w:rPr>
      </w:pPr>
    </w:p>
    <w:p w:rsidR="00FD378B" w:rsidRDefault="00FD378B" w:rsidP="00FD378B">
      <w:pPr>
        <w:ind w:right="140"/>
        <w:jc w:val="both"/>
        <w:rPr>
          <w:rFonts w:ascii="Arial" w:hAnsi="Arial" w:cs="Arial"/>
          <w:b/>
          <w:bCs/>
          <w:sz w:val="20"/>
          <w:szCs w:val="20"/>
        </w:rPr>
      </w:pPr>
      <w:r>
        <w:rPr>
          <w:rFonts w:ascii="Arial" w:hAnsi="Arial" w:cs="Arial"/>
          <w:b/>
          <w:bCs/>
          <w:sz w:val="20"/>
          <w:szCs w:val="20"/>
        </w:rPr>
        <w:t>1. Objecte i finalitat</w:t>
      </w:r>
    </w:p>
    <w:p w:rsidR="00FD378B" w:rsidRDefault="00FD378B" w:rsidP="00FD378B">
      <w:pPr>
        <w:ind w:right="140"/>
        <w:jc w:val="both"/>
        <w:rPr>
          <w:rFonts w:ascii="Arial" w:hAnsi="Arial" w:cs="Arial"/>
          <w:i/>
          <w:sz w:val="20"/>
          <w:szCs w:val="20"/>
        </w:rPr>
      </w:pPr>
      <w:r>
        <w:rPr>
          <w:rFonts w:ascii="Arial" w:hAnsi="Arial" w:cs="Arial"/>
          <w:sz w:val="20"/>
          <w:szCs w:val="20"/>
        </w:rPr>
        <w:t xml:space="preserve">Subvencions en règim de concurrència competitiva per a ajuntaments amb biblioteques integrades al Sistema de Lectura Pública de Catalunya i que superin la darrera mitjana anual de la demarcació publicada pel que fa a préstecs i usuaris actius per nombre d’habitants (1,65 préstecs per habitant i 0,11 usuaris actius per habitant l’any 2022), destinades al finançament de </w:t>
      </w:r>
      <w:r>
        <w:rPr>
          <w:rFonts w:ascii="Arial" w:eastAsia="Calibri" w:hAnsi="Arial" w:cs="Arial"/>
          <w:sz w:val="20"/>
          <w:szCs w:val="20"/>
        </w:rPr>
        <w:t>l’adquisició d’equips de radiofreqüència (RFID) per a la gestió de les biblioteques públiques</w:t>
      </w:r>
      <w:r>
        <w:rPr>
          <w:rFonts w:ascii="Arial" w:hAnsi="Arial" w:cs="Arial"/>
          <w:sz w:val="20"/>
          <w:szCs w:val="20"/>
        </w:rPr>
        <w:t xml:space="preserve">, d’acord amb les bases específiques reguladores aprovades pel Ple de la Diputació en la sessió de 16 d’abril de 2024 i publicades al </w:t>
      </w:r>
      <w:r>
        <w:rPr>
          <w:rFonts w:ascii="Arial" w:hAnsi="Arial" w:cs="Arial"/>
          <w:i/>
          <w:sz w:val="20"/>
          <w:szCs w:val="20"/>
        </w:rPr>
        <w:t>Butlletí Oficial de la Província de Girona</w:t>
      </w:r>
      <w:r>
        <w:rPr>
          <w:rFonts w:ascii="Arial" w:hAnsi="Arial" w:cs="Arial"/>
          <w:sz w:val="20"/>
          <w:szCs w:val="20"/>
        </w:rPr>
        <w:t xml:space="preserve"> (BOPG) número 78, de data 22 d’abril de 2024.</w:t>
      </w:r>
    </w:p>
    <w:p w:rsidR="00FD378B" w:rsidRDefault="00FD378B" w:rsidP="00FD378B">
      <w:pPr>
        <w:numPr>
          <w:ilvl w:val="0"/>
          <w:numId w:val="1"/>
        </w:numPr>
        <w:spacing w:after="200" w:line="276" w:lineRule="auto"/>
        <w:ind w:left="284" w:right="140" w:hanging="284"/>
        <w:contextualSpacing/>
        <w:jc w:val="both"/>
        <w:rPr>
          <w:rFonts w:ascii="Arial" w:eastAsia="Calibri" w:hAnsi="Arial" w:cs="Arial"/>
          <w:b/>
          <w:bCs/>
          <w:sz w:val="20"/>
          <w:szCs w:val="20"/>
        </w:rPr>
      </w:pPr>
      <w:r>
        <w:rPr>
          <w:rFonts w:ascii="Arial" w:eastAsia="Calibri" w:hAnsi="Arial" w:cs="Arial"/>
          <w:b/>
          <w:bCs/>
          <w:sz w:val="20"/>
          <w:szCs w:val="20"/>
        </w:rPr>
        <w:t>Criteris de valoració</w:t>
      </w:r>
    </w:p>
    <w:p w:rsidR="00FD378B" w:rsidRDefault="00FD378B" w:rsidP="00FD378B">
      <w:pPr>
        <w:autoSpaceDE w:val="0"/>
        <w:autoSpaceDN w:val="0"/>
        <w:adjustRightInd w:val="0"/>
        <w:ind w:right="140"/>
        <w:jc w:val="both"/>
        <w:rPr>
          <w:rFonts w:ascii="Arial" w:hAnsi="Arial" w:cs="Arial"/>
          <w:i/>
          <w:iCs/>
          <w:color w:val="FF0000"/>
          <w:sz w:val="20"/>
          <w:szCs w:val="20"/>
        </w:rPr>
      </w:pPr>
      <w:r>
        <w:rPr>
          <w:rFonts w:ascii="Arial" w:hAnsi="Arial" w:cs="Arial"/>
          <w:sz w:val="20"/>
          <w:szCs w:val="20"/>
        </w:rPr>
        <w:t>Les sol·licituds s’avaluen mitjançant la documentació presentada per les entitats peticionàries, d’acord amb la puntuació que correspongui en funció dels paràmetres següents:</w:t>
      </w:r>
    </w:p>
    <w:p w:rsidR="00FD378B" w:rsidRDefault="00FD378B" w:rsidP="00FD378B">
      <w:pPr>
        <w:autoSpaceDE w:val="0"/>
        <w:autoSpaceDN w:val="0"/>
        <w:adjustRightInd w:val="0"/>
        <w:spacing w:after="0" w:line="240" w:lineRule="auto"/>
        <w:ind w:right="140"/>
        <w:jc w:val="both"/>
        <w:rPr>
          <w:rFonts w:ascii="Arial" w:hAnsi="Arial" w:cs="Arial"/>
          <w:sz w:val="20"/>
          <w:szCs w:val="20"/>
        </w:rPr>
      </w:pPr>
      <w:r>
        <w:rPr>
          <w:rFonts w:ascii="Arial" w:hAnsi="Arial" w:cs="Arial"/>
          <w:i/>
          <w:sz w:val="20"/>
          <w:szCs w:val="20"/>
        </w:rPr>
        <w:t>a</w:t>
      </w:r>
      <w:r>
        <w:rPr>
          <w:rFonts w:ascii="Arial" w:hAnsi="Arial" w:cs="Arial"/>
          <w:sz w:val="20"/>
          <w:szCs w:val="20"/>
        </w:rPr>
        <w:t>) Superació de la mitjana anual provincial publicada dels indicadors de préstec i usuaris actius per habitant (fins a 20 punts)</w:t>
      </w:r>
    </w:p>
    <w:p w:rsidR="00FD378B" w:rsidRDefault="00FD378B" w:rsidP="00FD378B">
      <w:pPr>
        <w:autoSpaceDE w:val="0"/>
        <w:autoSpaceDN w:val="0"/>
        <w:adjustRightInd w:val="0"/>
        <w:spacing w:after="0" w:line="240" w:lineRule="auto"/>
        <w:ind w:right="140"/>
        <w:jc w:val="both"/>
        <w:rPr>
          <w:rFonts w:ascii="Arial" w:hAnsi="Arial" w:cs="Arial"/>
          <w:sz w:val="20"/>
          <w:szCs w:val="20"/>
        </w:rPr>
      </w:pPr>
    </w:p>
    <w:p w:rsidR="00FD378B" w:rsidRDefault="00FD378B" w:rsidP="00FD378B">
      <w:pPr>
        <w:autoSpaceDE w:val="0"/>
        <w:autoSpaceDN w:val="0"/>
        <w:adjustRightInd w:val="0"/>
        <w:spacing w:after="0" w:line="240" w:lineRule="auto"/>
        <w:ind w:right="140"/>
        <w:jc w:val="both"/>
        <w:rPr>
          <w:rFonts w:ascii="Arial" w:hAnsi="Arial" w:cs="Arial"/>
          <w:sz w:val="20"/>
          <w:szCs w:val="20"/>
        </w:rPr>
      </w:pPr>
      <w:r>
        <w:rPr>
          <w:rFonts w:ascii="Arial" w:hAnsi="Arial" w:cs="Arial"/>
          <w:sz w:val="20"/>
          <w:szCs w:val="20"/>
        </w:rPr>
        <w:t>Al percentatge més alt en cadascun dels indicadors se li donen automàticament 10 punts. Per a la resta de sol·licituds es fa un repartiment proporcional a partir d’aquests 10 punts per cadascun dels conceptes.</w:t>
      </w:r>
    </w:p>
    <w:p w:rsidR="00FD378B" w:rsidRDefault="00FD378B" w:rsidP="00FD378B">
      <w:pPr>
        <w:autoSpaceDE w:val="0"/>
        <w:autoSpaceDN w:val="0"/>
        <w:adjustRightInd w:val="0"/>
        <w:spacing w:after="0" w:line="240" w:lineRule="auto"/>
        <w:ind w:right="140"/>
        <w:jc w:val="both"/>
        <w:rPr>
          <w:rFonts w:ascii="Arial" w:hAnsi="Arial" w:cs="Arial"/>
          <w:sz w:val="20"/>
          <w:szCs w:val="20"/>
        </w:rPr>
      </w:pPr>
    </w:p>
    <w:p w:rsidR="00FD378B" w:rsidRDefault="00FD378B" w:rsidP="00FD378B">
      <w:pPr>
        <w:autoSpaceDE w:val="0"/>
        <w:autoSpaceDN w:val="0"/>
        <w:adjustRightInd w:val="0"/>
        <w:spacing w:after="0" w:line="240" w:lineRule="auto"/>
        <w:ind w:right="140"/>
        <w:jc w:val="both"/>
        <w:rPr>
          <w:rFonts w:ascii="Arial" w:hAnsi="Arial" w:cs="Arial"/>
          <w:sz w:val="20"/>
          <w:szCs w:val="20"/>
        </w:rPr>
      </w:pPr>
      <w:r>
        <w:rPr>
          <w:rFonts w:ascii="Arial" w:hAnsi="Arial" w:cs="Arial"/>
          <w:i/>
          <w:sz w:val="20"/>
          <w:szCs w:val="20"/>
        </w:rPr>
        <w:t>b</w:t>
      </w:r>
      <w:r>
        <w:rPr>
          <w:rFonts w:ascii="Arial" w:hAnsi="Arial" w:cs="Arial"/>
          <w:sz w:val="20"/>
          <w:szCs w:val="20"/>
        </w:rPr>
        <w:t>) Percentatge de proposta de cofinançament (fins a 10 punts)</w:t>
      </w:r>
    </w:p>
    <w:p w:rsidR="00FD378B" w:rsidRDefault="00FD378B" w:rsidP="00FD378B">
      <w:pPr>
        <w:autoSpaceDE w:val="0"/>
        <w:autoSpaceDN w:val="0"/>
        <w:adjustRightInd w:val="0"/>
        <w:spacing w:after="0" w:line="240" w:lineRule="auto"/>
        <w:ind w:right="140"/>
        <w:jc w:val="both"/>
        <w:rPr>
          <w:rFonts w:ascii="Arial" w:hAnsi="Arial" w:cs="Arial"/>
          <w:sz w:val="20"/>
          <w:szCs w:val="20"/>
        </w:rPr>
      </w:pPr>
    </w:p>
    <w:p w:rsidR="00FD378B" w:rsidRDefault="00FD378B" w:rsidP="00FD378B">
      <w:pPr>
        <w:autoSpaceDE w:val="0"/>
        <w:autoSpaceDN w:val="0"/>
        <w:adjustRightInd w:val="0"/>
        <w:spacing w:after="0" w:line="240" w:lineRule="auto"/>
        <w:ind w:right="140"/>
        <w:jc w:val="both"/>
        <w:rPr>
          <w:rFonts w:ascii="Arial" w:hAnsi="Arial" w:cs="Arial"/>
          <w:sz w:val="20"/>
          <w:szCs w:val="20"/>
        </w:rPr>
      </w:pPr>
      <w:r>
        <w:rPr>
          <w:rFonts w:ascii="Arial" w:hAnsi="Arial" w:cs="Arial"/>
          <w:sz w:val="20"/>
          <w:szCs w:val="20"/>
        </w:rPr>
        <w:t>Al percentatge més alt a càrrec del pressupost municipal dedicat al projecte per al qual es demana la subvenció, se li donen automàticament 10 punts. Per a la resta de sol·licituds es fa un repartiment proporcional a partir d’aquests 10 punts.</w:t>
      </w:r>
    </w:p>
    <w:p w:rsidR="00FD378B" w:rsidRDefault="00FD378B" w:rsidP="00FD378B">
      <w:pPr>
        <w:autoSpaceDE w:val="0"/>
        <w:autoSpaceDN w:val="0"/>
        <w:adjustRightInd w:val="0"/>
        <w:spacing w:after="0" w:line="240" w:lineRule="auto"/>
        <w:ind w:right="140"/>
        <w:jc w:val="both"/>
        <w:rPr>
          <w:rFonts w:ascii="Arial" w:hAnsi="Arial" w:cs="Arial"/>
          <w:sz w:val="20"/>
          <w:szCs w:val="20"/>
        </w:rPr>
      </w:pPr>
    </w:p>
    <w:p w:rsidR="00FD378B" w:rsidRDefault="00FD378B" w:rsidP="00FD378B">
      <w:pPr>
        <w:autoSpaceDE w:val="0"/>
        <w:autoSpaceDN w:val="0"/>
        <w:adjustRightInd w:val="0"/>
        <w:spacing w:after="0" w:line="240" w:lineRule="auto"/>
        <w:ind w:right="140"/>
        <w:jc w:val="both"/>
        <w:rPr>
          <w:rFonts w:ascii="Arial" w:hAnsi="Arial" w:cs="Arial"/>
          <w:sz w:val="20"/>
          <w:szCs w:val="20"/>
        </w:rPr>
      </w:pPr>
      <w:r>
        <w:rPr>
          <w:rFonts w:ascii="Arial" w:hAnsi="Arial" w:cs="Arial"/>
          <w:i/>
          <w:sz w:val="20"/>
          <w:szCs w:val="20"/>
        </w:rPr>
        <w:t>c</w:t>
      </w:r>
      <w:r>
        <w:rPr>
          <w:rFonts w:ascii="Arial" w:hAnsi="Arial" w:cs="Arial"/>
          <w:sz w:val="20"/>
          <w:szCs w:val="20"/>
        </w:rPr>
        <w:t>) Adequació total del municipi als paràmetres del Mapa de la Lectura Pública en el moment de la sol·licitud (fins a 40 punts)</w:t>
      </w:r>
    </w:p>
    <w:p w:rsidR="00FD378B" w:rsidRDefault="00FD378B" w:rsidP="00FD378B">
      <w:pPr>
        <w:autoSpaceDE w:val="0"/>
        <w:autoSpaceDN w:val="0"/>
        <w:adjustRightInd w:val="0"/>
        <w:spacing w:after="0" w:line="240" w:lineRule="auto"/>
        <w:ind w:right="140"/>
        <w:jc w:val="both"/>
        <w:rPr>
          <w:rFonts w:ascii="Arial" w:hAnsi="Arial" w:cs="Arial"/>
          <w:sz w:val="20"/>
          <w:szCs w:val="20"/>
        </w:rPr>
      </w:pPr>
    </w:p>
    <w:p w:rsidR="00FD378B" w:rsidRDefault="00FD378B" w:rsidP="00FD378B">
      <w:pPr>
        <w:autoSpaceDE w:val="0"/>
        <w:autoSpaceDN w:val="0"/>
        <w:adjustRightInd w:val="0"/>
        <w:spacing w:after="0" w:line="240" w:lineRule="auto"/>
        <w:ind w:right="140"/>
        <w:jc w:val="both"/>
        <w:rPr>
          <w:rFonts w:ascii="Arial" w:hAnsi="Arial" w:cs="Arial"/>
          <w:sz w:val="20"/>
          <w:szCs w:val="20"/>
        </w:rPr>
      </w:pPr>
    </w:p>
    <w:tbl>
      <w:tblPr>
        <w:tblStyle w:val="Taulaambquadrcula"/>
        <w:tblW w:w="0" w:type="auto"/>
        <w:tblInd w:w="1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3"/>
        <w:gridCol w:w="2880"/>
      </w:tblGrid>
      <w:tr w:rsidR="00FD378B" w:rsidTr="00FD378B">
        <w:tc>
          <w:tcPr>
            <w:tcW w:w="3073" w:type="dxa"/>
            <w:hideMark/>
          </w:tcPr>
          <w:p w:rsidR="00FD378B" w:rsidRDefault="00FD378B" w:rsidP="008245D3">
            <w:pPr>
              <w:spacing w:after="200" w:line="276" w:lineRule="auto"/>
              <w:ind w:left="851" w:right="140"/>
              <w:mirrorIndents/>
              <w:jc w:val="both"/>
              <w:rPr>
                <w:rFonts w:ascii="Arial" w:eastAsia="Calibri" w:hAnsi="Arial" w:cs="Arial"/>
                <w:sz w:val="20"/>
                <w:szCs w:val="20"/>
                <w:lang w:val="ca-ES"/>
              </w:rPr>
            </w:pPr>
            <w:r>
              <w:rPr>
                <w:rFonts w:ascii="Arial" w:eastAsia="Calibri" w:hAnsi="Arial" w:cs="Arial"/>
                <w:sz w:val="20"/>
                <w:szCs w:val="20"/>
                <w:lang w:val="ca-ES"/>
              </w:rPr>
              <w:t>Superfície</w:t>
            </w:r>
          </w:p>
        </w:tc>
        <w:tc>
          <w:tcPr>
            <w:tcW w:w="2880" w:type="dxa"/>
            <w:hideMark/>
          </w:tcPr>
          <w:p w:rsidR="00FD378B" w:rsidRDefault="00FD378B" w:rsidP="008245D3">
            <w:pPr>
              <w:spacing w:after="200" w:line="276" w:lineRule="auto"/>
              <w:ind w:left="851" w:right="140"/>
              <w:mirrorIndents/>
              <w:jc w:val="both"/>
              <w:rPr>
                <w:rFonts w:ascii="Arial" w:eastAsia="Calibri" w:hAnsi="Arial" w:cs="Arial"/>
                <w:sz w:val="20"/>
                <w:szCs w:val="20"/>
                <w:lang w:val="ca-ES"/>
              </w:rPr>
            </w:pPr>
            <w:r>
              <w:rPr>
                <w:rFonts w:ascii="Arial" w:eastAsia="Calibri" w:hAnsi="Arial" w:cs="Arial"/>
                <w:sz w:val="20"/>
                <w:szCs w:val="20"/>
                <w:lang w:val="ca-ES"/>
              </w:rPr>
              <w:t>10 punts</w:t>
            </w:r>
          </w:p>
        </w:tc>
      </w:tr>
      <w:tr w:rsidR="00FD378B" w:rsidTr="00FD378B">
        <w:tc>
          <w:tcPr>
            <w:tcW w:w="3073" w:type="dxa"/>
            <w:hideMark/>
          </w:tcPr>
          <w:p w:rsidR="00FD378B" w:rsidRDefault="00FD378B" w:rsidP="008245D3">
            <w:pPr>
              <w:spacing w:after="200" w:line="276" w:lineRule="auto"/>
              <w:ind w:left="851" w:right="140"/>
              <w:mirrorIndents/>
              <w:jc w:val="both"/>
              <w:rPr>
                <w:rFonts w:ascii="Arial" w:eastAsia="Calibri" w:hAnsi="Arial" w:cs="Arial"/>
                <w:sz w:val="20"/>
                <w:szCs w:val="20"/>
                <w:lang w:val="ca-ES"/>
              </w:rPr>
            </w:pPr>
            <w:r>
              <w:rPr>
                <w:rFonts w:ascii="Arial" w:eastAsia="Calibri" w:hAnsi="Arial" w:cs="Arial"/>
                <w:sz w:val="20"/>
                <w:szCs w:val="20"/>
                <w:lang w:val="ca-ES"/>
              </w:rPr>
              <w:t>Fons</w:t>
            </w:r>
          </w:p>
        </w:tc>
        <w:tc>
          <w:tcPr>
            <w:tcW w:w="2880" w:type="dxa"/>
            <w:hideMark/>
          </w:tcPr>
          <w:p w:rsidR="00FD378B" w:rsidRDefault="00FD378B" w:rsidP="008245D3">
            <w:pPr>
              <w:spacing w:after="200" w:line="276" w:lineRule="auto"/>
              <w:ind w:left="851" w:right="140"/>
              <w:mirrorIndents/>
              <w:jc w:val="both"/>
              <w:rPr>
                <w:rFonts w:ascii="Arial" w:eastAsia="Calibri" w:hAnsi="Arial" w:cs="Arial"/>
                <w:sz w:val="20"/>
                <w:szCs w:val="20"/>
                <w:lang w:val="ca-ES"/>
              </w:rPr>
            </w:pPr>
            <w:r>
              <w:rPr>
                <w:rFonts w:ascii="Arial" w:eastAsia="Calibri" w:hAnsi="Arial" w:cs="Arial"/>
                <w:sz w:val="20"/>
                <w:szCs w:val="20"/>
                <w:lang w:val="ca-ES"/>
              </w:rPr>
              <w:t>5 punts</w:t>
            </w:r>
          </w:p>
        </w:tc>
      </w:tr>
      <w:tr w:rsidR="00FD378B" w:rsidTr="00FD378B">
        <w:tc>
          <w:tcPr>
            <w:tcW w:w="3073" w:type="dxa"/>
            <w:hideMark/>
          </w:tcPr>
          <w:p w:rsidR="00FD378B" w:rsidRDefault="00FD378B" w:rsidP="008245D3">
            <w:pPr>
              <w:spacing w:after="200" w:line="276" w:lineRule="auto"/>
              <w:ind w:left="851" w:right="140"/>
              <w:mirrorIndents/>
              <w:jc w:val="both"/>
              <w:rPr>
                <w:rFonts w:ascii="Arial" w:eastAsia="Calibri" w:hAnsi="Arial" w:cs="Arial"/>
                <w:sz w:val="20"/>
                <w:szCs w:val="20"/>
                <w:lang w:val="ca-ES"/>
              </w:rPr>
            </w:pPr>
            <w:r>
              <w:rPr>
                <w:rFonts w:ascii="Arial" w:eastAsia="Calibri" w:hAnsi="Arial" w:cs="Arial"/>
                <w:sz w:val="20"/>
                <w:szCs w:val="20"/>
                <w:lang w:val="ca-ES"/>
              </w:rPr>
              <w:t>Recursos humans</w:t>
            </w:r>
          </w:p>
        </w:tc>
        <w:tc>
          <w:tcPr>
            <w:tcW w:w="2880" w:type="dxa"/>
            <w:hideMark/>
          </w:tcPr>
          <w:p w:rsidR="00FD378B" w:rsidRDefault="00FD378B" w:rsidP="008245D3">
            <w:pPr>
              <w:spacing w:after="200" w:line="276" w:lineRule="auto"/>
              <w:ind w:left="851" w:right="140"/>
              <w:mirrorIndents/>
              <w:jc w:val="both"/>
              <w:rPr>
                <w:rFonts w:ascii="Arial" w:eastAsia="Calibri" w:hAnsi="Arial" w:cs="Arial"/>
                <w:sz w:val="20"/>
                <w:szCs w:val="20"/>
                <w:lang w:val="ca-ES"/>
              </w:rPr>
            </w:pPr>
            <w:r>
              <w:rPr>
                <w:rFonts w:ascii="Arial" w:eastAsia="Calibri" w:hAnsi="Arial" w:cs="Arial"/>
                <w:sz w:val="20"/>
                <w:szCs w:val="20"/>
                <w:lang w:val="ca-ES"/>
              </w:rPr>
              <w:t>15 punts</w:t>
            </w:r>
          </w:p>
        </w:tc>
      </w:tr>
      <w:tr w:rsidR="00FD378B" w:rsidTr="00FD378B">
        <w:tc>
          <w:tcPr>
            <w:tcW w:w="3073" w:type="dxa"/>
            <w:hideMark/>
          </w:tcPr>
          <w:p w:rsidR="00FD378B" w:rsidRDefault="00FD378B" w:rsidP="008245D3">
            <w:pPr>
              <w:spacing w:after="200" w:line="276" w:lineRule="auto"/>
              <w:ind w:left="851" w:right="140"/>
              <w:mirrorIndents/>
              <w:jc w:val="both"/>
              <w:rPr>
                <w:rFonts w:ascii="Arial" w:eastAsia="Calibri" w:hAnsi="Arial" w:cs="Arial"/>
                <w:sz w:val="20"/>
                <w:szCs w:val="20"/>
                <w:lang w:val="ca-ES"/>
              </w:rPr>
            </w:pPr>
            <w:r>
              <w:rPr>
                <w:rFonts w:ascii="Arial" w:eastAsia="Calibri" w:hAnsi="Arial" w:cs="Arial"/>
                <w:sz w:val="20"/>
                <w:szCs w:val="20"/>
                <w:lang w:val="ca-ES"/>
              </w:rPr>
              <w:t>Horari</w:t>
            </w:r>
          </w:p>
        </w:tc>
        <w:tc>
          <w:tcPr>
            <w:tcW w:w="2880" w:type="dxa"/>
            <w:hideMark/>
          </w:tcPr>
          <w:p w:rsidR="00FD378B" w:rsidRDefault="00FD378B" w:rsidP="008245D3">
            <w:pPr>
              <w:spacing w:after="200" w:line="276" w:lineRule="auto"/>
              <w:ind w:left="851" w:right="140"/>
              <w:mirrorIndents/>
              <w:jc w:val="both"/>
              <w:rPr>
                <w:rFonts w:ascii="Arial" w:eastAsia="Calibri" w:hAnsi="Arial" w:cs="Arial"/>
                <w:sz w:val="20"/>
                <w:szCs w:val="20"/>
                <w:lang w:val="ca-ES"/>
              </w:rPr>
            </w:pPr>
            <w:r>
              <w:rPr>
                <w:rFonts w:ascii="Arial" w:eastAsia="Calibri" w:hAnsi="Arial" w:cs="Arial"/>
                <w:sz w:val="20"/>
                <w:szCs w:val="20"/>
                <w:lang w:val="ca-ES"/>
              </w:rPr>
              <w:t>10 punts</w:t>
            </w:r>
          </w:p>
        </w:tc>
      </w:tr>
    </w:tbl>
    <w:p w:rsidR="00FD378B" w:rsidRDefault="00FD378B" w:rsidP="00FD378B">
      <w:pPr>
        <w:autoSpaceDE w:val="0"/>
        <w:autoSpaceDN w:val="0"/>
        <w:adjustRightInd w:val="0"/>
        <w:spacing w:after="0" w:line="240" w:lineRule="auto"/>
        <w:ind w:right="140"/>
        <w:jc w:val="both"/>
        <w:rPr>
          <w:rFonts w:ascii="Arial" w:hAnsi="Arial" w:cs="Arial"/>
          <w:sz w:val="20"/>
          <w:szCs w:val="20"/>
        </w:rPr>
      </w:pPr>
    </w:p>
    <w:p w:rsidR="00FD378B" w:rsidRDefault="00FD378B" w:rsidP="00FD378B">
      <w:pPr>
        <w:autoSpaceDE w:val="0"/>
        <w:autoSpaceDN w:val="0"/>
        <w:adjustRightInd w:val="0"/>
        <w:spacing w:after="0" w:line="240" w:lineRule="auto"/>
        <w:ind w:right="140"/>
        <w:jc w:val="both"/>
        <w:rPr>
          <w:rFonts w:ascii="Arial" w:hAnsi="Arial" w:cs="Arial"/>
          <w:sz w:val="20"/>
          <w:szCs w:val="20"/>
        </w:rPr>
      </w:pPr>
      <w:r>
        <w:rPr>
          <w:rFonts w:ascii="Arial" w:hAnsi="Arial" w:cs="Arial"/>
          <w:sz w:val="20"/>
          <w:szCs w:val="20"/>
        </w:rPr>
        <w:t>L’adequació en el cent per cent als mínims que, per cadascun dels conceptes, estableix el Mapa de la Lectura Pública obtindrà la màxima puntuació. El percentatge de compliment es tradueix en una puntuació proporcional en cada cas.</w:t>
      </w:r>
    </w:p>
    <w:p w:rsidR="00FD378B" w:rsidRDefault="00FD378B" w:rsidP="00FD378B">
      <w:pPr>
        <w:autoSpaceDE w:val="0"/>
        <w:autoSpaceDN w:val="0"/>
        <w:adjustRightInd w:val="0"/>
        <w:spacing w:after="0" w:line="240" w:lineRule="auto"/>
        <w:ind w:right="140"/>
        <w:jc w:val="both"/>
        <w:rPr>
          <w:rFonts w:ascii="Arial" w:hAnsi="Arial" w:cs="Arial"/>
          <w:sz w:val="20"/>
          <w:szCs w:val="20"/>
        </w:rPr>
      </w:pPr>
    </w:p>
    <w:p w:rsidR="00FD378B" w:rsidRDefault="00FD378B" w:rsidP="00FD378B">
      <w:pPr>
        <w:autoSpaceDE w:val="0"/>
        <w:autoSpaceDN w:val="0"/>
        <w:adjustRightInd w:val="0"/>
        <w:spacing w:after="0" w:line="240" w:lineRule="auto"/>
        <w:ind w:right="140"/>
        <w:jc w:val="both"/>
        <w:rPr>
          <w:rFonts w:ascii="Arial" w:hAnsi="Arial" w:cs="Arial"/>
          <w:sz w:val="20"/>
          <w:szCs w:val="20"/>
        </w:rPr>
      </w:pPr>
      <w:r>
        <w:rPr>
          <w:rFonts w:ascii="Arial" w:hAnsi="Arial" w:cs="Arial"/>
          <w:i/>
          <w:sz w:val="20"/>
          <w:szCs w:val="20"/>
        </w:rPr>
        <w:t>d</w:t>
      </w:r>
      <w:r>
        <w:rPr>
          <w:rFonts w:ascii="Arial" w:hAnsi="Arial" w:cs="Arial"/>
          <w:sz w:val="20"/>
          <w:szCs w:val="20"/>
        </w:rPr>
        <w:t>) Concessió de subvencions de la Diputació de Girona durant l’any anterior (fins a 10 punts)</w:t>
      </w:r>
    </w:p>
    <w:p w:rsidR="00FD378B" w:rsidRDefault="00FD378B" w:rsidP="00FD378B">
      <w:pPr>
        <w:autoSpaceDE w:val="0"/>
        <w:autoSpaceDN w:val="0"/>
        <w:adjustRightInd w:val="0"/>
        <w:spacing w:after="0" w:line="240" w:lineRule="auto"/>
        <w:ind w:right="140"/>
        <w:jc w:val="both"/>
        <w:rPr>
          <w:rFonts w:ascii="Arial" w:eastAsia="Calibri" w:hAnsi="Arial" w:cs="Arial"/>
          <w:sz w:val="20"/>
          <w:szCs w:val="20"/>
        </w:rPr>
      </w:pPr>
    </w:p>
    <w:tbl>
      <w:tblPr>
        <w:tblpPr w:leftFromText="141" w:rightFromText="141" w:bottomFromText="160" w:vertAnchor="text" w:tblpX="841" w:tblpY="1"/>
        <w:tblOverlap w:val="never"/>
        <w:tblW w:w="4504" w:type="pct"/>
        <w:tblCellMar>
          <w:left w:w="0" w:type="dxa"/>
          <w:right w:w="0" w:type="dxa"/>
        </w:tblCellMar>
        <w:tblLook w:val="04A0" w:firstRow="1" w:lastRow="0" w:firstColumn="1" w:lastColumn="0" w:noHBand="0" w:noVBand="1"/>
      </w:tblPr>
      <w:tblGrid>
        <w:gridCol w:w="5529"/>
        <w:gridCol w:w="2131"/>
      </w:tblGrid>
      <w:tr w:rsidR="00FD378B" w:rsidTr="00FD378B">
        <w:tc>
          <w:tcPr>
            <w:tcW w:w="3609" w:type="pct"/>
            <w:hideMark/>
          </w:tcPr>
          <w:p w:rsidR="00FD378B" w:rsidRDefault="00FD378B" w:rsidP="008245D3">
            <w:pPr>
              <w:autoSpaceDE w:val="0"/>
              <w:autoSpaceDN w:val="0"/>
              <w:adjustRightInd w:val="0"/>
              <w:ind w:left="851" w:right="140"/>
              <w:jc w:val="both"/>
              <w:rPr>
                <w:rFonts w:ascii="Arial" w:eastAsia="SymbolMT" w:hAnsi="Arial" w:cs="Arial"/>
                <w:sz w:val="20"/>
                <w:szCs w:val="20"/>
              </w:rPr>
            </w:pPr>
            <w:r>
              <w:rPr>
                <w:rFonts w:ascii="Arial" w:eastAsia="SymbolMT" w:hAnsi="Arial" w:cs="Arial"/>
                <w:sz w:val="20"/>
                <w:szCs w:val="20"/>
              </w:rPr>
              <w:t xml:space="preserve">S’ha concedit alguna subvenció i no s’ha executat </w:t>
            </w:r>
          </w:p>
        </w:tc>
        <w:tc>
          <w:tcPr>
            <w:tcW w:w="1391" w:type="pct"/>
            <w:hideMark/>
          </w:tcPr>
          <w:p w:rsidR="00FD378B" w:rsidRDefault="00FD378B" w:rsidP="008245D3">
            <w:pPr>
              <w:autoSpaceDE w:val="0"/>
              <w:autoSpaceDN w:val="0"/>
              <w:adjustRightInd w:val="0"/>
              <w:ind w:left="851" w:right="140"/>
              <w:jc w:val="both"/>
              <w:rPr>
                <w:rFonts w:ascii="Arial" w:eastAsia="SymbolMT" w:hAnsi="Arial" w:cs="Arial"/>
                <w:sz w:val="20"/>
                <w:szCs w:val="20"/>
              </w:rPr>
            </w:pPr>
            <w:r>
              <w:rPr>
                <w:rFonts w:ascii="Arial" w:eastAsia="SymbolMT" w:hAnsi="Arial" w:cs="Arial"/>
                <w:sz w:val="20"/>
                <w:szCs w:val="20"/>
              </w:rPr>
              <w:t xml:space="preserve"> 0 punts</w:t>
            </w:r>
          </w:p>
        </w:tc>
      </w:tr>
      <w:tr w:rsidR="00FD378B" w:rsidTr="00FD378B">
        <w:tc>
          <w:tcPr>
            <w:tcW w:w="3609" w:type="pct"/>
            <w:hideMark/>
          </w:tcPr>
          <w:p w:rsidR="00FD378B" w:rsidRDefault="00FD378B" w:rsidP="008245D3">
            <w:pPr>
              <w:autoSpaceDE w:val="0"/>
              <w:autoSpaceDN w:val="0"/>
              <w:adjustRightInd w:val="0"/>
              <w:ind w:left="851" w:right="140"/>
              <w:jc w:val="both"/>
              <w:rPr>
                <w:rFonts w:ascii="Arial" w:eastAsia="SymbolMT" w:hAnsi="Arial" w:cs="Arial"/>
                <w:sz w:val="20"/>
                <w:szCs w:val="20"/>
              </w:rPr>
            </w:pPr>
            <w:r>
              <w:rPr>
                <w:rFonts w:ascii="Arial" w:eastAsia="SymbolMT" w:hAnsi="Arial" w:cs="Arial"/>
                <w:sz w:val="20"/>
                <w:szCs w:val="20"/>
              </w:rPr>
              <w:t>S’ha concedit alguna subvenció i s’ha executat satisfactòriament</w:t>
            </w:r>
          </w:p>
        </w:tc>
        <w:tc>
          <w:tcPr>
            <w:tcW w:w="1391" w:type="pct"/>
            <w:hideMark/>
          </w:tcPr>
          <w:p w:rsidR="00FD378B" w:rsidRDefault="00FD378B" w:rsidP="008245D3">
            <w:pPr>
              <w:autoSpaceDE w:val="0"/>
              <w:autoSpaceDN w:val="0"/>
              <w:adjustRightInd w:val="0"/>
              <w:ind w:left="851" w:right="140"/>
              <w:jc w:val="both"/>
              <w:rPr>
                <w:rFonts w:ascii="Arial" w:eastAsia="SymbolMT" w:hAnsi="Arial" w:cs="Arial"/>
                <w:sz w:val="20"/>
                <w:szCs w:val="20"/>
              </w:rPr>
            </w:pPr>
            <w:r>
              <w:rPr>
                <w:rFonts w:ascii="Arial" w:eastAsia="SymbolMT" w:hAnsi="Arial" w:cs="Arial"/>
                <w:sz w:val="20"/>
                <w:szCs w:val="20"/>
              </w:rPr>
              <w:t>10 punts</w:t>
            </w:r>
          </w:p>
        </w:tc>
      </w:tr>
    </w:tbl>
    <w:p w:rsidR="00FD378B" w:rsidRDefault="00FD378B" w:rsidP="00FD378B">
      <w:pPr>
        <w:ind w:right="140"/>
        <w:jc w:val="both"/>
        <w:rPr>
          <w:rFonts w:ascii="Arial" w:hAnsi="Arial" w:cs="Arial"/>
          <w:sz w:val="20"/>
          <w:szCs w:val="20"/>
        </w:rPr>
      </w:pPr>
    </w:p>
    <w:p w:rsidR="00FD378B" w:rsidRDefault="00FD378B" w:rsidP="00FD378B">
      <w:pPr>
        <w:ind w:right="140"/>
        <w:jc w:val="both"/>
        <w:rPr>
          <w:rFonts w:ascii="Arial" w:hAnsi="Arial" w:cs="Arial"/>
          <w:sz w:val="20"/>
          <w:szCs w:val="20"/>
        </w:rPr>
      </w:pPr>
    </w:p>
    <w:p w:rsidR="00FD378B" w:rsidRDefault="00FD378B" w:rsidP="00FD378B">
      <w:pPr>
        <w:ind w:right="140"/>
        <w:jc w:val="both"/>
        <w:rPr>
          <w:rFonts w:ascii="Arial" w:hAnsi="Arial" w:cs="Arial"/>
          <w:b/>
          <w:bCs/>
          <w:sz w:val="20"/>
          <w:szCs w:val="20"/>
        </w:rPr>
      </w:pPr>
    </w:p>
    <w:p w:rsidR="00FD378B" w:rsidRDefault="00FD378B" w:rsidP="00FD378B">
      <w:pPr>
        <w:ind w:right="140"/>
        <w:jc w:val="both"/>
        <w:rPr>
          <w:rFonts w:ascii="Arial" w:hAnsi="Arial" w:cs="Arial"/>
          <w:b/>
          <w:bCs/>
          <w:sz w:val="20"/>
          <w:szCs w:val="20"/>
        </w:rPr>
      </w:pPr>
    </w:p>
    <w:p w:rsidR="00FD378B" w:rsidRDefault="00FD378B" w:rsidP="00FD378B">
      <w:pPr>
        <w:ind w:right="140"/>
        <w:jc w:val="both"/>
        <w:rPr>
          <w:rFonts w:ascii="Arial" w:hAnsi="Arial" w:cs="Arial"/>
          <w:b/>
          <w:bCs/>
          <w:sz w:val="20"/>
          <w:szCs w:val="20"/>
        </w:rPr>
      </w:pPr>
      <w:r>
        <w:rPr>
          <w:rFonts w:ascii="Arial" w:hAnsi="Arial" w:cs="Arial"/>
          <w:b/>
          <w:bCs/>
          <w:sz w:val="20"/>
          <w:szCs w:val="20"/>
        </w:rPr>
        <w:t>2. Dotació econòmica i determinació de l’aplicació pressupostària</w:t>
      </w:r>
    </w:p>
    <w:p w:rsidR="00FD378B" w:rsidRDefault="00FD378B" w:rsidP="00FD378B">
      <w:pPr>
        <w:ind w:right="140"/>
        <w:jc w:val="both"/>
        <w:rPr>
          <w:rFonts w:ascii="Arial" w:hAnsi="Arial" w:cs="Arial"/>
          <w:sz w:val="20"/>
          <w:szCs w:val="20"/>
        </w:rPr>
      </w:pPr>
      <w:r>
        <w:rPr>
          <w:rFonts w:ascii="Arial" w:hAnsi="Arial" w:cs="Arial"/>
          <w:sz w:val="20"/>
          <w:szCs w:val="20"/>
        </w:rPr>
        <w:t>L’import total destinat a la convocatòria és de 33.000 €. L’aplicació pressupostària a què es carrega el crèdit pressupostari i l’import són els que es detallen a continuació:</w:t>
      </w:r>
    </w:p>
    <w:p w:rsidR="00FD378B" w:rsidRDefault="00FD378B" w:rsidP="00FD378B">
      <w:pPr>
        <w:ind w:right="140"/>
        <w:jc w:val="both"/>
        <w:rPr>
          <w:rFonts w:ascii="Arial" w:hAnsi="Arial" w:cs="Arial"/>
          <w:sz w:val="20"/>
          <w:szCs w:val="20"/>
        </w:rPr>
      </w:pPr>
      <w:r>
        <w:rPr>
          <w:rFonts w:ascii="Arial" w:hAnsi="Arial" w:cs="Arial"/>
          <w:sz w:val="20"/>
          <w:szCs w:val="20"/>
        </w:rPr>
        <w:t xml:space="preserve"> </w:t>
      </w:r>
    </w:p>
    <w:tbl>
      <w:tblPr>
        <w:tblStyle w:val="Taulaambquadrcula"/>
        <w:tblW w:w="4502"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gridCol w:w="2873"/>
      </w:tblGrid>
      <w:tr w:rsidR="00FD378B" w:rsidTr="00FD378B">
        <w:tc>
          <w:tcPr>
            <w:tcW w:w="3124" w:type="pct"/>
            <w:shd w:val="clear" w:color="auto" w:fill="auto"/>
            <w:hideMark/>
          </w:tcPr>
          <w:p w:rsidR="00FD378B" w:rsidRDefault="00FD378B" w:rsidP="008245D3">
            <w:pPr>
              <w:spacing w:after="200" w:line="276" w:lineRule="auto"/>
              <w:ind w:left="851" w:right="140"/>
              <w:jc w:val="both"/>
              <w:rPr>
                <w:rFonts w:ascii="Arial" w:hAnsi="Arial" w:cs="Arial"/>
                <w:bCs/>
                <w:i/>
                <w:sz w:val="20"/>
                <w:szCs w:val="20"/>
                <w:lang w:val="ca-ES"/>
              </w:rPr>
            </w:pPr>
            <w:r>
              <w:rPr>
                <w:rFonts w:ascii="Arial" w:hAnsi="Arial" w:cs="Arial"/>
                <w:bCs/>
                <w:i/>
                <w:sz w:val="20"/>
                <w:szCs w:val="20"/>
                <w:lang w:val="ca-ES"/>
              </w:rPr>
              <w:t>Aplicació pressupostària</w:t>
            </w:r>
          </w:p>
        </w:tc>
        <w:tc>
          <w:tcPr>
            <w:tcW w:w="1876" w:type="pct"/>
            <w:shd w:val="clear" w:color="auto" w:fill="auto"/>
            <w:hideMark/>
          </w:tcPr>
          <w:p w:rsidR="00FD378B" w:rsidRDefault="00FD378B" w:rsidP="008245D3">
            <w:pPr>
              <w:spacing w:after="200" w:line="276" w:lineRule="auto"/>
              <w:ind w:left="851" w:right="140"/>
              <w:jc w:val="both"/>
              <w:rPr>
                <w:rFonts w:ascii="Arial" w:hAnsi="Arial" w:cs="Arial"/>
                <w:bCs/>
                <w:i/>
                <w:sz w:val="20"/>
                <w:szCs w:val="20"/>
                <w:lang w:val="ca-ES"/>
              </w:rPr>
            </w:pPr>
            <w:r>
              <w:rPr>
                <w:rFonts w:ascii="Arial" w:hAnsi="Arial" w:cs="Arial"/>
                <w:bCs/>
                <w:i/>
                <w:sz w:val="20"/>
                <w:szCs w:val="20"/>
                <w:lang w:val="ca-ES"/>
              </w:rPr>
              <w:t>Import (en €)</w:t>
            </w:r>
          </w:p>
        </w:tc>
      </w:tr>
      <w:tr w:rsidR="00FD378B" w:rsidTr="00FD378B">
        <w:tc>
          <w:tcPr>
            <w:tcW w:w="3124" w:type="pct"/>
            <w:shd w:val="clear" w:color="auto" w:fill="auto"/>
            <w:hideMark/>
          </w:tcPr>
          <w:p w:rsidR="00FD378B" w:rsidRDefault="00FD378B" w:rsidP="008245D3">
            <w:pPr>
              <w:spacing w:after="200" w:line="276" w:lineRule="auto"/>
              <w:ind w:left="851" w:right="140"/>
              <w:jc w:val="both"/>
              <w:rPr>
                <w:rFonts w:ascii="Arial" w:hAnsi="Arial" w:cs="Arial"/>
                <w:sz w:val="20"/>
                <w:szCs w:val="20"/>
                <w:lang w:val="ca-ES"/>
              </w:rPr>
            </w:pPr>
            <w:r>
              <w:rPr>
                <w:rFonts w:ascii="Arial" w:hAnsi="Arial" w:cs="Arial"/>
                <w:sz w:val="20"/>
                <w:szCs w:val="20"/>
                <w:lang w:val="ca-ES"/>
              </w:rPr>
              <w:t>301 33210 7620200</w:t>
            </w:r>
          </w:p>
        </w:tc>
        <w:tc>
          <w:tcPr>
            <w:tcW w:w="1876" w:type="pct"/>
            <w:shd w:val="clear" w:color="auto" w:fill="auto"/>
            <w:hideMark/>
          </w:tcPr>
          <w:p w:rsidR="00FD378B" w:rsidRDefault="00FD378B" w:rsidP="008245D3">
            <w:pPr>
              <w:spacing w:after="200" w:line="276" w:lineRule="auto"/>
              <w:ind w:left="851" w:right="140"/>
              <w:jc w:val="both"/>
              <w:rPr>
                <w:rFonts w:ascii="Arial" w:hAnsi="Arial" w:cs="Arial"/>
                <w:sz w:val="20"/>
                <w:szCs w:val="20"/>
                <w:lang w:val="ca-ES"/>
              </w:rPr>
            </w:pPr>
            <w:r>
              <w:rPr>
                <w:rFonts w:ascii="Arial" w:hAnsi="Arial" w:cs="Arial"/>
                <w:sz w:val="20"/>
                <w:szCs w:val="20"/>
                <w:lang w:val="ca-ES"/>
              </w:rPr>
              <w:t>33.000</w:t>
            </w:r>
            <w:r>
              <w:rPr>
                <w:rFonts w:ascii="Arial" w:hAnsi="Arial" w:cs="Arial"/>
                <w:sz w:val="20"/>
                <w:szCs w:val="20"/>
                <w:lang w:val="ca-ES"/>
              </w:rPr>
              <w:t>,00</w:t>
            </w:r>
            <w:r>
              <w:rPr>
                <w:rFonts w:ascii="Arial" w:hAnsi="Arial" w:cs="Arial"/>
                <w:sz w:val="20"/>
                <w:szCs w:val="20"/>
                <w:lang w:val="ca-ES"/>
              </w:rPr>
              <w:t xml:space="preserve"> €</w:t>
            </w:r>
          </w:p>
        </w:tc>
      </w:tr>
      <w:tr w:rsidR="00FD378B" w:rsidTr="00FD378B">
        <w:tc>
          <w:tcPr>
            <w:tcW w:w="3124" w:type="pct"/>
            <w:shd w:val="clear" w:color="auto" w:fill="auto"/>
            <w:hideMark/>
          </w:tcPr>
          <w:p w:rsidR="00FD378B" w:rsidRDefault="00FD378B" w:rsidP="008245D3">
            <w:pPr>
              <w:spacing w:after="200" w:line="276" w:lineRule="auto"/>
              <w:ind w:left="851" w:right="140"/>
              <w:jc w:val="both"/>
              <w:rPr>
                <w:rFonts w:ascii="Arial" w:hAnsi="Arial" w:cs="Arial"/>
                <w:bCs/>
                <w:i/>
                <w:sz w:val="20"/>
                <w:szCs w:val="20"/>
                <w:lang w:val="ca-ES"/>
              </w:rPr>
            </w:pPr>
            <w:r>
              <w:rPr>
                <w:rFonts w:ascii="Arial" w:hAnsi="Arial" w:cs="Arial"/>
                <w:bCs/>
                <w:i/>
                <w:sz w:val="20"/>
                <w:szCs w:val="20"/>
                <w:lang w:val="ca-ES"/>
              </w:rPr>
              <w:t>Total</w:t>
            </w:r>
          </w:p>
        </w:tc>
        <w:tc>
          <w:tcPr>
            <w:tcW w:w="1876" w:type="pct"/>
            <w:shd w:val="clear" w:color="auto" w:fill="auto"/>
            <w:hideMark/>
          </w:tcPr>
          <w:p w:rsidR="00FD378B" w:rsidRDefault="00FD378B" w:rsidP="008245D3">
            <w:pPr>
              <w:spacing w:after="200" w:line="276" w:lineRule="auto"/>
              <w:ind w:left="851" w:right="140"/>
              <w:jc w:val="both"/>
              <w:rPr>
                <w:rFonts w:ascii="Arial" w:hAnsi="Arial" w:cs="Arial"/>
                <w:bCs/>
                <w:sz w:val="20"/>
                <w:szCs w:val="20"/>
                <w:lang w:val="ca-ES"/>
              </w:rPr>
            </w:pPr>
            <w:r>
              <w:rPr>
                <w:rFonts w:ascii="Arial" w:hAnsi="Arial" w:cs="Arial"/>
                <w:bCs/>
                <w:sz w:val="20"/>
                <w:szCs w:val="20"/>
                <w:lang w:val="ca-ES"/>
              </w:rPr>
              <w:t>33.000</w:t>
            </w:r>
            <w:r>
              <w:rPr>
                <w:rFonts w:ascii="Arial" w:hAnsi="Arial" w:cs="Arial"/>
                <w:bCs/>
                <w:sz w:val="20"/>
                <w:szCs w:val="20"/>
                <w:lang w:val="ca-ES"/>
              </w:rPr>
              <w:t>,00</w:t>
            </w:r>
            <w:r>
              <w:rPr>
                <w:rFonts w:ascii="Arial" w:hAnsi="Arial" w:cs="Arial"/>
                <w:bCs/>
                <w:sz w:val="20"/>
                <w:szCs w:val="20"/>
                <w:lang w:val="ca-ES"/>
              </w:rPr>
              <w:t xml:space="preserve"> €</w:t>
            </w:r>
          </w:p>
        </w:tc>
      </w:tr>
    </w:tbl>
    <w:p w:rsidR="00FD378B" w:rsidRDefault="00FD378B" w:rsidP="00FD378B">
      <w:pPr>
        <w:ind w:right="140"/>
        <w:jc w:val="both"/>
        <w:rPr>
          <w:rFonts w:ascii="Arial" w:hAnsi="Arial" w:cs="Arial"/>
          <w:iCs/>
          <w:sz w:val="20"/>
          <w:szCs w:val="20"/>
        </w:rPr>
      </w:pPr>
    </w:p>
    <w:p w:rsidR="00FD378B" w:rsidRDefault="00FD378B" w:rsidP="00FD378B">
      <w:pPr>
        <w:ind w:right="140"/>
        <w:jc w:val="both"/>
        <w:rPr>
          <w:rFonts w:ascii="Arial" w:hAnsi="Arial" w:cs="Arial"/>
          <w:sz w:val="20"/>
          <w:szCs w:val="20"/>
        </w:rPr>
      </w:pPr>
    </w:p>
    <w:p w:rsidR="00FD378B" w:rsidRDefault="00FD378B" w:rsidP="00FD378B">
      <w:pPr>
        <w:ind w:right="140"/>
        <w:jc w:val="both"/>
        <w:rPr>
          <w:rFonts w:ascii="Arial" w:hAnsi="Arial" w:cs="Arial"/>
          <w:b/>
          <w:bCs/>
          <w:sz w:val="20"/>
          <w:szCs w:val="20"/>
        </w:rPr>
      </w:pPr>
      <w:r>
        <w:rPr>
          <w:rFonts w:ascii="Arial" w:hAnsi="Arial" w:cs="Arial"/>
          <w:b/>
          <w:bCs/>
          <w:sz w:val="20"/>
          <w:szCs w:val="20"/>
        </w:rPr>
        <w:t>3. Termini de presentació de sol·licituds</w:t>
      </w:r>
    </w:p>
    <w:p w:rsidR="00FD378B" w:rsidRDefault="00FD378B" w:rsidP="00FD378B">
      <w:pPr>
        <w:ind w:right="140"/>
        <w:jc w:val="both"/>
        <w:rPr>
          <w:rFonts w:ascii="Arial" w:hAnsi="Arial" w:cs="Arial"/>
          <w:sz w:val="20"/>
          <w:szCs w:val="20"/>
        </w:rPr>
      </w:pPr>
      <w:r>
        <w:rPr>
          <w:rFonts w:ascii="Arial" w:hAnsi="Arial" w:cs="Arial"/>
          <w:sz w:val="20"/>
          <w:szCs w:val="20"/>
        </w:rPr>
        <w:t>El termini de presentació de sol·licituds és de vint dies hàbils a partir de l’endemà de la publicació de l’extracte de la convocatòria al BOPG.</w:t>
      </w:r>
    </w:p>
    <w:p w:rsidR="00FD378B" w:rsidRDefault="00FD378B" w:rsidP="00FD378B">
      <w:pPr>
        <w:ind w:right="140"/>
        <w:jc w:val="both"/>
        <w:rPr>
          <w:rFonts w:ascii="Arial" w:hAnsi="Arial" w:cs="Arial"/>
          <w:sz w:val="20"/>
          <w:szCs w:val="20"/>
        </w:rPr>
      </w:pPr>
      <w:r>
        <w:rPr>
          <w:rFonts w:ascii="Arial" w:hAnsi="Arial" w:cs="Arial"/>
          <w:sz w:val="20"/>
          <w:szCs w:val="20"/>
        </w:rPr>
        <w:t xml:space="preserve">Cal formular les sol·licituds mitjançant el model normalitzat disponible al web de la Diputació de Girona, que s’ha d’acompanyar de la documentació a què fa referència l’article </w:t>
      </w:r>
      <w:r>
        <w:rPr>
          <w:rFonts w:ascii="Arial" w:eastAsia="Calibri" w:hAnsi="Arial" w:cs="Arial"/>
          <w:sz w:val="20"/>
          <w:szCs w:val="20"/>
        </w:rPr>
        <w:t>7</w:t>
      </w:r>
      <w:r>
        <w:rPr>
          <w:rFonts w:ascii="Arial" w:hAnsi="Arial" w:cs="Arial"/>
          <w:sz w:val="20"/>
          <w:szCs w:val="20"/>
        </w:rPr>
        <w:t xml:space="preserve"> de les bases reguladores.</w:t>
      </w:r>
    </w:p>
    <w:p w:rsidR="00FD378B" w:rsidRDefault="00FD378B" w:rsidP="00FD378B">
      <w:pPr>
        <w:ind w:right="140"/>
        <w:jc w:val="both"/>
        <w:rPr>
          <w:rFonts w:ascii="Arial" w:hAnsi="Arial" w:cs="Arial"/>
          <w:sz w:val="20"/>
          <w:szCs w:val="20"/>
        </w:rPr>
      </w:pPr>
      <w:r>
        <w:rPr>
          <w:rFonts w:ascii="Arial" w:hAnsi="Arial" w:cs="Arial"/>
          <w:sz w:val="20"/>
          <w:szCs w:val="20"/>
        </w:rPr>
        <w:t>Les sol·licituds s’han de presentar telemàticament (EACAT), i han d’estar signades electrònicament mitjançant un certificat validat en la plataforma PSIS del Consorci d’Administració Oberta de Catalunya.</w:t>
      </w:r>
    </w:p>
    <w:p w:rsidR="00FD378B" w:rsidRDefault="00FD378B" w:rsidP="00FD378B">
      <w:pPr>
        <w:numPr>
          <w:ilvl w:val="0"/>
          <w:numId w:val="1"/>
        </w:numPr>
        <w:spacing w:after="200" w:line="276" w:lineRule="auto"/>
        <w:ind w:left="284" w:right="140" w:hanging="284"/>
        <w:contextualSpacing/>
        <w:jc w:val="both"/>
        <w:rPr>
          <w:rFonts w:ascii="Arial" w:eastAsia="Calibri" w:hAnsi="Arial" w:cs="Arial"/>
          <w:b/>
          <w:bCs/>
          <w:sz w:val="20"/>
          <w:szCs w:val="20"/>
        </w:rPr>
      </w:pPr>
      <w:r>
        <w:rPr>
          <w:rFonts w:ascii="Arial" w:eastAsia="Calibri" w:hAnsi="Arial" w:cs="Arial"/>
          <w:b/>
          <w:bCs/>
          <w:sz w:val="20"/>
          <w:szCs w:val="20"/>
        </w:rPr>
        <w:t>Àmbit temporal de les accions subvencionables</w:t>
      </w:r>
    </w:p>
    <w:p w:rsidR="00FD378B" w:rsidRDefault="00FD378B" w:rsidP="00FD378B">
      <w:pPr>
        <w:ind w:right="140"/>
        <w:contextualSpacing/>
        <w:jc w:val="both"/>
        <w:rPr>
          <w:rFonts w:ascii="Arial" w:eastAsia="Calibri" w:hAnsi="Arial" w:cs="Arial"/>
          <w:b/>
          <w:bCs/>
          <w:sz w:val="20"/>
          <w:szCs w:val="20"/>
        </w:rPr>
      </w:pPr>
    </w:p>
    <w:p w:rsidR="00FD378B" w:rsidRDefault="00FD378B" w:rsidP="00FD378B">
      <w:pPr>
        <w:ind w:right="140"/>
        <w:contextualSpacing/>
        <w:jc w:val="both"/>
        <w:rPr>
          <w:rFonts w:ascii="Arial" w:eastAsia="Calibri" w:hAnsi="Arial" w:cs="Arial"/>
          <w:sz w:val="20"/>
          <w:szCs w:val="20"/>
        </w:rPr>
      </w:pPr>
      <w:r>
        <w:rPr>
          <w:rFonts w:ascii="Arial" w:eastAsia="Calibri" w:hAnsi="Arial" w:cs="Arial"/>
          <w:sz w:val="20"/>
          <w:szCs w:val="20"/>
        </w:rPr>
        <w:t xml:space="preserve">Se subvencionaran actuacions, activitats o inversions dutes a terme un any abans de la data de publicació de la convocatòria i fins a sis mesos després. </w:t>
      </w:r>
    </w:p>
    <w:p w:rsidR="00FD378B" w:rsidRDefault="00FD378B" w:rsidP="00FD378B">
      <w:pPr>
        <w:ind w:right="140"/>
        <w:contextualSpacing/>
        <w:jc w:val="both"/>
        <w:rPr>
          <w:rFonts w:ascii="Arial" w:eastAsia="Calibri" w:hAnsi="Arial" w:cs="Arial"/>
          <w:sz w:val="20"/>
          <w:szCs w:val="20"/>
        </w:rPr>
      </w:pPr>
    </w:p>
    <w:p w:rsidR="00FD378B" w:rsidRDefault="00FD378B" w:rsidP="00FD378B">
      <w:pPr>
        <w:numPr>
          <w:ilvl w:val="0"/>
          <w:numId w:val="1"/>
        </w:numPr>
        <w:spacing w:after="200" w:line="276" w:lineRule="auto"/>
        <w:ind w:left="284" w:right="140" w:hanging="284"/>
        <w:contextualSpacing/>
        <w:jc w:val="both"/>
        <w:rPr>
          <w:rFonts w:ascii="Arial" w:eastAsia="Calibri" w:hAnsi="Arial" w:cs="Arial"/>
          <w:b/>
          <w:bCs/>
          <w:sz w:val="20"/>
          <w:szCs w:val="20"/>
        </w:rPr>
      </w:pPr>
      <w:r>
        <w:rPr>
          <w:rFonts w:ascii="Arial" w:eastAsia="Calibri" w:hAnsi="Arial" w:cs="Arial"/>
          <w:b/>
          <w:bCs/>
          <w:sz w:val="20"/>
          <w:szCs w:val="20"/>
        </w:rPr>
        <w:t>Termini per justificar les subvencions</w:t>
      </w:r>
    </w:p>
    <w:p w:rsidR="00FD378B" w:rsidRDefault="00FD378B" w:rsidP="00FD378B">
      <w:pPr>
        <w:ind w:right="140"/>
        <w:contextualSpacing/>
        <w:jc w:val="both"/>
        <w:rPr>
          <w:rFonts w:ascii="Arial" w:eastAsia="Calibri" w:hAnsi="Arial" w:cs="Arial"/>
          <w:b/>
          <w:bCs/>
          <w:sz w:val="20"/>
          <w:szCs w:val="20"/>
        </w:rPr>
      </w:pPr>
    </w:p>
    <w:p w:rsidR="00FD378B" w:rsidRDefault="00FD378B" w:rsidP="00FD378B">
      <w:pPr>
        <w:ind w:right="140"/>
        <w:contextualSpacing/>
        <w:jc w:val="both"/>
        <w:rPr>
          <w:rFonts w:ascii="Arial" w:eastAsia="Calibri" w:hAnsi="Arial" w:cs="Arial"/>
          <w:sz w:val="20"/>
          <w:szCs w:val="20"/>
        </w:rPr>
      </w:pPr>
      <w:r>
        <w:rPr>
          <w:rFonts w:ascii="Arial" w:eastAsia="Calibri" w:hAnsi="Arial" w:cs="Arial"/>
          <w:bCs/>
          <w:sz w:val="20"/>
          <w:szCs w:val="20"/>
        </w:rPr>
        <w:t xml:space="preserve">El termini de justificació és </w:t>
      </w:r>
      <w:r>
        <w:rPr>
          <w:rFonts w:ascii="Arial" w:eastAsia="Calibri" w:hAnsi="Arial" w:cs="Arial"/>
          <w:sz w:val="20"/>
          <w:szCs w:val="20"/>
        </w:rPr>
        <w:t>de trenta dies a comptar de l’endemà de l’acabament del termini d’execució.</w:t>
      </w:r>
    </w:p>
    <w:p w:rsidR="00FD378B" w:rsidRDefault="00FD378B" w:rsidP="00FD378B">
      <w:pPr>
        <w:ind w:right="140"/>
        <w:contextualSpacing/>
        <w:jc w:val="both"/>
        <w:rPr>
          <w:rFonts w:ascii="Arial" w:eastAsia="Calibri" w:hAnsi="Arial" w:cs="Arial"/>
          <w:sz w:val="20"/>
          <w:szCs w:val="20"/>
        </w:rPr>
      </w:pPr>
    </w:p>
    <w:p w:rsidR="00FD378B" w:rsidRDefault="00FD378B" w:rsidP="00FD378B">
      <w:pPr>
        <w:ind w:right="140"/>
        <w:jc w:val="both"/>
        <w:rPr>
          <w:rFonts w:ascii="Arial" w:hAnsi="Arial" w:cs="Arial"/>
          <w:sz w:val="20"/>
          <w:szCs w:val="20"/>
        </w:rPr>
      </w:pPr>
    </w:p>
    <w:p w:rsidR="00FD378B" w:rsidRDefault="00FD378B" w:rsidP="00FD378B">
      <w:pPr>
        <w:ind w:right="140"/>
        <w:jc w:val="both"/>
        <w:rPr>
          <w:rFonts w:ascii="Arial" w:hAnsi="Arial" w:cs="Arial"/>
          <w:b/>
          <w:bCs/>
          <w:sz w:val="20"/>
          <w:szCs w:val="20"/>
        </w:rPr>
      </w:pPr>
      <w:r>
        <w:rPr>
          <w:rFonts w:ascii="Arial" w:hAnsi="Arial" w:cs="Arial"/>
          <w:b/>
          <w:bCs/>
          <w:sz w:val="20"/>
          <w:szCs w:val="20"/>
        </w:rPr>
        <w:t xml:space="preserve">4. Termini de resolució i notificació </w:t>
      </w:r>
    </w:p>
    <w:p w:rsidR="00FD378B" w:rsidRDefault="00FD378B" w:rsidP="00FD378B">
      <w:pPr>
        <w:autoSpaceDE w:val="0"/>
        <w:ind w:right="140"/>
        <w:jc w:val="both"/>
        <w:rPr>
          <w:rFonts w:ascii="Arial" w:hAnsi="Arial" w:cs="Arial"/>
          <w:b/>
          <w:sz w:val="20"/>
          <w:szCs w:val="20"/>
        </w:rPr>
      </w:pPr>
      <w:r>
        <w:rPr>
          <w:rFonts w:ascii="Arial" w:hAnsi="Arial" w:cs="Arial"/>
          <w:b/>
          <w:sz w:val="20"/>
          <w:szCs w:val="20"/>
        </w:rPr>
        <w:t>4.1. Termini de resolució</w:t>
      </w:r>
    </w:p>
    <w:p w:rsidR="00FD378B" w:rsidRDefault="00FD378B" w:rsidP="00FD378B">
      <w:pPr>
        <w:autoSpaceDE w:val="0"/>
        <w:ind w:right="140"/>
        <w:jc w:val="both"/>
        <w:rPr>
          <w:rFonts w:ascii="Arial" w:eastAsia="Arial" w:hAnsi="Arial" w:cs="Arial"/>
          <w:bCs/>
          <w:sz w:val="20"/>
          <w:szCs w:val="20"/>
        </w:rPr>
      </w:pPr>
      <w:r>
        <w:rPr>
          <w:rFonts w:ascii="Arial" w:hAnsi="Arial" w:cs="Arial"/>
          <w:sz w:val="20"/>
          <w:szCs w:val="20"/>
        </w:rPr>
        <w:t>El termini per resoldre la convocatòria</w:t>
      </w:r>
      <w:r>
        <w:rPr>
          <w:rFonts w:ascii="Arial" w:eastAsia="Arial" w:hAnsi="Arial" w:cs="Arial"/>
          <w:sz w:val="20"/>
          <w:szCs w:val="20"/>
        </w:rPr>
        <w:t xml:space="preserve"> </w:t>
      </w:r>
      <w:r>
        <w:rPr>
          <w:rFonts w:ascii="Arial" w:eastAsia="Arial" w:hAnsi="Arial" w:cs="Arial"/>
          <w:bCs/>
          <w:sz w:val="20"/>
          <w:szCs w:val="20"/>
        </w:rPr>
        <w:t>és el que determinen les bases. Una vegada transcorregut el termini sense que s’hagi adoptat una resolució, els sol·licitants podran entendre desestimades les seves sol·licituds per silenci administratiu.</w:t>
      </w:r>
    </w:p>
    <w:p w:rsidR="00FD378B" w:rsidRDefault="00FD378B" w:rsidP="00FD378B">
      <w:pPr>
        <w:autoSpaceDE w:val="0"/>
        <w:ind w:right="140"/>
        <w:jc w:val="both"/>
        <w:rPr>
          <w:rFonts w:ascii="Arial" w:eastAsia="Arial" w:hAnsi="Arial" w:cs="Arial"/>
          <w:b/>
          <w:bCs/>
          <w:sz w:val="20"/>
          <w:szCs w:val="20"/>
        </w:rPr>
      </w:pPr>
      <w:r>
        <w:rPr>
          <w:rFonts w:ascii="Arial" w:eastAsia="Arial" w:hAnsi="Arial" w:cs="Arial"/>
          <w:b/>
          <w:bCs/>
          <w:sz w:val="20"/>
          <w:szCs w:val="20"/>
        </w:rPr>
        <w:t>4.2. Termini de notificació</w:t>
      </w:r>
    </w:p>
    <w:p w:rsidR="00FD378B" w:rsidRDefault="00FD378B" w:rsidP="00FD378B">
      <w:pPr>
        <w:autoSpaceDE w:val="0"/>
        <w:ind w:right="140"/>
        <w:jc w:val="both"/>
        <w:rPr>
          <w:rFonts w:ascii="Arial" w:eastAsia="Arial" w:hAnsi="Arial" w:cs="Arial"/>
          <w:sz w:val="20"/>
          <w:szCs w:val="20"/>
        </w:rPr>
      </w:pPr>
      <w:r>
        <w:rPr>
          <w:rFonts w:ascii="Arial" w:eastAsia="Arial" w:hAnsi="Arial" w:cs="Arial"/>
          <w:sz w:val="20"/>
          <w:szCs w:val="20"/>
        </w:rPr>
        <w:t xml:space="preserve">Es notificarà la resolució a tots els beneficiaris de manera individualitzada, tal com estableix l’article 41.1 de la Llei 39/2015, d’1 d’octubre, del procediment administratiu comú de les administracions públiques, i també als peticionaris la sol·licitud dels quals hagi estat desestimada, en el termini màxim de deu dies hàbils, a comptar de la data en què s’adopti l’acord. </w:t>
      </w:r>
    </w:p>
    <w:p w:rsidR="00FD378B" w:rsidRDefault="00FD378B" w:rsidP="00FD378B">
      <w:pPr>
        <w:ind w:right="140"/>
        <w:jc w:val="both"/>
        <w:rPr>
          <w:rFonts w:ascii="Arial" w:hAnsi="Arial" w:cs="Arial"/>
          <w:sz w:val="20"/>
          <w:szCs w:val="20"/>
        </w:rPr>
      </w:pPr>
    </w:p>
    <w:p w:rsidR="00FD378B" w:rsidRDefault="00FD378B" w:rsidP="00FD378B">
      <w:pPr>
        <w:ind w:right="140"/>
        <w:jc w:val="both"/>
        <w:rPr>
          <w:rFonts w:ascii="Arial" w:hAnsi="Arial" w:cs="Arial"/>
          <w:b/>
          <w:bCs/>
          <w:sz w:val="20"/>
          <w:szCs w:val="20"/>
        </w:rPr>
      </w:pPr>
      <w:r>
        <w:rPr>
          <w:rFonts w:ascii="Arial" w:hAnsi="Arial" w:cs="Arial"/>
          <w:b/>
          <w:bCs/>
          <w:sz w:val="20"/>
          <w:szCs w:val="20"/>
        </w:rPr>
        <w:t>5. Règim de recursos</w:t>
      </w:r>
    </w:p>
    <w:p w:rsidR="00FD378B" w:rsidRDefault="00FD378B" w:rsidP="00FD378B">
      <w:pPr>
        <w:ind w:right="140"/>
        <w:jc w:val="both"/>
        <w:rPr>
          <w:rFonts w:ascii="Arial" w:hAnsi="Arial" w:cs="Arial"/>
          <w:sz w:val="20"/>
          <w:szCs w:val="20"/>
        </w:rPr>
      </w:pPr>
      <w:r>
        <w:rPr>
          <w:rFonts w:ascii="Arial" w:hAnsi="Arial" w:cs="Arial"/>
          <w:sz w:val="20"/>
          <w:szCs w:val="20"/>
        </w:rPr>
        <w:t xml:space="preserve">La resolució de la convocatòria posa fi a la via administrativa. Contra aquesta resolució escau interposar un recurs contenciós administratiu davant del jutjat contenciós administratiu de Girona, en el termini de dos mesos a comptar de l’endemà de la notificació. Alternativament, i de forma potestativa, s’hi pot interposar un recurs de reposició davant de la Junta de Govern de la Diputació de Girona, en el termini d’un mes a comptar de l’endemà de la notificació. </w:t>
      </w:r>
    </w:p>
    <w:p w:rsidR="00FD378B" w:rsidRDefault="00FD378B" w:rsidP="00FD378B">
      <w:pPr>
        <w:ind w:right="140"/>
        <w:jc w:val="both"/>
        <w:rPr>
          <w:rFonts w:ascii="Arial" w:hAnsi="Arial" w:cs="Arial"/>
          <w:b/>
          <w:bCs/>
          <w:sz w:val="20"/>
          <w:szCs w:val="20"/>
        </w:rPr>
      </w:pPr>
    </w:p>
    <w:p w:rsidR="00FD378B" w:rsidRDefault="00FD378B" w:rsidP="00FD378B">
      <w:pPr>
        <w:ind w:right="140"/>
        <w:jc w:val="both"/>
        <w:rPr>
          <w:rFonts w:ascii="Arial" w:hAnsi="Arial" w:cs="Arial"/>
          <w:b/>
          <w:bCs/>
          <w:sz w:val="20"/>
          <w:szCs w:val="20"/>
        </w:rPr>
      </w:pPr>
      <w:r>
        <w:rPr>
          <w:rFonts w:ascii="Arial" w:hAnsi="Arial" w:cs="Arial"/>
          <w:b/>
          <w:bCs/>
          <w:sz w:val="20"/>
          <w:szCs w:val="20"/>
        </w:rPr>
        <w:t>6. Publicitat</w:t>
      </w:r>
    </w:p>
    <w:p w:rsidR="00FD378B" w:rsidRDefault="00FD378B" w:rsidP="00FD378B">
      <w:pPr>
        <w:ind w:right="140"/>
        <w:jc w:val="both"/>
        <w:rPr>
          <w:rFonts w:ascii="Arial" w:hAnsi="Arial" w:cs="Arial"/>
          <w:sz w:val="20"/>
          <w:szCs w:val="20"/>
        </w:rPr>
      </w:pPr>
      <w:r>
        <w:rPr>
          <w:rFonts w:ascii="Arial" w:hAnsi="Arial" w:cs="Arial"/>
          <w:sz w:val="20"/>
          <w:szCs w:val="20"/>
        </w:rPr>
        <w:t xml:space="preserve">Aquesta convocatòria es publicarà al tauler electrònic d’anuncis de la Diputació i al web, i, d’acord amb el que estableix l’article 17.3 </w:t>
      </w:r>
      <w:r>
        <w:rPr>
          <w:rFonts w:ascii="Arial" w:hAnsi="Arial" w:cs="Arial"/>
          <w:i/>
          <w:sz w:val="20"/>
          <w:szCs w:val="20"/>
        </w:rPr>
        <w:t>b</w:t>
      </w:r>
      <w:r>
        <w:rPr>
          <w:rFonts w:ascii="Arial" w:hAnsi="Arial" w:cs="Arial"/>
          <w:sz w:val="20"/>
          <w:szCs w:val="20"/>
        </w:rPr>
        <w:t xml:space="preserve"> de la Llei 38/2003, general de subvencions, se’n publicarà l’extracte al BOPG.</w:t>
      </w:r>
    </w:p>
    <w:p w:rsidR="00ED1436" w:rsidRPr="00D41370" w:rsidRDefault="00ED1436" w:rsidP="00ED1436">
      <w:pPr>
        <w:spacing w:after="0" w:line="240" w:lineRule="auto"/>
        <w:ind w:right="851"/>
        <w:jc w:val="both"/>
        <w:rPr>
          <w:rFonts w:ascii="Arial" w:eastAsia="Times New Roman" w:hAnsi="Arial" w:cs="Times New Roman"/>
          <w:sz w:val="20"/>
          <w:szCs w:val="20"/>
          <w:lang w:eastAsia="ca-ES"/>
        </w:rPr>
      </w:pPr>
    </w:p>
    <w:p w:rsidR="00ED1436" w:rsidRDefault="00ED1436" w:rsidP="00ED1436">
      <w:pPr>
        <w:jc w:val="both"/>
        <w:rPr>
          <w:rFonts w:ascii="Arial" w:hAnsi="Arial" w:cs="Arial"/>
        </w:rPr>
      </w:pPr>
    </w:p>
    <w:p w:rsidR="00CF4DB7" w:rsidRPr="00CF4DB7" w:rsidRDefault="00CF4DB7" w:rsidP="00CF4DB7">
      <w:pPr>
        <w:pStyle w:val="Default"/>
        <w:rPr>
          <w:sz w:val="22"/>
          <w:szCs w:val="22"/>
        </w:rPr>
      </w:pPr>
      <w:r w:rsidRPr="00CF4DB7">
        <w:rPr>
          <w:sz w:val="22"/>
          <w:szCs w:val="22"/>
        </w:rPr>
        <w:t xml:space="preserve">Girona, data de la signatura </w:t>
      </w:r>
      <w:proofErr w:type="spellStart"/>
      <w:r w:rsidRPr="00CF4DB7">
        <w:rPr>
          <w:sz w:val="22"/>
          <w:szCs w:val="22"/>
        </w:rPr>
        <w:t>electrònica</w:t>
      </w:r>
      <w:proofErr w:type="spellEnd"/>
      <w:r w:rsidRPr="00CF4DB7">
        <w:rPr>
          <w:sz w:val="22"/>
          <w:szCs w:val="22"/>
        </w:rPr>
        <w:t xml:space="preserve"> </w:t>
      </w:r>
    </w:p>
    <w:p w:rsidR="00CF4DB7" w:rsidRPr="00CF4DB7" w:rsidRDefault="00CF4DB7" w:rsidP="00CF4DB7">
      <w:pPr>
        <w:pStyle w:val="Default"/>
        <w:rPr>
          <w:sz w:val="22"/>
          <w:szCs w:val="22"/>
        </w:rPr>
      </w:pPr>
    </w:p>
    <w:p w:rsidR="00CF4DB7" w:rsidRDefault="00CF4DB7" w:rsidP="00CF4DB7">
      <w:pPr>
        <w:pStyle w:val="Default"/>
        <w:rPr>
          <w:sz w:val="22"/>
          <w:szCs w:val="22"/>
        </w:rPr>
      </w:pPr>
    </w:p>
    <w:p w:rsidR="00CF4DB7" w:rsidRPr="00CF4DB7" w:rsidRDefault="00CF4DB7" w:rsidP="00CF4DB7">
      <w:pPr>
        <w:pStyle w:val="Default"/>
        <w:rPr>
          <w:sz w:val="22"/>
          <w:szCs w:val="22"/>
        </w:rPr>
      </w:pPr>
      <w:r w:rsidRPr="00CF4DB7">
        <w:rPr>
          <w:sz w:val="22"/>
          <w:szCs w:val="22"/>
        </w:rPr>
        <w:t xml:space="preserve">Miquel </w:t>
      </w:r>
      <w:proofErr w:type="spellStart"/>
      <w:r w:rsidRPr="00CF4DB7">
        <w:rPr>
          <w:sz w:val="22"/>
          <w:szCs w:val="22"/>
        </w:rPr>
        <w:t>Noguer</w:t>
      </w:r>
      <w:proofErr w:type="spellEnd"/>
      <w:r w:rsidRPr="00CF4DB7">
        <w:rPr>
          <w:sz w:val="22"/>
          <w:szCs w:val="22"/>
        </w:rPr>
        <w:t xml:space="preserve"> i Planas </w:t>
      </w:r>
    </w:p>
    <w:p w:rsidR="00CB2A0F" w:rsidRPr="00CF4DB7" w:rsidRDefault="00CF4DB7" w:rsidP="00CF4DB7">
      <w:pPr>
        <w:jc w:val="both"/>
        <w:rPr>
          <w:rFonts w:ascii="Arial" w:hAnsi="Arial" w:cs="Arial"/>
        </w:rPr>
      </w:pPr>
      <w:r w:rsidRPr="00CF4DB7">
        <w:rPr>
          <w:rFonts w:ascii="Arial" w:hAnsi="Arial" w:cs="Arial"/>
        </w:rPr>
        <w:t>President</w:t>
      </w:r>
    </w:p>
    <w:sectPr w:rsidR="00CB2A0F" w:rsidRPr="00CF4DB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77E66"/>
    <w:multiLevelType w:val="hybridMultilevel"/>
    <w:tmpl w:val="AD76301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714"/>
    <w:rsid w:val="00133D44"/>
    <w:rsid w:val="004027A6"/>
    <w:rsid w:val="00412714"/>
    <w:rsid w:val="00CB2A0F"/>
    <w:rsid w:val="00CF4DB7"/>
    <w:rsid w:val="00D858F0"/>
    <w:rsid w:val="00ED1436"/>
    <w:rsid w:val="00FD378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E3A26"/>
  <w15:chartTrackingRefBased/>
  <w15:docId w15:val="{E870FD0D-CFDE-4248-915B-D9D00AF43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Tipusdelletraperdefectedelpargraf"/>
    <w:uiPriority w:val="99"/>
    <w:unhideWhenUsed/>
    <w:rsid w:val="00ED1436"/>
    <w:rPr>
      <w:color w:val="0563C1" w:themeColor="hyperlink"/>
      <w:u w:val="single"/>
    </w:rPr>
  </w:style>
  <w:style w:type="paragraph" w:customStyle="1" w:styleId="Default">
    <w:name w:val="Default"/>
    <w:rsid w:val="00CF4DB7"/>
    <w:pPr>
      <w:autoSpaceDE w:val="0"/>
      <w:autoSpaceDN w:val="0"/>
      <w:adjustRightInd w:val="0"/>
      <w:spacing w:after="0" w:line="240" w:lineRule="auto"/>
    </w:pPr>
    <w:rPr>
      <w:rFonts w:ascii="Arial" w:hAnsi="Arial" w:cs="Arial"/>
      <w:color w:val="000000"/>
      <w:sz w:val="24"/>
      <w:szCs w:val="24"/>
      <w:lang w:val="es-ES"/>
    </w:rPr>
  </w:style>
  <w:style w:type="table" w:styleId="Taulaambquadrcula">
    <w:name w:val="Table Grid"/>
    <w:basedOn w:val="Taulanormal"/>
    <w:uiPriority w:val="39"/>
    <w:rsid w:val="00FD378B"/>
    <w:pPr>
      <w:spacing w:after="0" w:line="240" w:lineRule="auto"/>
    </w:pPr>
    <w:rPr>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852</Words>
  <Characters>4688</Characters>
  <Application>Microsoft Office Word</Application>
  <DocSecurity>0</DocSecurity>
  <Lines>39</Lines>
  <Paragraphs>11</Paragraphs>
  <ScaleCrop>false</ScaleCrop>
  <Company>Diputació de Girona</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Díaz Plaza</dc:creator>
  <cp:keywords/>
  <dc:description/>
  <cp:lastModifiedBy>Yanira Díaz Plaza</cp:lastModifiedBy>
  <cp:revision>7</cp:revision>
  <dcterms:created xsi:type="dcterms:W3CDTF">2024-05-20T10:40:00Z</dcterms:created>
  <dcterms:modified xsi:type="dcterms:W3CDTF">2024-06-19T07:49:00Z</dcterms:modified>
</cp:coreProperties>
</file>