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436" w:rsidRPr="004E7E69" w:rsidRDefault="004E7E69" w:rsidP="00ED1436">
      <w:pPr>
        <w:jc w:val="both"/>
        <w:rPr>
          <w:rFonts w:ascii="Arial" w:hAnsi="Arial" w:cs="Arial"/>
          <w:b/>
          <w:lang w:val="es-ES"/>
        </w:rPr>
      </w:pPr>
      <w:r w:rsidRPr="004E7E69">
        <w:rPr>
          <w:rFonts w:ascii="Arial" w:hAnsi="Arial" w:cs="Arial"/>
          <w:b/>
          <w:lang w:val="es-ES"/>
        </w:rPr>
        <w:t>Extracto del acuerdo de Junta de Gobierno de la</w:t>
      </w:r>
      <w:r w:rsidR="00ED1436" w:rsidRPr="004E7E69">
        <w:rPr>
          <w:rFonts w:ascii="Arial" w:hAnsi="Arial" w:cs="Arial"/>
          <w:b/>
          <w:lang w:val="es-ES"/>
        </w:rPr>
        <w:t xml:space="preserve"> </w:t>
      </w:r>
      <w:proofErr w:type="spellStart"/>
      <w:r w:rsidRPr="004E7E69">
        <w:rPr>
          <w:rFonts w:ascii="Arial" w:hAnsi="Arial" w:cs="Arial"/>
          <w:b/>
          <w:lang w:val="es-ES"/>
        </w:rPr>
        <w:t>Diputació</w:t>
      </w:r>
      <w:proofErr w:type="spellEnd"/>
      <w:r w:rsidRPr="004E7E69">
        <w:rPr>
          <w:rFonts w:ascii="Arial" w:hAnsi="Arial" w:cs="Arial"/>
          <w:b/>
          <w:lang w:val="es-ES"/>
        </w:rPr>
        <w:t xml:space="preserve"> de Girona en la sesión</w:t>
      </w:r>
      <w:r w:rsidR="00ED1436" w:rsidRPr="004E7E69">
        <w:rPr>
          <w:rFonts w:ascii="Arial" w:hAnsi="Arial" w:cs="Arial"/>
          <w:b/>
          <w:lang w:val="es-ES"/>
        </w:rPr>
        <w:t xml:space="preserve"> de</w:t>
      </w:r>
      <w:r w:rsidRPr="004E7E69">
        <w:rPr>
          <w:rFonts w:ascii="Arial" w:hAnsi="Arial" w:cs="Arial"/>
          <w:b/>
          <w:lang w:val="es-ES"/>
        </w:rPr>
        <w:t>l</w:t>
      </w:r>
      <w:r w:rsidR="00D858F0" w:rsidRPr="004E7E69">
        <w:rPr>
          <w:rFonts w:ascii="Arial" w:hAnsi="Arial" w:cs="Arial"/>
          <w:b/>
          <w:lang w:val="es-ES"/>
        </w:rPr>
        <w:t xml:space="preserve"> </w:t>
      </w:r>
      <w:r w:rsidR="00FD378B" w:rsidRPr="004E7E69">
        <w:rPr>
          <w:rFonts w:ascii="Arial" w:hAnsi="Arial" w:cs="Arial"/>
          <w:b/>
          <w:lang w:val="es-ES"/>
        </w:rPr>
        <w:t>18</w:t>
      </w:r>
      <w:r w:rsidRPr="004E7E69">
        <w:rPr>
          <w:rFonts w:ascii="Arial" w:hAnsi="Arial" w:cs="Arial"/>
          <w:b/>
          <w:lang w:val="es-ES"/>
        </w:rPr>
        <w:t xml:space="preserve"> de junio</w:t>
      </w:r>
      <w:r w:rsidR="00D858F0" w:rsidRPr="004E7E69">
        <w:rPr>
          <w:rFonts w:ascii="Arial" w:hAnsi="Arial" w:cs="Arial"/>
          <w:b/>
          <w:lang w:val="es-ES"/>
        </w:rPr>
        <w:t xml:space="preserve"> de</w:t>
      </w:r>
      <w:r w:rsidRPr="004E7E69">
        <w:rPr>
          <w:rFonts w:ascii="Arial" w:hAnsi="Arial" w:cs="Arial"/>
          <w:b/>
          <w:lang w:val="es-ES"/>
        </w:rPr>
        <w:t>l</w:t>
      </w:r>
      <w:r w:rsidR="00D858F0" w:rsidRPr="004E7E69">
        <w:rPr>
          <w:rFonts w:ascii="Arial" w:hAnsi="Arial" w:cs="Arial"/>
          <w:b/>
          <w:lang w:val="es-ES"/>
        </w:rPr>
        <w:t xml:space="preserve"> 2024</w:t>
      </w:r>
      <w:r w:rsidRPr="004E7E69">
        <w:rPr>
          <w:rFonts w:ascii="Arial" w:hAnsi="Arial" w:cs="Arial"/>
          <w:b/>
          <w:lang w:val="es-ES"/>
        </w:rPr>
        <w:t>, de la convocato</w:t>
      </w:r>
      <w:r w:rsidR="00ED1436" w:rsidRPr="004E7E69">
        <w:rPr>
          <w:rFonts w:ascii="Arial" w:hAnsi="Arial" w:cs="Arial"/>
          <w:b/>
          <w:lang w:val="es-ES"/>
        </w:rPr>
        <w:t>ria de subvencion</w:t>
      </w:r>
      <w:r w:rsidRPr="004E7E69">
        <w:rPr>
          <w:rFonts w:ascii="Arial" w:hAnsi="Arial" w:cs="Arial"/>
          <w:b/>
          <w:lang w:val="es-ES"/>
        </w:rPr>
        <w:t>es par</w:t>
      </w:r>
      <w:r w:rsidR="00ED1436" w:rsidRPr="004E7E69">
        <w:rPr>
          <w:rFonts w:ascii="Arial" w:hAnsi="Arial" w:cs="Arial"/>
          <w:b/>
          <w:lang w:val="es-ES"/>
        </w:rPr>
        <w:t xml:space="preserve">a </w:t>
      </w:r>
      <w:r w:rsidRPr="004E7E69">
        <w:rPr>
          <w:rFonts w:ascii="Arial" w:hAnsi="Arial" w:cs="Arial"/>
          <w:b/>
          <w:lang w:val="es-ES"/>
        </w:rPr>
        <w:t xml:space="preserve">la </w:t>
      </w:r>
      <w:r w:rsidR="00FD378B" w:rsidRPr="004E7E69">
        <w:rPr>
          <w:rFonts w:ascii="Arial" w:hAnsi="Arial" w:cs="Arial"/>
          <w:b/>
          <w:lang w:val="es-ES"/>
        </w:rPr>
        <w:t>adquisició</w:t>
      </w:r>
      <w:r w:rsidRPr="004E7E69">
        <w:rPr>
          <w:rFonts w:ascii="Arial" w:hAnsi="Arial" w:cs="Arial"/>
          <w:b/>
          <w:lang w:val="es-ES"/>
        </w:rPr>
        <w:t xml:space="preserve">n de </w:t>
      </w:r>
      <w:r w:rsidR="00FD378B" w:rsidRPr="004E7E69">
        <w:rPr>
          <w:rFonts w:ascii="Arial" w:hAnsi="Arial" w:cs="Arial"/>
          <w:b/>
          <w:lang w:val="es-ES"/>
        </w:rPr>
        <w:t>equip</w:t>
      </w:r>
      <w:r w:rsidRPr="004E7E69">
        <w:rPr>
          <w:rFonts w:ascii="Arial" w:hAnsi="Arial" w:cs="Arial"/>
          <w:b/>
          <w:lang w:val="es-ES"/>
        </w:rPr>
        <w:t>os con tecnología RFID par</w:t>
      </w:r>
      <w:r w:rsidR="00FD378B" w:rsidRPr="004E7E69">
        <w:rPr>
          <w:rFonts w:ascii="Arial" w:hAnsi="Arial" w:cs="Arial"/>
          <w:b/>
          <w:lang w:val="es-ES"/>
        </w:rPr>
        <w:t>a la gestió</w:t>
      </w:r>
      <w:r w:rsidRPr="004E7E69">
        <w:rPr>
          <w:rFonts w:ascii="Arial" w:hAnsi="Arial" w:cs="Arial"/>
          <w:b/>
          <w:lang w:val="es-ES"/>
        </w:rPr>
        <w:t>n de las bibliotecas públicas del año</w:t>
      </w:r>
      <w:r w:rsidR="00ED1436" w:rsidRPr="004E7E69">
        <w:rPr>
          <w:rFonts w:ascii="Arial" w:hAnsi="Arial" w:cs="Arial"/>
          <w:b/>
          <w:lang w:val="es-ES"/>
        </w:rPr>
        <w:t xml:space="preserve"> 2024 </w:t>
      </w:r>
    </w:p>
    <w:p w:rsidR="00ED1436" w:rsidRPr="004E7E69" w:rsidRDefault="00ED1436" w:rsidP="00ED1436">
      <w:pPr>
        <w:jc w:val="both"/>
        <w:rPr>
          <w:rFonts w:ascii="Arial" w:hAnsi="Arial" w:cs="Arial"/>
          <w:lang w:val="es-ES"/>
        </w:rPr>
      </w:pPr>
    </w:p>
    <w:p w:rsidR="00133D44" w:rsidRPr="004E7E69" w:rsidRDefault="00ED1436" w:rsidP="00ED1436">
      <w:pPr>
        <w:jc w:val="both"/>
        <w:rPr>
          <w:rFonts w:ascii="Arial" w:hAnsi="Arial" w:cs="Arial"/>
          <w:lang w:val="es-ES"/>
        </w:rPr>
      </w:pPr>
      <w:r w:rsidRPr="004E7E69">
        <w:rPr>
          <w:rFonts w:ascii="Arial" w:hAnsi="Arial" w:cs="Arial"/>
          <w:lang w:val="es-ES"/>
        </w:rPr>
        <w:t xml:space="preserve">De </w:t>
      </w:r>
      <w:r w:rsidR="004E7E69" w:rsidRPr="004E7E69">
        <w:rPr>
          <w:rFonts w:ascii="Arial" w:hAnsi="Arial" w:cs="Arial"/>
          <w:lang w:val="es-ES"/>
        </w:rPr>
        <w:t>confo</w:t>
      </w:r>
      <w:r w:rsidR="004E7E69">
        <w:rPr>
          <w:rFonts w:ascii="Arial" w:hAnsi="Arial" w:cs="Arial"/>
          <w:lang w:val="es-ES"/>
        </w:rPr>
        <w:t>rmidad con lo que prevé</w:t>
      </w:r>
      <w:r w:rsidR="004E7E69" w:rsidRPr="004E7E69">
        <w:rPr>
          <w:rFonts w:ascii="Arial" w:hAnsi="Arial" w:cs="Arial"/>
          <w:lang w:val="es-ES"/>
        </w:rPr>
        <w:t>n los artículos 17.3.b y 20.8.a de la Ley</w:t>
      </w:r>
      <w:r w:rsidRPr="004E7E69">
        <w:rPr>
          <w:rFonts w:ascii="Arial" w:hAnsi="Arial" w:cs="Arial"/>
          <w:lang w:val="es-ES"/>
        </w:rPr>
        <w:t xml:space="preserve"> 38/2003, de</w:t>
      </w:r>
      <w:r w:rsidR="004E7E69" w:rsidRPr="004E7E69">
        <w:rPr>
          <w:rFonts w:ascii="Arial" w:hAnsi="Arial" w:cs="Arial"/>
          <w:lang w:val="es-ES"/>
        </w:rPr>
        <w:t>l</w:t>
      </w:r>
      <w:r w:rsidRPr="004E7E69">
        <w:rPr>
          <w:rFonts w:ascii="Arial" w:hAnsi="Arial" w:cs="Arial"/>
          <w:lang w:val="es-ES"/>
        </w:rPr>
        <w:t xml:space="preserve"> 17 de nov</w:t>
      </w:r>
      <w:r w:rsidR="004E7E69" w:rsidRPr="004E7E69">
        <w:rPr>
          <w:rFonts w:ascii="Arial" w:hAnsi="Arial" w:cs="Arial"/>
          <w:lang w:val="es-ES"/>
        </w:rPr>
        <w:t>i</w:t>
      </w:r>
      <w:r w:rsidRPr="004E7E69">
        <w:rPr>
          <w:rFonts w:ascii="Arial" w:hAnsi="Arial" w:cs="Arial"/>
          <w:lang w:val="es-ES"/>
        </w:rPr>
        <w:t>embre, general de subvencion</w:t>
      </w:r>
      <w:r w:rsidR="004E7E69" w:rsidRPr="004E7E69">
        <w:rPr>
          <w:rFonts w:ascii="Arial" w:hAnsi="Arial" w:cs="Arial"/>
          <w:lang w:val="es-ES"/>
        </w:rPr>
        <w:t>es, se publica el extracto de la convocato</w:t>
      </w:r>
      <w:r w:rsidRPr="004E7E69">
        <w:rPr>
          <w:rFonts w:ascii="Arial" w:hAnsi="Arial" w:cs="Arial"/>
          <w:lang w:val="es-ES"/>
        </w:rPr>
        <w:t>ria el text</w:t>
      </w:r>
      <w:r w:rsidR="004E7E69" w:rsidRPr="004E7E69">
        <w:rPr>
          <w:rFonts w:ascii="Arial" w:hAnsi="Arial" w:cs="Arial"/>
          <w:lang w:val="es-ES"/>
        </w:rPr>
        <w:t>o</w:t>
      </w:r>
      <w:r w:rsidRPr="004E7E69">
        <w:rPr>
          <w:rFonts w:ascii="Arial" w:hAnsi="Arial" w:cs="Arial"/>
          <w:lang w:val="es-ES"/>
        </w:rPr>
        <w:t xml:space="preserve"> complet</w:t>
      </w:r>
      <w:r w:rsidR="004E7E69" w:rsidRPr="004E7E69">
        <w:rPr>
          <w:rFonts w:ascii="Arial" w:hAnsi="Arial" w:cs="Arial"/>
          <w:lang w:val="es-ES"/>
        </w:rPr>
        <w:t>o de la cual se puede consultar en la Base de Datos</w:t>
      </w:r>
      <w:r w:rsidRPr="004E7E69">
        <w:rPr>
          <w:rFonts w:ascii="Arial" w:hAnsi="Arial" w:cs="Arial"/>
          <w:lang w:val="es-ES"/>
        </w:rPr>
        <w:t xml:space="preserve"> Nacional de Subvencion</w:t>
      </w:r>
      <w:r w:rsidR="004E7E69" w:rsidRPr="004E7E69">
        <w:rPr>
          <w:rFonts w:ascii="Arial" w:hAnsi="Arial" w:cs="Arial"/>
          <w:lang w:val="es-ES"/>
        </w:rPr>
        <w:t>e</w:t>
      </w:r>
      <w:r w:rsidRPr="004E7E69">
        <w:rPr>
          <w:rFonts w:ascii="Arial" w:hAnsi="Arial" w:cs="Arial"/>
          <w:lang w:val="es-ES"/>
        </w:rPr>
        <w:t>s:</w:t>
      </w:r>
    </w:p>
    <w:p w:rsidR="00ED1436" w:rsidRPr="004E7E69" w:rsidRDefault="00ED1436" w:rsidP="00ED1436">
      <w:pPr>
        <w:jc w:val="both"/>
        <w:rPr>
          <w:rFonts w:ascii="Arial" w:hAnsi="Arial" w:cs="Arial"/>
          <w:lang w:val="es-ES"/>
        </w:rPr>
      </w:pPr>
      <w:bookmarkStart w:id="0" w:name="_GoBack"/>
      <w:bookmarkEnd w:id="0"/>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1. Objeto y finalidad</w:t>
      </w:r>
    </w:p>
    <w:p w:rsidR="004E7E69" w:rsidRPr="004E7E69" w:rsidRDefault="004E7E69" w:rsidP="004E7E69">
      <w:pPr>
        <w:ind w:right="140"/>
        <w:jc w:val="both"/>
        <w:rPr>
          <w:rFonts w:ascii="Arial" w:hAnsi="Arial" w:cs="Arial"/>
          <w:i/>
          <w:sz w:val="20"/>
          <w:szCs w:val="20"/>
          <w:lang w:val="es-ES"/>
        </w:rPr>
      </w:pPr>
      <w:r w:rsidRPr="004E7E69">
        <w:rPr>
          <w:rFonts w:ascii="Arial" w:hAnsi="Arial" w:cs="Arial"/>
          <w:sz w:val="20"/>
          <w:szCs w:val="20"/>
          <w:lang w:val="es-ES"/>
        </w:rPr>
        <w:t xml:space="preserve">Subvenciones en régimen de concurrencia competitiva para ayuntamientos con bibliotecas integradas en el Sistema de Lectura Pública de Catalunya y que superen la última media anual de la demarcación publicada en cuanto a préstamos y usuarios activos por número de habitantes (1,65 préstamos por habitante y 0,11 usuarios activos por habitante en 2022), destinadas a la financiación de la adquisición de equipos de radiofrecuencia (RFID) para la gestión de las bibliotecas públicas, de acuerdo con las bases específicas reguladoras aprobadas por el Pleno de la </w:t>
      </w:r>
      <w:proofErr w:type="spellStart"/>
      <w:r w:rsidRPr="004E7E69">
        <w:rPr>
          <w:rFonts w:ascii="Arial" w:hAnsi="Arial" w:cs="Arial"/>
          <w:sz w:val="20"/>
          <w:szCs w:val="20"/>
          <w:lang w:val="es-ES"/>
        </w:rPr>
        <w:t>Diputació</w:t>
      </w:r>
      <w:proofErr w:type="spellEnd"/>
      <w:r w:rsidRPr="004E7E69">
        <w:rPr>
          <w:rFonts w:ascii="Arial" w:hAnsi="Arial" w:cs="Arial"/>
          <w:sz w:val="20"/>
          <w:szCs w:val="20"/>
          <w:lang w:val="es-ES"/>
        </w:rPr>
        <w:t xml:space="preserve"> en la sesión de 16 de abril de 2024 y publicadas en el </w:t>
      </w:r>
      <w:r w:rsidRPr="004E7E69">
        <w:rPr>
          <w:rFonts w:ascii="Arial" w:hAnsi="Arial" w:cs="Arial"/>
          <w:i/>
          <w:iCs/>
          <w:sz w:val="20"/>
          <w:szCs w:val="20"/>
          <w:lang w:val="es-ES"/>
        </w:rPr>
        <w:t>Boletín Oficial de la Provincia de Girona</w:t>
      </w:r>
      <w:r w:rsidRPr="004E7E69">
        <w:rPr>
          <w:rFonts w:ascii="Arial" w:hAnsi="Arial" w:cs="Arial"/>
          <w:sz w:val="20"/>
          <w:szCs w:val="20"/>
          <w:lang w:val="es-ES"/>
        </w:rPr>
        <w:t xml:space="preserve"> (BOPG) número 78, de fecha 22 de abril de 2024.</w:t>
      </w:r>
    </w:p>
    <w:p w:rsidR="004E7E69" w:rsidRPr="004E7E69" w:rsidRDefault="004E7E69" w:rsidP="004E7E69">
      <w:pPr>
        <w:numPr>
          <w:ilvl w:val="0"/>
          <w:numId w:val="1"/>
        </w:numPr>
        <w:spacing w:after="200" w:line="276" w:lineRule="auto"/>
        <w:ind w:left="284" w:right="140" w:hanging="284"/>
        <w:contextualSpacing/>
        <w:jc w:val="both"/>
        <w:rPr>
          <w:rFonts w:ascii="Arial" w:eastAsia="Calibri" w:hAnsi="Arial" w:cs="Arial"/>
          <w:b/>
          <w:bCs/>
          <w:sz w:val="20"/>
          <w:szCs w:val="20"/>
          <w:lang w:val="es-ES"/>
        </w:rPr>
      </w:pPr>
      <w:r w:rsidRPr="004E7E69">
        <w:rPr>
          <w:rFonts w:ascii="Arial" w:eastAsia="Calibri" w:hAnsi="Arial" w:cs="Arial"/>
          <w:b/>
          <w:bCs/>
          <w:sz w:val="20"/>
          <w:szCs w:val="20"/>
          <w:lang w:val="es-ES"/>
        </w:rPr>
        <w:t>Criterios de valoración</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sz w:val="20"/>
          <w:szCs w:val="20"/>
          <w:lang w:val="es-ES"/>
        </w:rPr>
        <w:t>Las solicitudes se evaluarán mediante la documentación presentada por las entidades peticionarias, de acuerdo con la puntuación que corresponda en función de los siguientes parámetros: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i/>
          <w:iCs/>
          <w:sz w:val="20"/>
          <w:szCs w:val="20"/>
          <w:lang w:val="es-ES"/>
        </w:rPr>
        <w:t>a</w:t>
      </w:r>
      <w:r w:rsidRPr="004E7E69">
        <w:rPr>
          <w:rFonts w:ascii="Arial" w:hAnsi="Arial" w:cs="Arial"/>
          <w:sz w:val="20"/>
          <w:szCs w:val="20"/>
          <w:lang w:val="es-ES"/>
        </w:rPr>
        <w:t>) Superación de la media anual provincial publicada de los indicadores de préstamo y usuarios activos por habitante (hasta 20 puntos)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sz w:val="20"/>
          <w:szCs w:val="20"/>
          <w:lang w:val="es-ES"/>
        </w:rPr>
        <w:t>Al porcentaje más alto en cada uno de los indicadores se le darán automáticamente 10 puntos. Para el resto de solicitudes se hará un reparto proporcional a partir de estos 10 puntos por cada uno de los conceptos.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i/>
          <w:iCs/>
          <w:sz w:val="20"/>
          <w:szCs w:val="20"/>
          <w:lang w:val="es-ES"/>
        </w:rPr>
        <w:t>b</w:t>
      </w:r>
      <w:r w:rsidRPr="004E7E69">
        <w:rPr>
          <w:rFonts w:ascii="Arial" w:hAnsi="Arial" w:cs="Arial"/>
          <w:sz w:val="20"/>
          <w:szCs w:val="20"/>
          <w:lang w:val="es-ES"/>
        </w:rPr>
        <w:t>) Porcentaje de propuesta de cofinanciación (hasta 10 puntos)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sz w:val="20"/>
          <w:szCs w:val="20"/>
          <w:lang w:val="es-ES"/>
        </w:rPr>
        <w:t>Al porcentaje más alto a cargo del presupuesto municipal dedicado al proyecto para el que se solicita la subvención, se le darán automáticamente 10 puntos. Para el resto de solicitudes se hará un reparto proporcional a partir de estos 10 puntos.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i/>
          <w:iCs/>
          <w:sz w:val="20"/>
          <w:szCs w:val="20"/>
          <w:lang w:val="es-ES"/>
        </w:rPr>
        <w:t>c</w:t>
      </w:r>
      <w:r w:rsidRPr="004E7E69">
        <w:rPr>
          <w:rFonts w:ascii="Arial" w:hAnsi="Arial" w:cs="Arial"/>
          <w:sz w:val="20"/>
          <w:szCs w:val="20"/>
          <w:lang w:val="es-ES"/>
        </w:rPr>
        <w:t>) Adecuación total del municipio a los parámetros del Mapa de la Lectura Pública en el momento de la solicitud (hasta 40 puntos)</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tbl>
      <w:tblPr>
        <w:tblStyle w:val="Taulaambquadrcula"/>
        <w:tblW w:w="0" w:type="auto"/>
        <w:tblInd w:w="1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3"/>
        <w:gridCol w:w="2880"/>
      </w:tblGrid>
      <w:tr w:rsidR="004E7E69" w:rsidRPr="004E7E69" w:rsidTr="004E7E69">
        <w:tc>
          <w:tcPr>
            <w:tcW w:w="3073"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Superficie</w:t>
            </w:r>
          </w:p>
        </w:tc>
        <w:tc>
          <w:tcPr>
            <w:tcW w:w="2880"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10 puntos</w:t>
            </w:r>
          </w:p>
        </w:tc>
      </w:tr>
      <w:tr w:rsidR="004E7E69" w:rsidRPr="004E7E69" w:rsidTr="004E7E69">
        <w:tc>
          <w:tcPr>
            <w:tcW w:w="3073"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Fondo</w:t>
            </w:r>
          </w:p>
        </w:tc>
        <w:tc>
          <w:tcPr>
            <w:tcW w:w="2880"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5 puntos</w:t>
            </w:r>
          </w:p>
        </w:tc>
      </w:tr>
      <w:tr w:rsidR="004E7E69" w:rsidRPr="004E7E69" w:rsidTr="004E7E69">
        <w:tc>
          <w:tcPr>
            <w:tcW w:w="3073"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Recursos humanos</w:t>
            </w:r>
          </w:p>
        </w:tc>
        <w:tc>
          <w:tcPr>
            <w:tcW w:w="2880"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15 puntos</w:t>
            </w:r>
          </w:p>
        </w:tc>
      </w:tr>
      <w:tr w:rsidR="004E7E69" w:rsidRPr="004E7E69" w:rsidTr="004E7E69">
        <w:tc>
          <w:tcPr>
            <w:tcW w:w="3073"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Horario</w:t>
            </w:r>
          </w:p>
        </w:tc>
        <w:tc>
          <w:tcPr>
            <w:tcW w:w="2880" w:type="dxa"/>
            <w:hideMark/>
          </w:tcPr>
          <w:p w:rsidR="004E7E69" w:rsidRPr="004E7E69" w:rsidRDefault="004E7E69" w:rsidP="001259D7">
            <w:pPr>
              <w:spacing w:after="200" w:line="276" w:lineRule="auto"/>
              <w:ind w:left="851" w:right="140"/>
              <w:mirrorIndents/>
              <w:jc w:val="both"/>
              <w:rPr>
                <w:rFonts w:ascii="Arial" w:eastAsia="Calibri" w:hAnsi="Arial" w:cs="Arial"/>
                <w:sz w:val="20"/>
                <w:szCs w:val="20"/>
              </w:rPr>
            </w:pPr>
            <w:r w:rsidRPr="004E7E69">
              <w:rPr>
                <w:rFonts w:ascii="Arial" w:eastAsia="Calibri" w:hAnsi="Arial" w:cs="Arial"/>
                <w:sz w:val="20"/>
                <w:szCs w:val="20"/>
              </w:rPr>
              <w:t>10 puntos</w:t>
            </w:r>
          </w:p>
        </w:tc>
      </w:tr>
    </w:tbl>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sz w:val="20"/>
          <w:szCs w:val="20"/>
          <w:lang w:val="es-ES"/>
        </w:rPr>
        <w:t>La adecuación al cien por cien de los mínimos que, por cada uno de los conceptos, establece el Mapa de la Lectura Pública obtendrá la máxima puntuación. El porcentaje de cumplimiento se traducirá en una puntuación proporcional en cada caso.</w:t>
      </w: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p>
    <w:p w:rsidR="004E7E69" w:rsidRPr="004E7E69" w:rsidRDefault="004E7E69" w:rsidP="004E7E69">
      <w:pPr>
        <w:autoSpaceDE w:val="0"/>
        <w:autoSpaceDN w:val="0"/>
        <w:adjustRightInd w:val="0"/>
        <w:spacing w:after="0" w:line="240" w:lineRule="auto"/>
        <w:ind w:right="140"/>
        <w:jc w:val="both"/>
        <w:rPr>
          <w:rFonts w:ascii="Arial" w:hAnsi="Arial" w:cs="Arial"/>
          <w:sz w:val="20"/>
          <w:szCs w:val="20"/>
          <w:lang w:val="es-ES"/>
        </w:rPr>
      </w:pPr>
      <w:r w:rsidRPr="004E7E69">
        <w:rPr>
          <w:rFonts w:ascii="Arial" w:hAnsi="Arial" w:cs="Arial"/>
          <w:i/>
          <w:iCs/>
          <w:sz w:val="20"/>
          <w:szCs w:val="20"/>
          <w:lang w:val="es-ES"/>
        </w:rPr>
        <w:t>d</w:t>
      </w:r>
      <w:r w:rsidRPr="004E7E69">
        <w:rPr>
          <w:rFonts w:ascii="Arial" w:hAnsi="Arial" w:cs="Arial"/>
          <w:sz w:val="20"/>
          <w:szCs w:val="20"/>
          <w:lang w:val="es-ES"/>
        </w:rPr>
        <w:t xml:space="preserve">) Concesión de subvenciones de la </w:t>
      </w:r>
      <w:proofErr w:type="spellStart"/>
      <w:r w:rsidRPr="004E7E69">
        <w:rPr>
          <w:rFonts w:ascii="Arial" w:hAnsi="Arial" w:cs="Arial"/>
          <w:sz w:val="20"/>
          <w:szCs w:val="20"/>
          <w:lang w:val="es-ES"/>
        </w:rPr>
        <w:t>Diputació</w:t>
      </w:r>
      <w:proofErr w:type="spellEnd"/>
      <w:r w:rsidRPr="004E7E69">
        <w:rPr>
          <w:rFonts w:ascii="Arial" w:hAnsi="Arial" w:cs="Arial"/>
          <w:sz w:val="20"/>
          <w:szCs w:val="20"/>
          <w:lang w:val="es-ES"/>
        </w:rPr>
        <w:t xml:space="preserve"> de Girona durante el año anterior (hasta 10 puntos)</w:t>
      </w:r>
    </w:p>
    <w:p w:rsidR="004E7E69" w:rsidRPr="004E7E69" w:rsidRDefault="004E7E69" w:rsidP="004E7E69">
      <w:pPr>
        <w:autoSpaceDE w:val="0"/>
        <w:autoSpaceDN w:val="0"/>
        <w:adjustRightInd w:val="0"/>
        <w:spacing w:after="0" w:line="240" w:lineRule="auto"/>
        <w:ind w:right="140"/>
        <w:jc w:val="both"/>
        <w:rPr>
          <w:rFonts w:ascii="Arial" w:eastAsia="Calibri" w:hAnsi="Arial" w:cs="Arial"/>
          <w:sz w:val="20"/>
          <w:szCs w:val="20"/>
          <w:lang w:val="es-ES"/>
        </w:rPr>
      </w:pPr>
    </w:p>
    <w:tbl>
      <w:tblPr>
        <w:tblpPr w:leftFromText="141" w:rightFromText="141" w:bottomFromText="160" w:vertAnchor="text" w:tblpX="841" w:tblpY="1"/>
        <w:tblOverlap w:val="never"/>
        <w:tblW w:w="4504" w:type="pct"/>
        <w:tblCellMar>
          <w:left w:w="0" w:type="dxa"/>
          <w:right w:w="0" w:type="dxa"/>
        </w:tblCellMar>
        <w:tblLook w:val="04A0" w:firstRow="1" w:lastRow="0" w:firstColumn="1" w:lastColumn="0" w:noHBand="0" w:noVBand="1"/>
      </w:tblPr>
      <w:tblGrid>
        <w:gridCol w:w="5529"/>
        <w:gridCol w:w="2131"/>
      </w:tblGrid>
      <w:tr w:rsidR="004E7E69" w:rsidRPr="004E7E69" w:rsidTr="004E7E69">
        <w:tc>
          <w:tcPr>
            <w:tcW w:w="3609" w:type="pct"/>
            <w:hideMark/>
          </w:tcPr>
          <w:p w:rsidR="004E7E69" w:rsidRPr="004E7E69" w:rsidRDefault="004E7E69" w:rsidP="001259D7">
            <w:pPr>
              <w:autoSpaceDE w:val="0"/>
              <w:autoSpaceDN w:val="0"/>
              <w:adjustRightInd w:val="0"/>
              <w:ind w:left="851" w:right="140"/>
              <w:jc w:val="both"/>
              <w:rPr>
                <w:rFonts w:ascii="Arial" w:eastAsia="SymbolMT" w:hAnsi="Arial" w:cs="Arial"/>
                <w:sz w:val="20"/>
                <w:szCs w:val="20"/>
                <w:lang w:val="es-ES"/>
              </w:rPr>
            </w:pPr>
            <w:r w:rsidRPr="004E7E69">
              <w:rPr>
                <w:rFonts w:ascii="Arial" w:eastAsia="SymbolMT" w:hAnsi="Arial" w:cs="Arial"/>
                <w:sz w:val="20"/>
                <w:szCs w:val="20"/>
                <w:lang w:val="es-ES"/>
              </w:rPr>
              <w:t>Se ha concedido alguna subvención y no se ha ejecutado</w:t>
            </w:r>
          </w:p>
        </w:tc>
        <w:tc>
          <w:tcPr>
            <w:tcW w:w="1391" w:type="pct"/>
            <w:hideMark/>
          </w:tcPr>
          <w:p w:rsidR="004E7E69" w:rsidRPr="004E7E69" w:rsidRDefault="004E7E69" w:rsidP="001259D7">
            <w:pPr>
              <w:autoSpaceDE w:val="0"/>
              <w:autoSpaceDN w:val="0"/>
              <w:adjustRightInd w:val="0"/>
              <w:ind w:left="851" w:right="140"/>
              <w:jc w:val="both"/>
              <w:rPr>
                <w:rFonts w:ascii="Arial" w:eastAsia="SymbolMT" w:hAnsi="Arial" w:cs="Arial"/>
                <w:sz w:val="20"/>
                <w:szCs w:val="20"/>
                <w:lang w:val="es-ES"/>
              </w:rPr>
            </w:pPr>
            <w:r w:rsidRPr="004E7E69">
              <w:rPr>
                <w:rFonts w:ascii="Arial" w:eastAsia="SymbolMT" w:hAnsi="Arial" w:cs="Arial"/>
                <w:sz w:val="20"/>
                <w:szCs w:val="20"/>
                <w:lang w:val="es-ES"/>
              </w:rPr>
              <w:t xml:space="preserve"> 0 puntos</w:t>
            </w:r>
          </w:p>
        </w:tc>
      </w:tr>
      <w:tr w:rsidR="004E7E69" w:rsidRPr="004E7E69" w:rsidTr="004E7E69">
        <w:tc>
          <w:tcPr>
            <w:tcW w:w="3609" w:type="pct"/>
            <w:hideMark/>
          </w:tcPr>
          <w:p w:rsidR="004E7E69" w:rsidRPr="004E7E69" w:rsidRDefault="004E7E69" w:rsidP="001259D7">
            <w:pPr>
              <w:autoSpaceDE w:val="0"/>
              <w:autoSpaceDN w:val="0"/>
              <w:adjustRightInd w:val="0"/>
              <w:ind w:left="851" w:right="140"/>
              <w:jc w:val="both"/>
              <w:rPr>
                <w:rFonts w:ascii="Arial" w:eastAsia="SymbolMT" w:hAnsi="Arial" w:cs="Arial"/>
                <w:sz w:val="20"/>
                <w:szCs w:val="20"/>
                <w:lang w:val="es-ES"/>
              </w:rPr>
            </w:pPr>
            <w:r w:rsidRPr="004E7E69">
              <w:rPr>
                <w:rFonts w:ascii="Arial" w:eastAsia="SymbolMT" w:hAnsi="Arial" w:cs="Arial"/>
                <w:sz w:val="20"/>
                <w:szCs w:val="20"/>
                <w:lang w:val="es-ES"/>
              </w:rPr>
              <w:t>Se ha concedido alguna subvención y se ha ejecutado satisfactoriamente</w:t>
            </w:r>
          </w:p>
        </w:tc>
        <w:tc>
          <w:tcPr>
            <w:tcW w:w="1391" w:type="pct"/>
            <w:hideMark/>
          </w:tcPr>
          <w:p w:rsidR="004E7E69" w:rsidRPr="004E7E69" w:rsidRDefault="004E7E69" w:rsidP="001259D7">
            <w:pPr>
              <w:autoSpaceDE w:val="0"/>
              <w:autoSpaceDN w:val="0"/>
              <w:adjustRightInd w:val="0"/>
              <w:ind w:left="851" w:right="140"/>
              <w:jc w:val="both"/>
              <w:rPr>
                <w:rFonts w:ascii="Arial" w:eastAsia="SymbolMT" w:hAnsi="Arial" w:cs="Arial"/>
                <w:sz w:val="20"/>
                <w:szCs w:val="20"/>
                <w:lang w:val="es-ES"/>
              </w:rPr>
            </w:pPr>
            <w:r w:rsidRPr="004E7E69">
              <w:rPr>
                <w:rFonts w:ascii="Arial" w:eastAsia="SymbolMT" w:hAnsi="Arial" w:cs="Arial"/>
                <w:sz w:val="20"/>
                <w:szCs w:val="20"/>
                <w:lang w:val="es-ES"/>
              </w:rPr>
              <w:t>10 puntos</w:t>
            </w:r>
          </w:p>
        </w:tc>
      </w:tr>
    </w:tbl>
    <w:p w:rsidR="004E7E69" w:rsidRPr="004E7E69" w:rsidRDefault="004E7E69" w:rsidP="004E7E69">
      <w:pPr>
        <w:ind w:right="140"/>
        <w:jc w:val="both"/>
        <w:rPr>
          <w:rFonts w:ascii="Arial" w:hAnsi="Arial" w:cs="Arial"/>
          <w:sz w:val="20"/>
          <w:szCs w:val="20"/>
          <w:lang w:val="es-ES"/>
        </w:rPr>
      </w:pPr>
    </w:p>
    <w:p w:rsidR="004E7E69" w:rsidRPr="004E7E69" w:rsidRDefault="004E7E69" w:rsidP="004E7E69">
      <w:pPr>
        <w:ind w:right="140"/>
        <w:jc w:val="both"/>
        <w:rPr>
          <w:rFonts w:ascii="Arial" w:hAnsi="Arial" w:cs="Arial"/>
          <w:sz w:val="20"/>
          <w:szCs w:val="20"/>
          <w:lang w:val="es-ES"/>
        </w:rPr>
      </w:pPr>
    </w:p>
    <w:p w:rsidR="004E7E69" w:rsidRPr="004E7E69" w:rsidRDefault="004E7E69" w:rsidP="004E7E69">
      <w:pPr>
        <w:ind w:right="140"/>
        <w:jc w:val="both"/>
        <w:rPr>
          <w:rFonts w:ascii="Arial" w:hAnsi="Arial" w:cs="Arial"/>
          <w:b/>
          <w:bCs/>
          <w:sz w:val="20"/>
          <w:szCs w:val="20"/>
          <w:lang w:val="es-ES"/>
        </w:rPr>
      </w:pPr>
    </w:p>
    <w:p w:rsidR="004E7E69" w:rsidRPr="004E7E69" w:rsidRDefault="004E7E69" w:rsidP="004E7E69">
      <w:pPr>
        <w:ind w:right="140"/>
        <w:jc w:val="both"/>
        <w:rPr>
          <w:rFonts w:ascii="Arial" w:hAnsi="Arial" w:cs="Arial"/>
          <w:b/>
          <w:bCs/>
          <w:sz w:val="20"/>
          <w:szCs w:val="20"/>
          <w:lang w:val="es-ES"/>
        </w:rPr>
      </w:pPr>
    </w:p>
    <w:p w:rsidR="004E7E69" w:rsidRPr="004E7E69" w:rsidRDefault="004E7E69" w:rsidP="004E7E69">
      <w:pPr>
        <w:ind w:right="140"/>
        <w:jc w:val="both"/>
        <w:rPr>
          <w:rFonts w:ascii="Arial" w:hAnsi="Arial" w:cs="Arial"/>
          <w:b/>
          <w:bCs/>
          <w:sz w:val="20"/>
          <w:szCs w:val="20"/>
          <w:lang w:val="es-ES"/>
        </w:rPr>
      </w:pPr>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2. Dotación económica y determinación de la aplicación presupuestaria</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 xml:space="preserve">El importe total destinado a la convocatoria es de 33.000 €. La aplicación presupuestaria a la que se carga el crédito presupuestario y el importe son los que se detallan a continuación: </w:t>
      </w:r>
    </w:p>
    <w:tbl>
      <w:tblPr>
        <w:tblStyle w:val="Taulaambquadrcula"/>
        <w:tblW w:w="4502"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4"/>
        <w:gridCol w:w="2873"/>
      </w:tblGrid>
      <w:tr w:rsidR="004E7E69" w:rsidRPr="004E7E69" w:rsidTr="004E7E69">
        <w:tc>
          <w:tcPr>
            <w:tcW w:w="3124" w:type="pct"/>
            <w:hideMark/>
          </w:tcPr>
          <w:p w:rsidR="004E7E69" w:rsidRPr="004E7E69" w:rsidRDefault="004E7E69" w:rsidP="001259D7">
            <w:pPr>
              <w:spacing w:after="200" w:line="276" w:lineRule="auto"/>
              <w:ind w:left="851" w:right="140"/>
              <w:jc w:val="both"/>
              <w:rPr>
                <w:rFonts w:ascii="Arial" w:hAnsi="Arial" w:cs="Arial"/>
                <w:bCs/>
                <w:i/>
                <w:sz w:val="20"/>
                <w:szCs w:val="20"/>
              </w:rPr>
            </w:pPr>
            <w:r w:rsidRPr="004E7E69">
              <w:rPr>
                <w:rFonts w:ascii="Arial" w:hAnsi="Arial" w:cs="Arial"/>
                <w:bCs/>
                <w:i/>
                <w:sz w:val="20"/>
                <w:szCs w:val="20"/>
              </w:rPr>
              <w:t>Aplicación presupuestaria</w:t>
            </w:r>
          </w:p>
        </w:tc>
        <w:tc>
          <w:tcPr>
            <w:tcW w:w="1876" w:type="pct"/>
            <w:hideMark/>
          </w:tcPr>
          <w:p w:rsidR="004E7E69" w:rsidRPr="004E7E69" w:rsidRDefault="004E7E69" w:rsidP="001259D7">
            <w:pPr>
              <w:spacing w:after="200" w:line="276" w:lineRule="auto"/>
              <w:ind w:left="851" w:right="140"/>
              <w:jc w:val="both"/>
              <w:rPr>
                <w:rFonts w:ascii="Arial" w:hAnsi="Arial" w:cs="Arial"/>
                <w:bCs/>
                <w:i/>
                <w:sz w:val="20"/>
                <w:szCs w:val="20"/>
              </w:rPr>
            </w:pPr>
            <w:r w:rsidRPr="004E7E69">
              <w:rPr>
                <w:rFonts w:ascii="Arial" w:hAnsi="Arial" w:cs="Arial"/>
                <w:bCs/>
                <w:i/>
                <w:sz w:val="20"/>
                <w:szCs w:val="20"/>
              </w:rPr>
              <w:t>Importe (en €)</w:t>
            </w:r>
          </w:p>
        </w:tc>
      </w:tr>
      <w:tr w:rsidR="004E7E69" w:rsidRPr="004E7E69" w:rsidTr="004E7E69">
        <w:tc>
          <w:tcPr>
            <w:tcW w:w="3124" w:type="pct"/>
            <w:hideMark/>
          </w:tcPr>
          <w:p w:rsidR="004E7E69" w:rsidRPr="004E7E69" w:rsidRDefault="004E7E69" w:rsidP="001259D7">
            <w:pPr>
              <w:spacing w:after="200" w:line="276" w:lineRule="auto"/>
              <w:ind w:left="851" w:right="140"/>
              <w:jc w:val="both"/>
              <w:rPr>
                <w:rFonts w:ascii="Arial" w:hAnsi="Arial" w:cs="Arial"/>
                <w:sz w:val="20"/>
                <w:szCs w:val="20"/>
              </w:rPr>
            </w:pPr>
            <w:r w:rsidRPr="004E7E69">
              <w:rPr>
                <w:rFonts w:ascii="Arial" w:hAnsi="Arial" w:cs="Arial"/>
                <w:sz w:val="20"/>
                <w:szCs w:val="20"/>
              </w:rPr>
              <w:t>301 33210 7620200</w:t>
            </w:r>
          </w:p>
        </w:tc>
        <w:tc>
          <w:tcPr>
            <w:tcW w:w="1876" w:type="pct"/>
            <w:hideMark/>
          </w:tcPr>
          <w:p w:rsidR="004E7E69" w:rsidRPr="004E7E69" w:rsidRDefault="004E7E69" w:rsidP="001259D7">
            <w:pPr>
              <w:spacing w:after="200" w:line="276" w:lineRule="auto"/>
              <w:ind w:left="851" w:right="140"/>
              <w:jc w:val="both"/>
              <w:rPr>
                <w:rFonts w:ascii="Arial" w:hAnsi="Arial" w:cs="Arial"/>
                <w:sz w:val="20"/>
                <w:szCs w:val="20"/>
              </w:rPr>
            </w:pPr>
            <w:r w:rsidRPr="004E7E69">
              <w:rPr>
                <w:rFonts w:ascii="Arial" w:hAnsi="Arial" w:cs="Arial"/>
                <w:sz w:val="20"/>
                <w:szCs w:val="20"/>
              </w:rPr>
              <w:t>33.000 €</w:t>
            </w:r>
          </w:p>
        </w:tc>
      </w:tr>
      <w:tr w:rsidR="004E7E69" w:rsidRPr="004E7E69" w:rsidTr="004E7E69">
        <w:tc>
          <w:tcPr>
            <w:tcW w:w="3124" w:type="pct"/>
            <w:hideMark/>
          </w:tcPr>
          <w:p w:rsidR="004E7E69" w:rsidRPr="004E7E69" w:rsidRDefault="004E7E69" w:rsidP="001259D7">
            <w:pPr>
              <w:spacing w:after="200" w:line="276" w:lineRule="auto"/>
              <w:ind w:left="851" w:right="140"/>
              <w:jc w:val="both"/>
              <w:rPr>
                <w:rFonts w:ascii="Arial" w:hAnsi="Arial" w:cs="Arial"/>
                <w:bCs/>
                <w:i/>
                <w:sz w:val="20"/>
                <w:szCs w:val="20"/>
              </w:rPr>
            </w:pPr>
            <w:r w:rsidRPr="004E7E69">
              <w:rPr>
                <w:rFonts w:ascii="Arial" w:hAnsi="Arial" w:cs="Arial"/>
                <w:bCs/>
                <w:i/>
                <w:sz w:val="20"/>
                <w:szCs w:val="20"/>
              </w:rPr>
              <w:t>Total</w:t>
            </w:r>
          </w:p>
        </w:tc>
        <w:tc>
          <w:tcPr>
            <w:tcW w:w="1876" w:type="pct"/>
            <w:hideMark/>
          </w:tcPr>
          <w:p w:rsidR="004E7E69" w:rsidRPr="004E7E69" w:rsidRDefault="004E7E69" w:rsidP="001259D7">
            <w:pPr>
              <w:spacing w:after="200" w:line="276" w:lineRule="auto"/>
              <w:ind w:left="851" w:right="140"/>
              <w:jc w:val="both"/>
              <w:rPr>
                <w:rFonts w:ascii="Arial" w:hAnsi="Arial" w:cs="Arial"/>
                <w:bCs/>
                <w:sz w:val="20"/>
                <w:szCs w:val="20"/>
              </w:rPr>
            </w:pPr>
            <w:r w:rsidRPr="004E7E69">
              <w:rPr>
                <w:rFonts w:ascii="Arial" w:hAnsi="Arial" w:cs="Arial"/>
                <w:bCs/>
                <w:sz w:val="20"/>
                <w:szCs w:val="20"/>
              </w:rPr>
              <w:t>33.000 €</w:t>
            </w:r>
          </w:p>
        </w:tc>
      </w:tr>
    </w:tbl>
    <w:p w:rsidR="004E7E69" w:rsidRPr="004E7E69" w:rsidRDefault="004E7E69" w:rsidP="004E7E69">
      <w:pPr>
        <w:ind w:right="140"/>
        <w:jc w:val="both"/>
        <w:rPr>
          <w:rFonts w:ascii="Arial" w:hAnsi="Arial" w:cs="Arial"/>
          <w:iCs/>
          <w:sz w:val="20"/>
          <w:szCs w:val="20"/>
          <w:lang w:val="es-ES"/>
        </w:rPr>
      </w:pPr>
    </w:p>
    <w:p w:rsidR="004E7E69" w:rsidRPr="004E7E69" w:rsidRDefault="004E7E69" w:rsidP="004E7E69">
      <w:pPr>
        <w:ind w:right="140"/>
        <w:jc w:val="both"/>
        <w:rPr>
          <w:rFonts w:ascii="Arial" w:hAnsi="Arial" w:cs="Arial"/>
          <w:sz w:val="20"/>
          <w:szCs w:val="20"/>
          <w:lang w:val="es-ES"/>
        </w:rPr>
      </w:pPr>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3. Plazo de presentación de solicitudes</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El plazo de presentación de solicitudes será de veinte días hábiles a partir del día siguiente a la publicación del extracto de la convocatoria en el BOPG.</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 xml:space="preserve">Habrá que formular las solicitudes mediante el modelo normalizado disponible en la web de la </w:t>
      </w:r>
      <w:proofErr w:type="spellStart"/>
      <w:r w:rsidRPr="004E7E69">
        <w:rPr>
          <w:rFonts w:ascii="Arial" w:hAnsi="Arial" w:cs="Arial"/>
          <w:sz w:val="20"/>
          <w:szCs w:val="20"/>
          <w:lang w:val="es-ES"/>
        </w:rPr>
        <w:t>Diputació</w:t>
      </w:r>
      <w:proofErr w:type="spellEnd"/>
      <w:r w:rsidRPr="004E7E69">
        <w:rPr>
          <w:rFonts w:ascii="Arial" w:hAnsi="Arial" w:cs="Arial"/>
          <w:sz w:val="20"/>
          <w:szCs w:val="20"/>
          <w:lang w:val="es-ES"/>
        </w:rPr>
        <w:t xml:space="preserve"> de Girona, que deberá acompañarse de la documentación a la que hace referencia el artículo 7 de las bases reguladoras.</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 xml:space="preserve">Las solicitudes deberán presentarse telemáticamente (EACAT) y estar firmadas electrónicamente mediante un certificado validado en la plataforma PSIS del </w:t>
      </w:r>
      <w:proofErr w:type="spellStart"/>
      <w:r w:rsidRPr="004E7E69">
        <w:rPr>
          <w:rFonts w:ascii="Arial" w:hAnsi="Arial" w:cs="Arial"/>
          <w:sz w:val="20"/>
          <w:szCs w:val="20"/>
          <w:lang w:val="es-ES"/>
        </w:rPr>
        <w:t>Consorci</w:t>
      </w:r>
      <w:proofErr w:type="spellEnd"/>
      <w:r w:rsidRPr="004E7E69">
        <w:rPr>
          <w:rFonts w:ascii="Arial" w:hAnsi="Arial" w:cs="Arial"/>
          <w:sz w:val="20"/>
          <w:szCs w:val="20"/>
          <w:lang w:val="es-ES"/>
        </w:rPr>
        <w:t xml:space="preserve"> </w:t>
      </w:r>
      <w:proofErr w:type="spellStart"/>
      <w:r w:rsidRPr="004E7E69">
        <w:rPr>
          <w:rFonts w:ascii="Arial" w:hAnsi="Arial" w:cs="Arial"/>
          <w:sz w:val="20"/>
          <w:szCs w:val="20"/>
          <w:lang w:val="es-ES"/>
        </w:rPr>
        <w:t>d’Administració</w:t>
      </w:r>
      <w:proofErr w:type="spellEnd"/>
      <w:r w:rsidRPr="004E7E69">
        <w:rPr>
          <w:rFonts w:ascii="Arial" w:hAnsi="Arial" w:cs="Arial"/>
          <w:sz w:val="20"/>
          <w:szCs w:val="20"/>
          <w:lang w:val="es-ES"/>
        </w:rPr>
        <w:t xml:space="preserve"> </w:t>
      </w:r>
      <w:proofErr w:type="spellStart"/>
      <w:r w:rsidRPr="004E7E69">
        <w:rPr>
          <w:rFonts w:ascii="Arial" w:hAnsi="Arial" w:cs="Arial"/>
          <w:sz w:val="20"/>
          <w:szCs w:val="20"/>
          <w:lang w:val="es-ES"/>
        </w:rPr>
        <w:t>Oberta</w:t>
      </w:r>
      <w:proofErr w:type="spellEnd"/>
      <w:r w:rsidRPr="004E7E69">
        <w:rPr>
          <w:rFonts w:ascii="Arial" w:hAnsi="Arial" w:cs="Arial"/>
          <w:sz w:val="20"/>
          <w:szCs w:val="20"/>
          <w:lang w:val="es-ES"/>
        </w:rPr>
        <w:t xml:space="preserve"> de Catalunya.</w:t>
      </w:r>
    </w:p>
    <w:p w:rsidR="004E7E69" w:rsidRPr="004E7E69" w:rsidRDefault="004E7E69" w:rsidP="004E7E69">
      <w:pPr>
        <w:numPr>
          <w:ilvl w:val="0"/>
          <w:numId w:val="1"/>
        </w:numPr>
        <w:spacing w:after="200" w:line="276" w:lineRule="auto"/>
        <w:ind w:left="284" w:right="140" w:hanging="284"/>
        <w:contextualSpacing/>
        <w:jc w:val="both"/>
        <w:rPr>
          <w:rFonts w:ascii="Arial" w:eastAsia="Calibri" w:hAnsi="Arial" w:cs="Arial"/>
          <w:b/>
          <w:bCs/>
          <w:sz w:val="20"/>
          <w:szCs w:val="20"/>
          <w:lang w:val="es-ES"/>
        </w:rPr>
      </w:pPr>
      <w:r w:rsidRPr="004E7E69">
        <w:rPr>
          <w:rFonts w:ascii="Arial" w:eastAsia="Calibri" w:hAnsi="Arial" w:cs="Arial"/>
          <w:b/>
          <w:bCs/>
          <w:sz w:val="20"/>
          <w:szCs w:val="20"/>
          <w:lang w:val="es-ES"/>
        </w:rPr>
        <w:t>Ámbito temporal de las acciones subvencionables</w:t>
      </w:r>
    </w:p>
    <w:p w:rsidR="004E7E69" w:rsidRPr="004E7E69" w:rsidRDefault="004E7E69" w:rsidP="004E7E69">
      <w:pPr>
        <w:ind w:right="140"/>
        <w:contextualSpacing/>
        <w:jc w:val="both"/>
        <w:rPr>
          <w:rFonts w:ascii="Arial" w:eastAsia="Calibri" w:hAnsi="Arial" w:cs="Arial"/>
          <w:b/>
          <w:bCs/>
          <w:sz w:val="20"/>
          <w:szCs w:val="20"/>
          <w:lang w:val="es-ES"/>
        </w:rPr>
      </w:pPr>
    </w:p>
    <w:p w:rsidR="004E7E69" w:rsidRPr="004E7E69" w:rsidRDefault="004E7E69" w:rsidP="004E7E69">
      <w:pPr>
        <w:ind w:right="140"/>
        <w:contextualSpacing/>
        <w:jc w:val="both"/>
        <w:rPr>
          <w:rFonts w:ascii="Arial" w:eastAsia="Calibri" w:hAnsi="Arial" w:cs="Arial"/>
          <w:sz w:val="20"/>
          <w:szCs w:val="20"/>
          <w:lang w:val="es-ES"/>
        </w:rPr>
      </w:pPr>
      <w:r w:rsidRPr="004E7E69">
        <w:rPr>
          <w:rFonts w:ascii="Arial" w:eastAsia="Calibri" w:hAnsi="Arial" w:cs="Arial"/>
          <w:sz w:val="20"/>
          <w:szCs w:val="20"/>
          <w:lang w:val="es-ES"/>
        </w:rPr>
        <w:t xml:space="preserve">Se subvencionarán actuaciones, actividades o inversiones llevadas a cabo un año antes de la fecha de publicación de la convocatoria y hasta seis meses después. </w:t>
      </w:r>
    </w:p>
    <w:p w:rsidR="004E7E69" w:rsidRPr="004E7E69" w:rsidRDefault="004E7E69" w:rsidP="004E7E69">
      <w:pPr>
        <w:ind w:right="140"/>
        <w:contextualSpacing/>
        <w:jc w:val="both"/>
        <w:rPr>
          <w:rFonts w:ascii="Arial" w:eastAsia="Calibri" w:hAnsi="Arial" w:cs="Arial"/>
          <w:sz w:val="20"/>
          <w:szCs w:val="20"/>
          <w:lang w:val="es-ES"/>
        </w:rPr>
      </w:pPr>
    </w:p>
    <w:p w:rsidR="004E7E69" w:rsidRPr="004E7E69" w:rsidRDefault="004E7E69" w:rsidP="004E7E69">
      <w:pPr>
        <w:numPr>
          <w:ilvl w:val="0"/>
          <w:numId w:val="1"/>
        </w:numPr>
        <w:spacing w:after="200" w:line="276" w:lineRule="auto"/>
        <w:ind w:left="284" w:right="140" w:hanging="284"/>
        <w:contextualSpacing/>
        <w:jc w:val="both"/>
        <w:rPr>
          <w:rFonts w:ascii="Arial" w:eastAsia="Calibri" w:hAnsi="Arial" w:cs="Arial"/>
          <w:b/>
          <w:bCs/>
          <w:sz w:val="20"/>
          <w:szCs w:val="20"/>
          <w:lang w:val="es-ES"/>
        </w:rPr>
      </w:pPr>
      <w:r w:rsidRPr="004E7E69">
        <w:rPr>
          <w:rFonts w:ascii="Arial" w:eastAsia="Calibri" w:hAnsi="Arial" w:cs="Arial"/>
          <w:b/>
          <w:bCs/>
          <w:sz w:val="20"/>
          <w:szCs w:val="20"/>
          <w:lang w:val="es-ES"/>
        </w:rPr>
        <w:t>Plazo para justificar las subvenciones</w:t>
      </w:r>
    </w:p>
    <w:p w:rsidR="004E7E69" w:rsidRPr="004E7E69" w:rsidRDefault="004E7E69" w:rsidP="004E7E69">
      <w:pPr>
        <w:ind w:right="140"/>
        <w:contextualSpacing/>
        <w:jc w:val="both"/>
        <w:rPr>
          <w:rFonts w:ascii="Arial" w:eastAsia="Calibri" w:hAnsi="Arial" w:cs="Arial"/>
          <w:b/>
          <w:bCs/>
          <w:sz w:val="20"/>
          <w:szCs w:val="20"/>
          <w:lang w:val="es-ES"/>
        </w:rPr>
      </w:pPr>
    </w:p>
    <w:p w:rsidR="004E7E69" w:rsidRPr="004E7E69" w:rsidRDefault="004E7E69" w:rsidP="004E7E69">
      <w:pPr>
        <w:ind w:right="140"/>
        <w:contextualSpacing/>
        <w:jc w:val="both"/>
        <w:rPr>
          <w:rFonts w:ascii="Arial" w:eastAsia="Calibri" w:hAnsi="Arial" w:cs="Arial"/>
          <w:sz w:val="20"/>
          <w:szCs w:val="20"/>
          <w:lang w:val="es-ES"/>
        </w:rPr>
      </w:pPr>
      <w:r w:rsidRPr="004E7E69">
        <w:rPr>
          <w:rFonts w:ascii="Arial" w:eastAsia="Calibri" w:hAnsi="Arial" w:cs="Arial"/>
          <w:bCs/>
          <w:sz w:val="20"/>
          <w:szCs w:val="20"/>
          <w:lang w:val="es-ES"/>
        </w:rPr>
        <w:t>El plazo de justificación será de treinta días a contar del día siguiente a la finalización del plazo de ejecución</w:t>
      </w:r>
      <w:r w:rsidRPr="004E7E69">
        <w:rPr>
          <w:rFonts w:ascii="Arial" w:eastAsia="Calibri" w:hAnsi="Arial" w:cs="Arial"/>
          <w:sz w:val="20"/>
          <w:szCs w:val="20"/>
          <w:lang w:val="es-ES"/>
        </w:rPr>
        <w:t>.</w:t>
      </w:r>
    </w:p>
    <w:p w:rsidR="004E7E69" w:rsidRPr="004E7E69" w:rsidRDefault="004E7E69" w:rsidP="004E7E69">
      <w:pPr>
        <w:ind w:right="140"/>
        <w:contextualSpacing/>
        <w:jc w:val="both"/>
        <w:rPr>
          <w:rFonts w:ascii="Arial" w:eastAsia="Calibri" w:hAnsi="Arial" w:cs="Arial"/>
          <w:sz w:val="20"/>
          <w:szCs w:val="20"/>
          <w:lang w:val="es-ES"/>
        </w:rPr>
      </w:pPr>
    </w:p>
    <w:p w:rsidR="004E7E69" w:rsidRPr="004E7E69" w:rsidRDefault="004E7E69" w:rsidP="004E7E69">
      <w:pPr>
        <w:ind w:right="140"/>
        <w:jc w:val="both"/>
        <w:rPr>
          <w:rFonts w:ascii="Arial" w:hAnsi="Arial" w:cs="Arial"/>
          <w:sz w:val="20"/>
          <w:szCs w:val="20"/>
          <w:lang w:val="es-ES"/>
        </w:rPr>
      </w:pPr>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 xml:space="preserve">4. Plazo de resolución y notificación </w:t>
      </w:r>
    </w:p>
    <w:p w:rsidR="004E7E69" w:rsidRPr="004E7E69" w:rsidRDefault="004E7E69" w:rsidP="004E7E69">
      <w:pPr>
        <w:autoSpaceDE w:val="0"/>
        <w:ind w:right="140"/>
        <w:jc w:val="both"/>
        <w:rPr>
          <w:rFonts w:ascii="Arial" w:hAnsi="Arial" w:cs="Arial"/>
          <w:b/>
          <w:sz w:val="20"/>
          <w:szCs w:val="20"/>
          <w:lang w:val="es-ES"/>
        </w:rPr>
      </w:pPr>
      <w:r w:rsidRPr="004E7E69">
        <w:rPr>
          <w:rFonts w:ascii="Arial" w:hAnsi="Arial" w:cs="Arial"/>
          <w:b/>
          <w:sz w:val="20"/>
          <w:szCs w:val="20"/>
          <w:lang w:val="es-ES"/>
        </w:rPr>
        <w:t>4.1. Plazo de resolución</w:t>
      </w:r>
    </w:p>
    <w:p w:rsidR="004E7E69" w:rsidRPr="004E7E69" w:rsidRDefault="004E7E69" w:rsidP="004E7E69">
      <w:pPr>
        <w:autoSpaceDE w:val="0"/>
        <w:ind w:right="140"/>
        <w:jc w:val="both"/>
        <w:rPr>
          <w:rFonts w:ascii="Arial" w:eastAsia="Arial" w:hAnsi="Arial" w:cs="Arial"/>
          <w:bCs/>
          <w:sz w:val="20"/>
          <w:szCs w:val="20"/>
          <w:lang w:val="es-ES"/>
        </w:rPr>
      </w:pPr>
      <w:r w:rsidRPr="004E7E69">
        <w:rPr>
          <w:rFonts w:ascii="Arial" w:hAnsi="Arial" w:cs="Arial"/>
          <w:sz w:val="20"/>
          <w:szCs w:val="20"/>
          <w:lang w:val="es-ES"/>
        </w:rPr>
        <w:t>El plazo para resolver la convocatoria es el que determinan las bases. Una vez transcurrido dicho plazo sin que se haya adoptado una resolución, los solicitantes podrán entender desestimadas sus solicitudes por silencio administrativo</w:t>
      </w:r>
      <w:r w:rsidRPr="004E7E69">
        <w:rPr>
          <w:rFonts w:ascii="Arial" w:eastAsia="Arial" w:hAnsi="Arial" w:cs="Arial"/>
          <w:bCs/>
          <w:sz w:val="20"/>
          <w:szCs w:val="20"/>
          <w:lang w:val="es-ES"/>
        </w:rPr>
        <w:t>.</w:t>
      </w:r>
    </w:p>
    <w:p w:rsidR="004E7E69" w:rsidRPr="004E7E69" w:rsidRDefault="004E7E69" w:rsidP="004E7E69">
      <w:pPr>
        <w:autoSpaceDE w:val="0"/>
        <w:ind w:right="140"/>
        <w:jc w:val="both"/>
        <w:rPr>
          <w:rFonts w:ascii="Arial" w:eastAsia="Arial" w:hAnsi="Arial" w:cs="Arial"/>
          <w:b/>
          <w:bCs/>
          <w:sz w:val="20"/>
          <w:szCs w:val="20"/>
          <w:lang w:val="es-ES"/>
        </w:rPr>
      </w:pPr>
      <w:r w:rsidRPr="004E7E69">
        <w:rPr>
          <w:rFonts w:ascii="Arial" w:eastAsia="Arial" w:hAnsi="Arial" w:cs="Arial"/>
          <w:b/>
          <w:bCs/>
          <w:sz w:val="20"/>
          <w:szCs w:val="20"/>
          <w:lang w:val="es-ES"/>
        </w:rPr>
        <w:t>4.2. Plazo de notificación</w:t>
      </w:r>
    </w:p>
    <w:p w:rsidR="004E7E69" w:rsidRPr="004E7E69" w:rsidRDefault="004E7E69" w:rsidP="004E7E69">
      <w:pPr>
        <w:autoSpaceDE w:val="0"/>
        <w:ind w:right="140"/>
        <w:jc w:val="both"/>
        <w:rPr>
          <w:rFonts w:ascii="Arial" w:eastAsia="Arial" w:hAnsi="Arial" w:cs="Arial"/>
          <w:sz w:val="20"/>
          <w:szCs w:val="20"/>
          <w:lang w:val="es-ES"/>
        </w:rPr>
      </w:pPr>
      <w:r w:rsidRPr="004E7E69">
        <w:rPr>
          <w:rFonts w:ascii="Arial" w:eastAsia="Arial" w:hAnsi="Arial" w:cs="Arial"/>
          <w:sz w:val="20"/>
          <w:szCs w:val="20"/>
          <w:lang w:val="es-ES"/>
        </w:rPr>
        <w:t xml:space="preserve">Se notificará la resolución a todos los beneficiarios de forma individualizada, tal como establece el artículo 41.1 de la Ley 39/2015, de 1 de octubre, del Procedimiento Administrativo Común de las Administraciones Públicas, y también a los peticionarios cuya solicitud haya sido desestimada, en el plazo máximo de diez días hábiles, a contar de la fecha en la que se adopte el acuerdo. </w:t>
      </w:r>
    </w:p>
    <w:p w:rsidR="004E7E69" w:rsidRPr="004E7E69" w:rsidRDefault="004E7E69" w:rsidP="004E7E69">
      <w:pPr>
        <w:ind w:right="140"/>
        <w:jc w:val="both"/>
        <w:rPr>
          <w:rFonts w:ascii="Arial" w:hAnsi="Arial" w:cs="Arial"/>
          <w:sz w:val="20"/>
          <w:szCs w:val="20"/>
          <w:lang w:val="es-ES"/>
        </w:rPr>
      </w:pPr>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5. Régimen de recursos</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 xml:space="preserve">La resolución de la convocatoria pone fin a la vía administrativa. Contra esta resolución cabe recurso contencioso-administrativo ante el juzgado de lo contencioso-administrativo de Girona, en el plazo de dos meses a contar del día siguiente a su notificación. Alternativamente, y de forma potestativa, cabe recurso de reposición ante la Junta de Gobierno de la </w:t>
      </w:r>
      <w:proofErr w:type="spellStart"/>
      <w:r w:rsidRPr="004E7E69">
        <w:rPr>
          <w:rFonts w:ascii="Arial" w:hAnsi="Arial" w:cs="Arial"/>
          <w:sz w:val="20"/>
          <w:szCs w:val="20"/>
          <w:lang w:val="es-ES"/>
        </w:rPr>
        <w:t>Diputació</w:t>
      </w:r>
      <w:proofErr w:type="spellEnd"/>
      <w:r w:rsidRPr="004E7E69">
        <w:rPr>
          <w:rFonts w:ascii="Arial" w:hAnsi="Arial" w:cs="Arial"/>
          <w:sz w:val="20"/>
          <w:szCs w:val="20"/>
          <w:lang w:val="es-ES"/>
        </w:rPr>
        <w:t xml:space="preserve"> de Girona, en el plazo de un mes a contar del día siguiente a su notificación. </w:t>
      </w:r>
    </w:p>
    <w:p w:rsidR="004E7E69" w:rsidRPr="004E7E69" w:rsidRDefault="004E7E69" w:rsidP="004E7E69">
      <w:pPr>
        <w:ind w:right="140"/>
        <w:jc w:val="both"/>
        <w:rPr>
          <w:rFonts w:ascii="Arial" w:hAnsi="Arial" w:cs="Arial"/>
          <w:b/>
          <w:bCs/>
          <w:sz w:val="20"/>
          <w:szCs w:val="20"/>
          <w:lang w:val="es-ES"/>
        </w:rPr>
      </w:pPr>
    </w:p>
    <w:p w:rsidR="004E7E69" w:rsidRPr="004E7E69" w:rsidRDefault="004E7E69" w:rsidP="004E7E69">
      <w:pPr>
        <w:ind w:right="140"/>
        <w:jc w:val="both"/>
        <w:rPr>
          <w:rFonts w:ascii="Arial" w:hAnsi="Arial" w:cs="Arial"/>
          <w:b/>
          <w:bCs/>
          <w:sz w:val="20"/>
          <w:szCs w:val="20"/>
          <w:lang w:val="es-ES"/>
        </w:rPr>
      </w:pPr>
      <w:r w:rsidRPr="004E7E69">
        <w:rPr>
          <w:rFonts w:ascii="Arial" w:hAnsi="Arial" w:cs="Arial"/>
          <w:b/>
          <w:bCs/>
          <w:sz w:val="20"/>
          <w:szCs w:val="20"/>
          <w:lang w:val="es-ES"/>
        </w:rPr>
        <w:t>6. Publicidad</w:t>
      </w:r>
    </w:p>
    <w:p w:rsidR="004E7E69" w:rsidRPr="004E7E69" w:rsidRDefault="004E7E69" w:rsidP="004E7E69">
      <w:pPr>
        <w:ind w:right="140"/>
        <w:jc w:val="both"/>
        <w:rPr>
          <w:rFonts w:ascii="Arial" w:hAnsi="Arial" w:cs="Arial"/>
          <w:sz w:val="20"/>
          <w:szCs w:val="20"/>
          <w:lang w:val="es-ES"/>
        </w:rPr>
      </w:pPr>
      <w:r w:rsidRPr="004E7E69">
        <w:rPr>
          <w:rFonts w:ascii="Arial" w:hAnsi="Arial" w:cs="Arial"/>
          <w:sz w:val="20"/>
          <w:szCs w:val="20"/>
          <w:lang w:val="es-ES"/>
        </w:rPr>
        <w:t xml:space="preserve">Esta convocatoria se publicará en el tablero electrónico de anuncios de la </w:t>
      </w:r>
      <w:proofErr w:type="spellStart"/>
      <w:r w:rsidRPr="004E7E69">
        <w:rPr>
          <w:rFonts w:ascii="Arial" w:hAnsi="Arial" w:cs="Arial"/>
          <w:sz w:val="20"/>
          <w:szCs w:val="20"/>
          <w:lang w:val="es-ES"/>
        </w:rPr>
        <w:t>Diputació</w:t>
      </w:r>
      <w:proofErr w:type="spellEnd"/>
      <w:r w:rsidRPr="004E7E69">
        <w:rPr>
          <w:rFonts w:ascii="Arial" w:hAnsi="Arial" w:cs="Arial"/>
          <w:sz w:val="20"/>
          <w:szCs w:val="20"/>
          <w:lang w:val="es-ES"/>
        </w:rPr>
        <w:t xml:space="preserve"> y en la web, y, de acuerdo con lo establecido en el artículo 17.3 </w:t>
      </w:r>
      <w:r w:rsidRPr="004E7E69">
        <w:rPr>
          <w:rFonts w:ascii="Arial" w:hAnsi="Arial" w:cs="Arial"/>
          <w:i/>
          <w:iCs/>
          <w:sz w:val="20"/>
          <w:szCs w:val="20"/>
          <w:lang w:val="es-ES"/>
        </w:rPr>
        <w:t>b</w:t>
      </w:r>
      <w:r w:rsidRPr="004E7E69">
        <w:rPr>
          <w:rFonts w:ascii="Arial" w:hAnsi="Arial" w:cs="Arial"/>
          <w:sz w:val="20"/>
          <w:szCs w:val="20"/>
          <w:lang w:val="es-ES"/>
        </w:rPr>
        <w:t xml:space="preserve"> de la Ley 38/2003, General de Subvenciones, su extracto se publicará en el BOPG.</w:t>
      </w:r>
    </w:p>
    <w:p w:rsidR="00ED1436" w:rsidRPr="004E7E69" w:rsidRDefault="00ED1436" w:rsidP="00ED1436">
      <w:pPr>
        <w:spacing w:after="0" w:line="240" w:lineRule="auto"/>
        <w:ind w:right="851"/>
        <w:jc w:val="both"/>
        <w:rPr>
          <w:rFonts w:ascii="Arial" w:eastAsia="Times New Roman" w:hAnsi="Arial" w:cs="Times New Roman"/>
          <w:sz w:val="20"/>
          <w:szCs w:val="20"/>
          <w:lang w:val="es-ES" w:eastAsia="ca-ES"/>
        </w:rPr>
      </w:pPr>
    </w:p>
    <w:p w:rsidR="00ED1436" w:rsidRPr="004E7E69" w:rsidRDefault="00ED1436" w:rsidP="00ED1436">
      <w:pPr>
        <w:jc w:val="both"/>
        <w:rPr>
          <w:rFonts w:ascii="Arial" w:hAnsi="Arial" w:cs="Arial"/>
          <w:lang w:val="es-ES"/>
        </w:rPr>
      </w:pPr>
    </w:p>
    <w:p w:rsidR="00CF4DB7" w:rsidRPr="004E7E69" w:rsidRDefault="004E7E69" w:rsidP="00CF4DB7">
      <w:pPr>
        <w:pStyle w:val="Default"/>
        <w:rPr>
          <w:sz w:val="22"/>
          <w:szCs w:val="22"/>
        </w:rPr>
      </w:pPr>
      <w:r w:rsidRPr="004E7E69">
        <w:rPr>
          <w:sz w:val="22"/>
          <w:szCs w:val="22"/>
        </w:rPr>
        <w:t>Girona, fecha de la signatura electró</w:t>
      </w:r>
      <w:r w:rsidR="00CF4DB7" w:rsidRPr="004E7E69">
        <w:rPr>
          <w:sz w:val="22"/>
          <w:szCs w:val="22"/>
        </w:rPr>
        <w:t xml:space="preserve">nica </w:t>
      </w:r>
    </w:p>
    <w:p w:rsidR="00CF4DB7" w:rsidRPr="004E7E69" w:rsidRDefault="00CF4DB7" w:rsidP="00CF4DB7">
      <w:pPr>
        <w:pStyle w:val="Default"/>
        <w:rPr>
          <w:sz w:val="22"/>
          <w:szCs w:val="22"/>
        </w:rPr>
      </w:pPr>
    </w:p>
    <w:p w:rsidR="00CF4DB7" w:rsidRPr="004E7E69" w:rsidRDefault="00CF4DB7" w:rsidP="00CF4DB7">
      <w:pPr>
        <w:pStyle w:val="Default"/>
        <w:rPr>
          <w:sz w:val="22"/>
          <w:szCs w:val="22"/>
        </w:rPr>
      </w:pPr>
    </w:p>
    <w:p w:rsidR="00CF4DB7" w:rsidRPr="004E7E69" w:rsidRDefault="00CF4DB7" w:rsidP="00CF4DB7">
      <w:pPr>
        <w:pStyle w:val="Default"/>
        <w:rPr>
          <w:sz w:val="22"/>
          <w:szCs w:val="22"/>
        </w:rPr>
      </w:pPr>
      <w:r w:rsidRPr="004E7E69">
        <w:rPr>
          <w:sz w:val="22"/>
          <w:szCs w:val="22"/>
        </w:rPr>
        <w:t xml:space="preserve">Miquel </w:t>
      </w:r>
      <w:proofErr w:type="spellStart"/>
      <w:r w:rsidRPr="004E7E69">
        <w:rPr>
          <w:sz w:val="22"/>
          <w:szCs w:val="22"/>
        </w:rPr>
        <w:t>Noguer</w:t>
      </w:r>
      <w:proofErr w:type="spellEnd"/>
      <w:r w:rsidRPr="004E7E69">
        <w:rPr>
          <w:sz w:val="22"/>
          <w:szCs w:val="22"/>
        </w:rPr>
        <w:t xml:space="preserve"> i Planas </w:t>
      </w:r>
    </w:p>
    <w:p w:rsidR="00CB2A0F" w:rsidRPr="004E7E69" w:rsidRDefault="00CF4DB7" w:rsidP="00CF4DB7">
      <w:pPr>
        <w:jc w:val="both"/>
        <w:rPr>
          <w:rFonts w:ascii="Arial" w:hAnsi="Arial" w:cs="Arial"/>
          <w:lang w:val="es-ES"/>
        </w:rPr>
      </w:pPr>
      <w:r w:rsidRPr="004E7E69">
        <w:rPr>
          <w:rFonts w:ascii="Arial" w:hAnsi="Arial" w:cs="Arial"/>
          <w:lang w:val="es-ES"/>
        </w:rPr>
        <w:t>President</w:t>
      </w:r>
      <w:r w:rsidR="004E7E69" w:rsidRPr="004E7E69">
        <w:rPr>
          <w:rFonts w:ascii="Arial" w:hAnsi="Arial" w:cs="Arial"/>
          <w:lang w:val="es-ES"/>
        </w:rPr>
        <w:t>e</w:t>
      </w:r>
    </w:p>
    <w:sectPr w:rsidR="00CB2A0F" w:rsidRPr="004E7E6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7E66"/>
    <w:multiLevelType w:val="hybridMultilevel"/>
    <w:tmpl w:val="AD76301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714"/>
    <w:rsid w:val="00133D44"/>
    <w:rsid w:val="004027A6"/>
    <w:rsid w:val="00412714"/>
    <w:rsid w:val="004E7E69"/>
    <w:rsid w:val="00CB2A0F"/>
    <w:rsid w:val="00CF4DB7"/>
    <w:rsid w:val="00D858F0"/>
    <w:rsid w:val="00ED1436"/>
    <w:rsid w:val="00FD378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30614"/>
  <w15:chartTrackingRefBased/>
  <w15:docId w15:val="{E870FD0D-CFDE-4248-915B-D9D00AF4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Tipusdelletraperdefectedelpargraf"/>
    <w:uiPriority w:val="99"/>
    <w:unhideWhenUsed/>
    <w:rsid w:val="00ED1436"/>
    <w:rPr>
      <w:color w:val="0563C1" w:themeColor="hyperlink"/>
      <w:u w:val="single"/>
    </w:rPr>
  </w:style>
  <w:style w:type="paragraph" w:customStyle="1" w:styleId="Default">
    <w:name w:val="Default"/>
    <w:rsid w:val="00CF4DB7"/>
    <w:pPr>
      <w:autoSpaceDE w:val="0"/>
      <w:autoSpaceDN w:val="0"/>
      <w:adjustRightInd w:val="0"/>
      <w:spacing w:after="0" w:line="240" w:lineRule="auto"/>
    </w:pPr>
    <w:rPr>
      <w:rFonts w:ascii="Arial" w:hAnsi="Arial" w:cs="Arial"/>
      <w:color w:val="000000"/>
      <w:sz w:val="24"/>
      <w:szCs w:val="24"/>
      <w:lang w:val="es-ES"/>
    </w:rPr>
  </w:style>
  <w:style w:type="table" w:styleId="Taulaambquadrcula">
    <w:name w:val="Table Grid"/>
    <w:basedOn w:val="Taulanormal"/>
    <w:uiPriority w:val="39"/>
    <w:rsid w:val="00FD378B"/>
    <w:pPr>
      <w:spacing w:after="0" w:line="240" w:lineRule="auto"/>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874</Words>
  <Characters>4813</Characters>
  <Application>Microsoft Office Word</Application>
  <DocSecurity>0</DocSecurity>
  <Lines>40</Lines>
  <Paragraphs>11</Paragraphs>
  <ScaleCrop>false</ScaleCrop>
  <Company>Diputació de Girona</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8</cp:revision>
  <dcterms:created xsi:type="dcterms:W3CDTF">2024-05-20T10:40:00Z</dcterms:created>
  <dcterms:modified xsi:type="dcterms:W3CDTF">2024-06-26T07:15:00Z</dcterms:modified>
</cp:coreProperties>
</file>