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33C50" w:rsidRPr="00E33C50" w:rsidRDefault="00E33C50" w:rsidP="00E33C50">
      <w:pPr>
        <w:rPr>
          <w:b/>
        </w:rPr>
      </w:pPr>
      <w:r w:rsidRPr="00E33C50">
        <w:rPr>
          <w:b/>
        </w:rPr>
        <w:t>Extracto del acuerdo de la Junta de Gobierno de la Diputación de Gerona en la sesión de 1 de octubre de 2024, de la convocatoria de subvenciones para obras de reforma, mejora y mantenimiento de los equipamientos de Lectura Pública del año 2024</w:t>
      </w:r>
    </w:p>
    <w:p w:rsidR="00E33C50" w:rsidRPr="00E33C50" w:rsidRDefault="00E33C50" w:rsidP="00E33C50"/>
    <w:p w:rsidR="00E33C50" w:rsidRPr="00E33C50" w:rsidRDefault="00E33C50" w:rsidP="00E33C50">
      <w:r w:rsidRPr="00E33C50">
        <w:t>De conformidad con lo que prevén los artículos 17.3.b y 20.8.a de la Ley 38/2003, de 17 de noviembre, general de subvenciones, se publica el extracto de la convocatoria cuyo texto completo se puede consultar en la Base de Datos Nacional de Subvenciones:</w:t>
      </w:r>
    </w:p>
    <w:p w:rsidR="00E33C50" w:rsidRPr="00E33C50" w:rsidRDefault="00E33C50" w:rsidP="00E33C50"/>
    <w:p w:rsidR="00E33C50" w:rsidRPr="00E33C50" w:rsidRDefault="00E33C50" w:rsidP="00E33C50">
      <w:pPr>
        <w:rPr>
          <w:b/>
        </w:rPr>
      </w:pPr>
      <w:r w:rsidRPr="00E33C50">
        <w:rPr>
          <w:b/>
        </w:rPr>
        <w:t>1. Objeto y finalidad</w:t>
      </w:r>
    </w:p>
    <w:p w:rsidR="00E33C50" w:rsidRPr="00E33C50" w:rsidRDefault="00E33C50" w:rsidP="00E33C50">
      <w:r w:rsidRPr="00E33C50">
        <w:t>Subvenciones en régimen de concurrencia competitiva para ayuntamientos de la demarcación que carecen de biblioteca pública o que no la tienen adecuada de acuerdo con los parámetros establecidos en el Mapa de la Lectura Pública de Cataluña y los estándares establecidos por la Generalidad de Cataluña, y destinadas a la financiación de la redacción de planes de ciudad, programas funcionales, proyectos de mobiliario, señalización y construcción (básicos y ejecutivos), de acuerdo con las bases específicas reguladoras aprobadas por el Pleno de la Diputación en la sesión de 18 de junio de 2024 , publicadas en el Boletín Oficial de la Provincia de Girona (BOPG) número 124, de 27 de junio de 2024.</w:t>
      </w:r>
    </w:p>
    <w:p w:rsidR="00E33C50" w:rsidRPr="00E33C50" w:rsidRDefault="00E33C50" w:rsidP="00E33C50">
      <w:r w:rsidRPr="00E33C50">
        <w:t>CRITERIOS DE VALORACIÓN</w:t>
      </w:r>
    </w:p>
    <w:p w:rsidR="00E33C50" w:rsidRPr="00E33C50" w:rsidRDefault="00E33C50" w:rsidP="00E33C50">
      <w:r w:rsidRPr="00E33C50">
        <w:t>Los criterios que sirven para valorar las solicitudes presentadas son los siguientes:</w:t>
      </w:r>
    </w:p>
    <w:p w:rsidR="00E33C50" w:rsidRPr="00E33C50" w:rsidRDefault="00E33C50" w:rsidP="00E33C50"/>
    <w:p w:rsidR="00E33C50" w:rsidRPr="00E33C50" w:rsidRDefault="00E33C50" w:rsidP="00E33C50">
      <w:r w:rsidRPr="00E33C50">
        <w:t xml:space="preserve">CRITERIOS </w:t>
      </w:r>
      <w:r w:rsidRPr="00E33C50">
        <w:t xml:space="preserve">Y </w:t>
      </w:r>
      <w:r w:rsidRPr="00E33C50">
        <w:t>PUNTOS MÁXIMOS</w:t>
      </w:r>
    </w:p>
    <w:p w:rsidR="00E33C50" w:rsidRPr="00E33C50" w:rsidRDefault="00E33C50" w:rsidP="00E33C50">
      <w:pPr>
        <w:rPr>
          <w:b/>
        </w:rPr>
      </w:pPr>
      <w:r w:rsidRPr="00E33C50">
        <w:rPr>
          <w:b/>
        </w:rPr>
        <w:t>Tipología de equipamiento (situación de la lectura pública en el municipio):</w:t>
      </w:r>
    </w:p>
    <w:p w:rsidR="00E33C50" w:rsidRPr="00E33C50" w:rsidRDefault="00E33C50" w:rsidP="00E33C50">
      <w:r w:rsidRPr="00E33C50">
        <w:t>Se otorgan las siguientes puntuaciones según la casuística: 50</w:t>
      </w:r>
    </w:p>
    <w:p w:rsidR="00E33C50" w:rsidRPr="00E33C50" w:rsidRDefault="00E33C50" w:rsidP="00E33C50">
      <w:r w:rsidRPr="00E33C50">
        <w:t>Municipios de más de 5.000 habitantes sin servicio de lectura pública</w:t>
      </w:r>
      <w:r w:rsidRPr="00E33C50">
        <w:t>:</w:t>
      </w:r>
      <w:r w:rsidRPr="00E33C50">
        <w:t xml:space="preserve"> 50</w:t>
      </w:r>
    </w:p>
    <w:p w:rsidR="00E33C50" w:rsidRPr="00E33C50" w:rsidRDefault="00E33C50" w:rsidP="00E33C50">
      <w:r w:rsidRPr="00E33C50">
        <w:t>Bibliotecas centrales comarcales o bibliotecas centrales urbanas (&gt; 30.000 habitantes)</w:t>
      </w:r>
      <w:r w:rsidRPr="00E33C50">
        <w:t>:</w:t>
      </w:r>
      <w:r w:rsidRPr="00E33C50">
        <w:t xml:space="preserve"> 45</w:t>
      </w:r>
    </w:p>
    <w:p w:rsidR="00E33C50" w:rsidRPr="00E33C50" w:rsidRDefault="00E33C50" w:rsidP="00E33C50">
      <w:r w:rsidRPr="00E33C50">
        <w:t>Bibliotecas locales (población entre 5.000 y 29.999 habitantes)</w:t>
      </w:r>
      <w:r w:rsidRPr="00E33C50">
        <w:t>:</w:t>
      </w:r>
      <w:r w:rsidRPr="00E33C50">
        <w:t xml:space="preserve"> 40</w:t>
      </w:r>
    </w:p>
    <w:p w:rsidR="00E33C50" w:rsidRPr="00E33C50" w:rsidRDefault="00E33C50" w:rsidP="00E33C50">
      <w:r w:rsidRPr="00E33C50">
        <w:t>Bibliotecas de proximidad (segunda biblioteca o red de bibliotecas en los municipios &gt; 30.000 habitantes)</w:t>
      </w:r>
      <w:r w:rsidRPr="00E33C50">
        <w:t>:</w:t>
      </w:r>
      <w:r w:rsidRPr="00E33C50">
        <w:t xml:space="preserve"> 30</w:t>
      </w:r>
    </w:p>
    <w:p w:rsidR="00E33C50" w:rsidRPr="00E33C50" w:rsidRDefault="00E33C50" w:rsidP="00E33C50">
      <w:r w:rsidRPr="00E33C50">
        <w:t>Bibliotecas filiales (municipios entre 3.000 y 4.999 habitantes)</w:t>
      </w:r>
      <w:r w:rsidRPr="00E33C50">
        <w:t>:</w:t>
      </w:r>
      <w:r w:rsidRPr="00E33C50">
        <w:t xml:space="preserve"> 25</w:t>
      </w:r>
    </w:p>
    <w:p w:rsidR="00E33C50" w:rsidRPr="00E33C50" w:rsidRDefault="00E33C50" w:rsidP="00E33C50">
      <w:r w:rsidRPr="00E33C50">
        <w:t>Adecuación total a los parámetros del Mapa de la Lectura Pública</w:t>
      </w:r>
      <w:r w:rsidRPr="00E33C50">
        <w:t>:</w:t>
      </w:r>
      <w:r w:rsidRPr="00E33C50">
        <w:t xml:space="preserve"> 10</w:t>
      </w:r>
    </w:p>
    <w:p w:rsidR="00E33C50" w:rsidRPr="00E33C50" w:rsidRDefault="00E33C50" w:rsidP="00E33C50">
      <w:pPr>
        <w:rPr>
          <w:b/>
        </w:rPr>
      </w:pPr>
      <w:r w:rsidRPr="00E33C50">
        <w:rPr>
          <w:b/>
        </w:rPr>
        <w:t>Porcentaje de propuesta de cofinanciación</w:t>
      </w:r>
    </w:p>
    <w:p w:rsidR="00E33C50" w:rsidRPr="00E33C50" w:rsidRDefault="00E33C50" w:rsidP="00E33C50">
      <w:r w:rsidRPr="00E33C50">
        <w:t>Al porcentaje más alto con cargo al presupuesto municipal dedicado al proyecto para el que se solicita la subvención, se le</w:t>
      </w:r>
      <w:r w:rsidRPr="00E33C50">
        <w:t xml:space="preserve"> dan automáticamente 20 puntos. </w:t>
      </w:r>
      <w:r w:rsidRPr="00E33C50">
        <w:t>Al resto de solicitudes se les hace un reparto proporcional a partir de estos 20 puntos.</w:t>
      </w:r>
      <w:r w:rsidRPr="00E33C50">
        <w:t>:</w:t>
      </w:r>
      <w:r w:rsidRPr="00E33C50">
        <w:t xml:space="preserve"> 20</w:t>
      </w:r>
    </w:p>
    <w:p w:rsidR="00E33C50" w:rsidRPr="00E33C50" w:rsidRDefault="00E33C50" w:rsidP="00E33C50">
      <w:pPr>
        <w:rPr>
          <w:b/>
        </w:rPr>
      </w:pPr>
      <w:r w:rsidRPr="00E33C50">
        <w:rPr>
          <w:b/>
        </w:rPr>
        <w:t>Fórmula de corresponsabilidad</w:t>
      </w:r>
    </w:p>
    <w:p w:rsidR="00E33C50" w:rsidRPr="00E33C50" w:rsidRDefault="00E33C50" w:rsidP="00E33C50">
      <w:r w:rsidRPr="00E33C50">
        <w:lastRenderedPageBreak/>
        <w:t>En relación con la última liquidación del presupuesto municipal, al mayor porcentaje del presupuesto dedicado a la biblioteca respecto al presupuesto total, se le</w:t>
      </w:r>
      <w:r w:rsidRPr="00E33C50">
        <w:t xml:space="preserve"> dan automáticamente 10 puntos. </w:t>
      </w:r>
      <w:r w:rsidRPr="00E33C50">
        <w:t xml:space="preserve">Al resto de solicitudes se les realiza un reparto proporcional a </w:t>
      </w:r>
      <w:r w:rsidRPr="00E33C50">
        <w:t xml:space="preserve">partir de estos 10 puntos.: </w:t>
      </w:r>
      <w:r w:rsidRPr="00E33C50">
        <w:t>10</w:t>
      </w:r>
    </w:p>
    <w:p w:rsidR="00E33C50" w:rsidRPr="00E33C50" w:rsidRDefault="00E33C50" w:rsidP="00E33C50">
      <w:r w:rsidRPr="00E33C50">
        <w:t>Antigüedad del edificio de la biblioteca</w:t>
      </w:r>
      <w:r w:rsidRPr="00E33C50">
        <w:t>:</w:t>
      </w:r>
      <w:r w:rsidRPr="00E33C50">
        <w:t xml:space="preserve"> 10</w:t>
      </w:r>
    </w:p>
    <w:p w:rsidR="00E33C50" w:rsidRPr="00E33C50" w:rsidRDefault="00E33C50" w:rsidP="00E33C50">
      <w:r w:rsidRPr="00E33C50">
        <w:t>Anterior a la Ley 3/1981, de bibliotecas</w:t>
      </w:r>
      <w:r w:rsidRPr="00E33C50">
        <w:t>:</w:t>
      </w:r>
      <w:r w:rsidRPr="00E33C50">
        <w:t xml:space="preserve"> 10</w:t>
      </w:r>
    </w:p>
    <w:p w:rsidR="00E33C50" w:rsidRPr="00E33C50" w:rsidRDefault="00E33C50" w:rsidP="00E33C50">
      <w:r w:rsidRPr="00E33C50">
        <w:t>Entre la Ley 3/1981, de bibliotecas, y la Ley 4/1993, del sistema bibliotecario de Cataluña</w:t>
      </w:r>
      <w:r w:rsidRPr="00E33C50">
        <w:t>:</w:t>
      </w:r>
      <w:r w:rsidRPr="00E33C50">
        <w:t xml:space="preserve"> 8</w:t>
      </w:r>
    </w:p>
    <w:p w:rsidR="00E33C50" w:rsidRPr="00E33C50" w:rsidRDefault="00E33C50" w:rsidP="00E33C50">
      <w:r w:rsidRPr="00E33C50">
        <w:t>Entre 1993 y 2010</w:t>
      </w:r>
      <w:r w:rsidRPr="00E33C50">
        <w:t>:</w:t>
      </w:r>
      <w:r w:rsidRPr="00E33C50">
        <w:t xml:space="preserve"> 6</w:t>
      </w:r>
    </w:p>
    <w:p w:rsidR="00E33C50" w:rsidRPr="00E33C50" w:rsidRDefault="00E33C50" w:rsidP="00E33C50">
      <w:r w:rsidRPr="00E33C50">
        <w:t>Posterior al 2010</w:t>
      </w:r>
      <w:r w:rsidRPr="00E33C50">
        <w:t>:</w:t>
      </w:r>
      <w:r w:rsidRPr="00E33C50">
        <w:t xml:space="preserve"> 4</w:t>
      </w:r>
    </w:p>
    <w:p w:rsidR="00E33C50" w:rsidRPr="00E33C50" w:rsidRDefault="00E33C50" w:rsidP="00E33C50">
      <w:r w:rsidRPr="00E33C50">
        <w:t>Máximo total de puntos</w:t>
      </w:r>
      <w:r w:rsidRPr="00E33C50">
        <w:t>:</w:t>
      </w:r>
      <w:r w:rsidRPr="00E33C50">
        <w:t xml:space="preserve"> 100</w:t>
      </w:r>
    </w:p>
    <w:p w:rsidR="00E33C50" w:rsidRPr="00E33C50" w:rsidRDefault="00E33C50" w:rsidP="00E33C50"/>
    <w:p w:rsidR="00E33C50" w:rsidRPr="00E33C50" w:rsidRDefault="00E33C50" w:rsidP="00E33C50">
      <w:pPr>
        <w:rPr>
          <w:b/>
        </w:rPr>
      </w:pPr>
      <w:r w:rsidRPr="00E33C50">
        <w:rPr>
          <w:b/>
        </w:rPr>
        <w:t>2. Dotación económica y determinación de la aplicación presupuestaria</w:t>
      </w:r>
    </w:p>
    <w:p w:rsidR="00E33C50" w:rsidRPr="00E33C50" w:rsidRDefault="00E33C50" w:rsidP="00E33C50">
      <w:r w:rsidRPr="00E33C50">
        <w:t xml:space="preserve">El importe total destinado </w:t>
      </w:r>
      <w:r w:rsidRPr="00E33C50">
        <w:t>en la convocatoria es de 506.809,00</w:t>
      </w:r>
      <w:r w:rsidRPr="00E33C50">
        <w:t xml:space="preserve"> euros. Las aplicaciones presupuestarias a las que se carga el crédito presupuestario y los importes son los que se detallan a continuación.</w:t>
      </w:r>
    </w:p>
    <w:p w:rsidR="00E33C50" w:rsidRPr="00E33C50" w:rsidRDefault="00E33C50" w:rsidP="00E33C50">
      <w:r w:rsidRPr="00E33C50">
        <w:t>Aplicación presupuestaria Importe (en €)</w:t>
      </w:r>
    </w:p>
    <w:p w:rsidR="00E33C50" w:rsidRPr="00E33C50" w:rsidRDefault="00E33C50" w:rsidP="00E33C50">
      <w:r w:rsidRPr="00E33C50">
        <w:t xml:space="preserve">301 33210 7620400 </w:t>
      </w:r>
      <w:r w:rsidRPr="00E33C50">
        <w:t xml:space="preserve">   </w:t>
      </w:r>
      <w:r w:rsidRPr="00E33C50">
        <w:t>506.809,00 €</w:t>
      </w:r>
    </w:p>
    <w:p w:rsidR="00E33C50" w:rsidRPr="00E33C50" w:rsidRDefault="00E33C50" w:rsidP="00E33C50">
      <w:r w:rsidRPr="00E33C50">
        <w:t xml:space="preserve">Total </w:t>
      </w:r>
      <w:r w:rsidRPr="00E33C50">
        <w:t xml:space="preserve">                             </w:t>
      </w:r>
      <w:r w:rsidRPr="00E33C50">
        <w:t>506.809,00 €</w:t>
      </w:r>
    </w:p>
    <w:p w:rsidR="00E33C50" w:rsidRPr="00E33C50" w:rsidRDefault="00E33C50" w:rsidP="00E33C50"/>
    <w:p w:rsidR="00E33C50" w:rsidRPr="00E33C50" w:rsidRDefault="00E33C50" w:rsidP="00E33C50">
      <w:r w:rsidRPr="00E33C50">
        <w:t>La distribución de estos importes tiene carácter estimativo, pudiendo redistribuirse entre las aplicaciones presupuestarias anteriores en el mismo acto de</w:t>
      </w:r>
      <w:r w:rsidRPr="00E33C50">
        <w:t xml:space="preserve"> concesión de las subvenciones.</w:t>
      </w:r>
    </w:p>
    <w:p w:rsidR="00E33C50" w:rsidRPr="00E33C50" w:rsidRDefault="00E33C50" w:rsidP="00E33C50">
      <w:r w:rsidRPr="00E33C50">
        <w:t>Con el fin de atender a un mayor número de solicitudes de subvención o de otorgar un importe más alto en las subvenciones, este crédito podrá ser ampliado con una cantidad adicional de como máximo un 20 %, derivada de una modificación de crédito. La efectividad de la cuantía adicional estará condicionada a la correspondiente declaración de disponibilidad de crédito previamente a la resolución de las subvenciones y la aprobación del aumento de la convocatoria.</w:t>
      </w:r>
    </w:p>
    <w:p w:rsidR="00E33C50" w:rsidRPr="00E33C50" w:rsidRDefault="00E33C50" w:rsidP="00E33C50"/>
    <w:p w:rsidR="00E33C50" w:rsidRPr="00E33C50" w:rsidRDefault="00E33C50" w:rsidP="00E33C50">
      <w:pPr>
        <w:rPr>
          <w:b/>
        </w:rPr>
      </w:pPr>
      <w:r w:rsidRPr="00E33C50">
        <w:rPr>
          <w:b/>
        </w:rPr>
        <w:t>3. Plazo</w:t>
      </w:r>
      <w:r w:rsidRPr="00E33C50">
        <w:rPr>
          <w:b/>
        </w:rPr>
        <w:t xml:space="preserve"> de presentación de solicitudes</w:t>
      </w:r>
    </w:p>
    <w:p w:rsidR="00E33C50" w:rsidRPr="00E33C50" w:rsidRDefault="00E33C50" w:rsidP="00E33C50">
      <w:r w:rsidRPr="00E33C50">
        <w:t>El plazo de presentación de solicitudes es de diez días naturales a partir del día siguiente de la publicación del extracto de la convocatoria en el BOPG.</w:t>
      </w:r>
    </w:p>
    <w:p w:rsidR="00E33C50" w:rsidRPr="00E33C50" w:rsidRDefault="00E33C50" w:rsidP="00E33C50">
      <w:r w:rsidRPr="00E33C50">
        <w:t>Es necesario formular las solicitudes mediante el modelo normalizado disponible en la web de la Diputación de Girona [Diputación de Girona - Subvenciones - Subvenciones para la redacción de planes de ciudad, programas funcionales, proyectos de mobiliario, señalización y construcción para bibliotecas del Sistema de Lectura Pública (2024) (ddgi.cat)], acompañado de la documentación prevista en el artículo 8 de las bases reguladoras.</w:t>
      </w:r>
    </w:p>
    <w:p w:rsidR="00E33C50" w:rsidRPr="00E33C50" w:rsidRDefault="00E33C50" w:rsidP="00E33C50">
      <w:r w:rsidRPr="00E33C50">
        <w:lastRenderedPageBreak/>
        <w:t>Las solicitudes, cuya presentación debe ser telemática (EACAT), deben estar firmadas electrónicamente mediante un certificado validado en la plataforma PSIS del Consorcio de Administración Abierta de Cataluña.</w:t>
      </w:r>
    </w:p>
    <w:p w:rsidR="00E33C50" w:rsidRPr="00E33C50" w:rsidRDefault="00E33C50" w:rsidP="00E33C50">
      <w:pPr>
        <w:rPr>
          <w:b/>
        </w:rPr>
      </w:pPr>
      <w:r w:rsidRPr="00E33C50">
        <w:rPr>
          <w:b/>
        </w:rPr>
        <w:t xml:space="preserve">Ámbito temporal </w:t>
      </w:r>
      <w:r w:rsidRPr="00E33C50">
        <w:rPr>
          <w:b/>
        </w:rPr>
        <w:t>de las acciones subvencionables</w:t>
      </w:r>
    </w:p>
    <w:p w:rsidR="00E33C50" w:rsidRPr="00E33C50" w:rsidRDefault="00E33C50" w:rsidP="00E33C50">
      <w:r w:rsidRPr="00E33C50">
        <w:t>Se subvencionarán actuaciones, actividades o inversiones realizadas a partir de 1 de enero de 2022 y hasta el plazo de ejecución fijado en las bases para cada tipo de subvención a partir de la resolución del otorg</w:t>
      </w:r>
      <w:r w:rsidRPr="00E33C50">
        <w:t>amiento de la subvención.</w:t>
      </w:r>
    </w:p>
    <w:p w:rsidR="00E33C50" w:rsidRPr="00E33C50" w:rsidRDefault="00E33C50" w:rsidP="00E33C50">
      <w:r w:rsidRPr="00E33C50">
        <w:t>El período de ejecución se inicia al día siguiente de la notificación de la resolución de la Junta de Gobierno en la que se a</w:t>
      </w:r>
      <w:r w:rsidRPr="00E33C50">
        <w:t xml:space="preserve">prueben las subvenciones y </w:t>
      </w:r>
      <w:r w:rsidRPr="00E33C50">
        <w:t>finaliza se</w:t>
      </w:r>
      <w:r w:rsidRPr="00E33C50">
        <w:t>gún el objeto de la subvención:</w:t>
      </w:r>
    </w:p>
    <w:p w:rsidR="00E33C50" w:rsidRPr="00E33C50" w:rsidRDefault="00E33C50" w:rsidP="00E33C50">
      <w:r w:rsidRPr="00E33C50">
        <w:t>- Para los proyectos de señalización y mobiliario: ocho meses.</w:t>
      </w:r>
    </w:p>
    <w:p w:rsidR="00E33C50" w:rsidRPr="00E33C50" w:rsidRDefault="00E33C50" w:rsidP="00E33C50">
      <w:r w:rsidRPr="00E33C50">
        <w:t>- Planes de ciudad, programas funcionales, proyectos básicos: diez meses.</w:t>
      </w:r>
    </w:p>
    <w:p w:rsidR="00E33C50" w:rsidRPr="00E33C50" w:rsidRDefault="00E33C50" w:rsidP="00E33C50">
      <w:r w:rsidRPr="00E33C50">
        <w:t>- Proye</w:t>
      </w:r>
      <w:r w:rsidRPr="00E33C50">
        <w:t>ctos ejecutivos: catorce meses.</w:t>
      </w:r>
    </w:p>
    <w:p w:rsidR="00E33C50" w:rsidRPr="00E33C50" w:rsidRDefault="00E33C50" w:rsidP="00E33C50">
      <w:r w:rsidRPr="00E33C50">
        <w:t>Este plazo de ejecución podrá ampliarse previa solicitud del beneficiario, mediante resolución del presidente de la Diputación, hasta un máximo de seis meses en situaciones excepcionales justificadas, y siempre que no se condicione la ejecución presupuestaria del centro gestor.</w:t>
      </w:r>
    </w:p>
    <w:p w:rsidR="00E33C50" w:rsidRPr="00E33C50" w:rsidRDefault="00E33C50" w:rsidP="00E33C50"/>
    <w:p w:rsidR="00E33C50" w:rsidRPr="00E33C50" w:rsidRDefault="00E33C50" w:rsidP="00E33C50">
      <w:pPr>
        <w:rPr>
          <w:b/>
        </w:rPr>
      </w:pPr>
      <w:r w:rsidRPr="00E33C50">
        <w:rPr>
          <w:b/>
        </w:rPr>
        <w:t>Plazo para justificar las subvenciones</w:t>
      </w:r>
    </w:p>
    <w:p w:rsidR="00E33C50" w:rsidRPr="00E33C50" w:rsidRDefault="00E33C50" w:rsidP="00E33C50">
      <w:r w:rsidRPr="00E33C50">
        <w:t>El plazo para justificar las acciones subvencionadas es de treinta días a contar desde el día siguiente de la finalización del plazo de ejecución.</w:t>
      </w:r>
    </w:p>
    <w:p w:rsidR="00E33C50" w:rsidRPr="00E33C50" w:rsidRDefault="00E33C50" w:rsidP="00E33C50"/>
    <w:p w:rsidR="00E33C50" w:rsidRPr="00E33C50" w:rsidRDefault="00E33C50" w:rsidP="00E33C50">
      <w:pPr>
        <w:rPr>
          <w:b/>
        </w:rPr>
      </w:pPr>
      <w:r w:rsidRPr="00E33C50">
        <w:rPr>
          <w:b/>
        </w:rPr>
        <w:t>4. Plazo de resolución y notificación</w:t>
      </w:r>
    </w:p>
    <w:p w:rsidR="00E33C50" w:rsidRPr="00E33C50" w:rsidRDefault="00E33C50" w:rsidP="00E33C50">
      <w:pPr>
        <w:rPr>
          <w:b/>
        </w:rPr>
      </w:pPr>
      <w:r w:rsidRPr="00E33C50">
        <w:rPr>
          <w:b/>
        </w:rPr>
        <w:t>4.1. Plazo de resolución</w:t>
      </w:r>
    </w:p>
    <w:p w:rsidR="00E33C50" w:rsidRPr="00E33C50" w:rsidRDefault="00E33C50" w:rsidP="00E33C50">
      <w:r w:rsidRPr="00E33C50">
        <w:t>El plazo para resolver la convocatoria será el determinado en las bases. Una vez transcurrido el plazo sin que se haya adoptado resolución, los solicitantes podrán entender desestimadas sus solicitudes por silencio administrativo.</w:t>
      </w:r>
    </w:p>
    <w:p w:rsidR="00E33C50" w:rsidRPr="00E33C50" w:rsidRDefault="00E33C50" w:rsidP="00E33C50">
      <w:pPr>
        <w:rPr>
          <w:b/>
        </w:rPr>
      </w:pPr>
      <w:r w:rsidRPr="00E33C50">
        <w:rPr>
          <w:b/>
        </w:rPr>
        <w:t>4.2. Plazo de notificación</w:t>
      </w:r>
    </w:p>
    <w:p w:rsidR="00E33C50" w:rsidRPr="00E33C50" w:rsidRDefault="00E33C50" w:rsidP="00E33C50">
      <w:r w:rsidRPr="00E33C50">
        <w:t>Se notificará la resolución a todos los beneficiarios de forma individualizada, tal y como prevé el artículo 41.1 de la Ley 39/2015, de 1 de octubre, de procedimiento administrativo común de las administraciones públicas, y también a los peticionarios la solicitud de los que haya sido desestimada, en el plazo máximo de diez días hábiles, a contar desde la fecha en que se adopte el acuerdo.</w:t>
      </w:r>
    </w:p>
    <w:p w:rsidR="00E33C50" w:rsidRPr="00E33C50" w:rsidRDefault="00E33C50" w:rsidP="00E33C50"/>
    <w:p w:rsidR="00E33C50" w:rsidRPr="00E33C50" w:rsidRDefault="00E33C50" w:rsidP="00E33C50">
      <w:pPr>
        <w:rPr>
          <w:b/>
        </w:rPr>
      </w:pPr>
      <w:r w:rsidRPr="00E33C50">
        <w:rPr>
          <w:b/>
        </w:rPr>
        <w:t>5. Régimen de recursos</w:t>
      </w:r>
    </w:p>
    <w:p w:rsidR="00E33C50" w:rsidRPr="00E33C50" w:rsidRDefault="00E33C50" w:rsidP="00E33C50">
      <w:r w:rsidRPr="00E33C50">
        <w:t xml:space="preserve">La resolución de la convocatoria pone fin a la vía administrativa. Contra esta resolución procede interponer recurso contencioso administrativo ante el juzgado de lo contencioso administrativo de Girona, en el plazo de dos meses a contar desde el día siguiente de la </w:t>
      </w:r>
      <w:r w:rsidRPr="00E33C50">
        <w:lastRenderedPageBreak/>
        <w:t>notificación. Alternativamente, y de forma potestativa, se puede interponer recurso de reposición ante la Junta de Gobierno de la Diputación de Girona, en el plazo de un mes a contar desde el día siguiente de la notificación.</w:t>
      </w:r>
    </w:p>
    <w:p w:rsidR="00E33C50" w:rsidRPr="00E33C50" w:rsidRDefault="00E33C50" w:rsidP="00E33C50"/>
    <w:p w:rsidR="00E33C50" w:rsidRPr="00E33C50" w:rsidRDefault="00E33C50" w:rsidP="00E33C50">
      <w:pPr>
        <w:rPr>
          <w:b/>
        </w:rPr>
      </w:pPr>
      <w:r w:rsidRPr="00E33C50">
        <w:rPr>
          <w:b/>
        </w:rPr>
        <w:t>6. Publicidad</w:t>
      </w:r>
    </w:p>
    <w:p w:rsidR="00E33C50" w:rsidRPr="00E33C50" w:rsidRDefault="00E33C50" w:rsidP="00E33C50">
      <w:r w:rsidRPr="00E33C50">
        <w:t>Esta convocatoria se publicará en el tablón de anuncios de la Diputación y, de acuerdo con lo que prevé el artículo 17.3 b de la Ley 38/2003, general de subvenciones, se publicará su extracto en el BOPG.</w:t>
      </w:r>
    </w:p>
    <w:p w:rsidR="00E33C50" w:rsidRPr="00E33C50" w:rsidRDefault="00E33C50" w:rsidP="00E33C50"/>
    <w:p w:rsidR="00E33C50" w:rsidRPr="00E33C50" w:rsidRDefault="00E33C50" w:rsidP="00E33C50">
      <w:r w:rsidRPr="00E33C50">
        <w:t>Girona, fecha de la firma electrónica</w:t>
      </w:r>
    </w:p>
    <w:p w:rsidR="00E33C50" w:rsidRPr="00E33C50" w:rsidRDefault="00E33C50" w:rsidP="00E33C50"/>
    <w:p w:rsidR="00E33C50" w:rsidRPr="00E33C50" w:rsidRDefault="00E33C50" w:rsidP="00E33C50">
      <w:r w:rsidRPr="00E33C50">
        <w:t xml:space="preserve">Miquel </w:t>
      </w:r>
      <w:proofErr w:type="spellStart"/>
      <w:r w:rsidRPr="00E33C50">
        <w:t>Noguer</w:t>
      </w:r>
      <w:bookmarkStart w:id="0" w:name="_GoBack"/>
      <w:bookmarkEnd w:id="0"/>
      <w:proofErr w:type="spellEnd"/>
      <w:r w:rsidRPr="00E33C50">
        <w:t xml:space="preserve"> i Planas</w:t>
      </w:r>
    </w:p>
    <w:p w:rsidR="004D17D1" w:rsidRPr="00E33C50" w:rsidRDefault="00E33C50" w:rsidP="00E33C50">
      <w:r w:rsidRPr="00E33C50">
        <w:t>Presidente</w:t>
      </w:r>
    </w:p>
    <w:sectPr w:rsidR="004D17D1" w:rsidRPr="00E33C50">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3C50"/>
    <w:rsid w:val="00B26DE1"/>
    <w:rsid w:val="00E324F4"/>
    <w:rsid w:val="00E33C5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B5F60A"/>
  <w15:chartTrackingRefBased/>
  <w15:docId w15:val="{59CB687D-B904-4917-84D7-F6A4480F5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1135</Words>
  <Characters>6247</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XALOC</Company>
  <LinksUpToDate>false</LinksUpToDate>
  <CharactersWithSpaces>7368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Yanira Díaz Plaza</dc:creator>
  <cp:keywords/>
  <dc:description/>
  <cp:lastModifiedBy>Yanira Díaz Plaza</cp:lastModifiedBy>
  <cp:revision>1</cp:revision>
  <dcterms:created xsi:type="dcterms:W3CDTF">2024-10-03T12:50:00Z</dcterms:created>
  <dcterms:modified xsi:type="dcterms:W3CDTF">2024-10-03T12:57:00Z</dcterms:modified>
</cp:coreProperties>
</file>