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CAF81" w14:textId="1E58A364" w:rsidR="00E14255" w:rsidRPr="00784C0C" w:rsidRDefault="00784C0C" w:rsidP="00784C0C">
      <w:pPr>
        <w:jc w:val="center"/>
        <w:rPr>
          <w:rFonts w:ascii="Arial" w:hAnsi="Arial"/>
          <w:b/>
          <w:bCs/>
          <w:sz w:val="18"/>
          <w:szCs w:val="18"/>
          <w:lang w:val="ca-ES"/>
        </w:rPr>
      </w:pPr>
      <w:r w:rsidRPr="00784C0C">
        <w:rPr>
          <w:rFonts w:ascii="Arial" w:hAnsi="Arial"/>
          <w:b/>
          <w:bCs/>
          <w:sz w:val="18"/>
          <w:szCs w:val="18"/>
          <w:lang w:val="ca-ES"/>
        </w:rPr>
        <w:t>ANUNCI</w:t>
      </w:r>
    </w:p>
    <w:p w14:paraId="75F746E5" w14:textId="77777777" w:rsidR="00784C0C" w:rsidRPr="00784C0C" w:rsidRDefault="00784C0C" w:rsidP="001B0876">
      <w:pPr>
        <w:rPr>
          <w:rFonts w:hint="eastAsia"/>
          <w:lang w:val="ca-ES"/>
        </w:rPr>
      </w:pPr>
    </w:p>
    <w:p w14:paraId="70E0871D" w14:textId="6CB70CB1" w:rsidR="00E056FB" w:rsidRDefault="00784C0C" w:rsidP="00424377">
      <w:pPr>
        <w:jc w:val="both"/>
        <w:rPr>
          <w:rFonts w:ascii="Arial" w:hAnsi="Arial"/>
          <w:sz w:val="18"/>
          <w:szCs w:val="18"/>
          <w:lang w:val="ca-ES"/>
        </w:rPr>
      </w:pPr>
      <w:r w:rsidRPr="00784C0C">
        <w:rPr>
          <w:rFonts w:ascii="Arial" w:hAnsi="Arial"/>
          <w:sz w:val="18"/>
          <w:szCs w:val="18"/>
          <w:lang w:val="ca-ES"/>
        </w:rPr>
        <w:t xml:space="preserve">Es fa públic per al general coneixement que en data </w:t>
      </w:r>
      <w:r w:rsidR="00E056FB">
        <w:rPr>
          <w:rFonts w:ascii="Arial" w:hAnsi="Arial"/>
          <w:sz w:val="18"/>
          <w:szCs w:val="18"/>
          <w:lang w:val="ca-ES"/>
        </w:rPr>
        <w:t>17</w:t>
      </w:r>
      <w:r w:rsidRPr="00784C0C">
        <w:rPr>
          <w:rFonts w:ascii="Arial" w:hAnsi="Arial"/>
          <w:sz w:val="18"/>
          <w:szCs w:val="18"/>
          <w:lang w:val="ca-ES"/>
        </w:rPr>
        <w:t xml:space="preserve"> de </w:t>
      </w:r>
      <w:r w:rsidR="00E056FB">
        <w:rPr>
          <w:rFonts w:ascii="Arial" w:hAnsi="Arial"/>
          <w:sz w:val="18"/>
          <w:szCs w:val="18"/>
          <w:lang w:val="ca-ES"/>
        </w:rPr>
        <w:t>juny</w:t>
      </w:r>
      <w:r w:rsidRPr="00784C0C">
        <w:rPr>
          <w:rFonts w:ascii="Arial" w:hAnsi="Arial"/>
          <w:sz w:val="18"/>
          <w:szCs w:val="18"/>
          <w:lang w:val="ca-ES"/>
        </w:rPr>
        <w:t xml:space="preserve"> de 2026, </w:t>
      </w:r>
      <w:r w:rsidR="00E056FB">
        <w:rPr>
          <w:rFonts w:ascii="Arial" w:hAnsi="Arial"/>
          <w:sz w:val="18"/>
          <w:szCs w:val="18"/>
          <w:lang w:val="ca-ES"/>
        </w:rPr>
        <w:t>la Junta de Govern Local va aprovar la convocatòria de la Beca d’investigació i recerca de l’</w:t>
      </w:r>
      <w:r w:rsidR="00E07BEC">
        <w:rPr>
          <w:rFonts w:ascii="Arial" w:hAnsi="Arial"/>
          <w:sz w:val="18"/>
          <w:szCs w:val="18"/>
          <w:lang w:val="ca-ES"/>
        </w:rPr>
        <w:t>A</w:t>
      </w:r>
      <w:r w:rsidR="00E056FB">
        <w:rPr>
          <w:rFonts w:ascii="Arial" w:hAnsi="Arial"/>
          <w:sz w:val="18"/>
          <w:szCs w:val="18"/>
          <w:lang w:val="ca-ES"/>
        </w:rPr>
        <w:t>juntament de Montmeló per l’any 2026, amb els seg</w:t>
      </w:r>
      <w:r w:rsidR="00E07BEC">
        <w:rPr>
          <w:rFonts w:ascii="Arial" w:hAnsi="Arial"/>
          <w:sz w:val="18"/>
          <w:szCs w:val="18"/>
          <w:lang w:val="ca-ES"/>
        </w:rPr>
        <w:t>ü</w:t>
      </w:r>
      <w:r w:rsidR="00E056FB">
        <w:rPr>
          <w:rFonts w:ascii="Arial" w:hAnsi="Arial"/>
          <w:sz w:val="18"/>
          <w:szCs w:val="18"/>
          <w:lang w:val="ca-ES"/>
        </w:rPr>
        <w:t>ents acords:</w:t>
      </w:r>
    </w:p>
    <w:p w14:paraId="1FD742DB" w14:textId="77777777" w:rsidR="00E056FB" w:rsidRDefault="00E056FB" w:rsidP="001B0876">
      <w:pPr>
        <w:rPr>
          <w:rFonts w:ascii="Arial" w:hAnsi="Arial"/>
          <w:sz w:val="18"/>
          <w:szCs w:val="18"/>
          <w:lang w:val="ca-ES"/>
        </w:rPr>
      </w:pPr>
    </w:p>
    <w:p w14:paraId="13CB6CC4" w14:textId="77777777" w:rsidR="00424377" w:rsidRPr="00424377" w:rsidRDefault="00424377" w:rsidP="00424377">
      <w:pPr>
        <w:rPr>
          <w:rFonts w:ascii="Arial" w:eastAsia="Arial" w:hAnsi="Arial"/>
          <w:kern w:val="0"/>
          <w:sz w:val="18"/>
          <w:szCs w:val="18"/>
          <w:lang w:val="ca-ES" w:eastAsia="en-US" w:bidi="ar-SA"/>
        </w:rPr>
      </w:pPr>
    </w:p>
    <w:p w14:paraId="721AAD65" w14:textId="47DD98AA" w:rsidR="00424377" w:rsidRPr="00424377" w:rsidRDefault="00424377" w:rsidP="00424377">
      <w:pPr>
        <w:spacing w:after="120"/>
        <w:jc w:val="both"/>
        <w:textAlignment w:val="auto"/>
        <w:rPr>
          <w:rFonts w:hint="eastAsia"/>
        </w:rPr>
      </w:pPr>
      <w:r w:rsidRPr="00424377">
        <w:rPr>
          <w:rFonts w:ascii="Arial" w:eastAsia="Arial" w:hAnsi="Arial"/>
          <w:kern w:val="0"/>
          <w:sz w:val="18"/>
          <w:szCs w:val="18"/>
          <w:lang w:val="ca" w:eastAsia="en-US" w:bidi="ar-SA"/>
        </w:rPr>
        <w:t xml:space="preserve">Primer.- </w:t>
      </w:r>
      <w:r w:rsidRPr="00424377">
        <w:rPr>
          <w:rFonts w:ascii="Arial" w:eastAsia="Arial" w:hAnsi="Arial"/>
          <w:b/>
          <w:bCs/>
          <w:kern w:val="0"/>
          <w:sz w:val="18"/>
          <w:szCs w:val="18"/>
          <w:lang w:val="ca" w:eastAsia="en-US" w:bidi="ar-SA"/>
        </w:rPr>
        <w:t xml:space="preserve">APROVAR </w:t>
      </w:r>
      <w:r w:rsidRPr="00424377">
        <w:rPr>
          <w:rFonts w:ascii="Arial" w:eastAsia="Arial" w:hAnsi="Arial"/>
          <w:kern w:val="0"/>
          <w:sz w:val="18"/>
          <w:szCs w:val="18"/>
          <w:lang w:val="ca" w:eastAsia="en-US" w:bidi="ar-SA"/>
        </w:rPr>
        <w:t xml:space="preserve">la convocatòria per a la concessió </w:t>
      </w:r>
      <w:r w:rsidRPr="00424377">
        <w:rPr>
          <w:rFonts w:ascii="Arial" w:eastAsia="Arial" w:hAnsi="Arial" w:cs="Times New Roman"/>
          <w:kern w:val="0"/>
          <w:sz w:val="18"/>
          <w:szCs w:val="18"/>
          <w:lang w:val="ca-ES" w:eastAsia="en-US" w:bidi="ar-SA"/>
        </w:rPr>
        <w:t>d’una beca d’investigació i recerca de l’</w:t>
      </w:r>
      <w:r w:rsidR="00E07BEC">
        <w:rPr>
          <w:rFonts w:ascii="Arial" w:eastAsia="Arial" w:hAnsi="Arial" w:cs="Times New Roman"/>
          <w:kern w:val="0"/>
          <w:sz w:val="18"/>
          <w:szCs w:val="18"/>
          <w:lang w:val="ca-ES" w:eastAsia="en-US" w:bidi="ar-SA"/>
        </w:rPr>
        <w:t>A</w:t>
      </w:r>
      <w:r w:rsidRPr="00424377">
        <w:rPr>
          <w:rFonts w:ascii="Arial" w:eastAsia="Arial" w:hAnsi="Arial" w:cs="Times New Roman"/>
          <w:kern w:val="0"/>
          <w:sz w:val="18"/>
          <w:szCs w:val="18"/>
          <w:lang w:val="ca-ES" w:eastAsia="en-US" w:bidi="ar-SA"/>
        </w:rPr>
        <w:t>juntament de Montmeló per l’any 2026</w:t>
      </w:r>
      <w:r w:rsidRPr="00424377">
        <w:rPr>
          <w:rFonts w:ascii="Arial" w:eastAsia="Arial" w:hAnsi="Arial"/>
          <w:kern w:val="0"/>
          <w:sz w:val="18"/>
          <w:szCs w:val="18"/>
          <w:lang w:val="ca" w:eastAsia="en-US" w:bidi="ar-SA"/>
        </w:rPr>
        <w:t xml:space="preserve">, d’acord amb l’annex 1. </w:t>
      </w:r>
    </w:p>
    <w:p w14:paraId="047AFDD9" w14:textId="77777777" w:rsidR="00424377" w:rsidRPr="00424377" w:rsidRDefault="00424377" w:rsidP="00424377">
      <w:pPr>
        <w:spacing w:after="120"/>
        <w:jc w:val="both"/>
        <w:textAlignment w:val="auto"/>
        <w:rPr>
          <w:rFonts w:hint="eastAsia"/>
        </w:rPr>
      </w:pPr>
      <w:r w:rsidRPr="00424377">
        <w:rPr>
          <w:rFonts w:ascii="Arial" w:eastAsia="Arial" w:hAnsi="Arial"/>
          <w:kern w:val="0"/>
          <w:sz w:val="18"/>
          <w:szCs w:val="18"/>
          <w:lang w:val="ca-ES" w:eastAsia="en-US" w:bidi="ar-SA"/>
        </w:rPr>
        <w:t xml:space="preserve">Segon.- </w:t>
      </w:r>
      <w:r w:rsidRPr="00424377">
        <w:rPr>
          <w:rFonts w:ascii="Arial" w:eastAsia="Arial" w:hAnsi="Arial"/>
          <w:b/>
          <w:bCs/>
          <w:kern w:val="0"/>
          <w:sz w:val="18"/>
          <w:szCs w:val="18"/>
          <w:lang w:val="ca-ES" w:eastAsia="en-US" w:bidi="ar-SA"/>
        </w:rPr>
        <w:t>ESTABLIR</w:t>
      </w:r>
      <w:r w:rsidRPr="00424377">
        <w:rPr>
          <w:rFonts w:ascii="Arial" w:eastAsia="Arial" w:hAnsi="Arial"/>
          <w:kern w:val="0"/>
          <w:sz w:val="18"/>
          <w:szCs w:val="18"/>
          <w:lang w:val="ca-ES" w:eastAsia="en-US" w:bidi="ar-SA"/>
        </w:rPr>
        <w:t xml:space="preserve"> que el termini per a la presentació de sol·licituds s’iniciarà l’endemà de la publicació de la present convocatòria i finalitzarà transcorreguts 15 dies naturals des de la seva publicació, de conformitat amb el que estableixen</w:t>
      </w:r>
      <w:r w:rsidRPr="00424377">
        <w:rPr>
          <w:rFonts w:ascii="Arial" w:eastAsia="Arial" w:hAnsi="Arial"/>
          <w:kern w:val="0"/>
          <w:sz w:val="18"/>
          <w:szCs w:val="18"/>
          <w:lang w:val="ca" w:eastAsia="en-US" w:bidi="ar-SA"/>
        </w:rPr>
        <w:t xml:space="preserve"> les bases reguladores.</w:t>
      </w:r>
    </w:p>
    <w:p w14:paraId="7D690E93" w14:textId="77777777" w:rsidR="00424377" w:rsidRPr="00424377" w:rsidRDefault="00424377" w:rsidP="00424377">
      <w:pPr>
        <w:spacing w:after="120"/>
        <w:jc w:val="both"/>
        <w:textAlignment w:val="auto"/>
        <w:rPr>
          <w:rFonts w:hint="eastAsia"/>
        </w:rPr>
      </w:pPr>
      <w:r w:rsidRPr="00424377">
        <w:rPr>
          <w:rFonts w:ascii="Arial" w:eastAsia="Arial" w:hAnsi="Arial"/>
          <w:kern w:val="0"/>
          <w:sz w:val="18"/>
          <w:szCs w:val="18"/>
          <w:lang w:val="ca" w:eastAsia="en-US" w:bidi="ar-SA"/>
        </w:rPr>
        <w:t xml:space="preserve">Tercer.- </w:t>
      </w:r>
      <w:r w:rsidRPr="00424377">
        <w:rPr>
          <w:rFonts w:ascii="Arial" w:eastAsia="Arial" w:hAnsi="Arial"/>
          <w:b/>
          <w:bCs/>
          <w:kern w:val="0"/>
          <w:sz w:val="18"/>
          <w:szCs w:val="18"/>
          <w:lang w:val="ca" w:eastAsia="en-US" w:bidi="ar-SA"/>
        </w:rPr>
        <w:t>APROVAR</w:t>
      </w:r>
      <w:r w:rsidRPr="00424377">
        <w:rPr>
          <w:rFonts w:ascii="Arial" w:eastAsia="Arial" w:hAnsi="Arial"/>
          <w:kern w:val="0"/>
          <w:sz w:val="18"/>
          <w:szCs w:val="18"/>
          <w:lang w:val="ca" w:eastAsia="en-US" w:bidi="ar-SA"/>
        </w:rPr>
        <w:t xml:space="preserve"> I</w:t>
      </w:r>
      <w:r w:rsidRPr="00424377">
        <w:rPr>
          <w:rFonts w:ascii="Arial" w:eastAsia="Arial" w:hAnsi="Arial"/>
          <w:b/>
          <w:bCs/>
          <w:kern w:val="0"/>
          <w:sz w:val="18"/>
          <w:szCs w:val="18"/>
          <w:lang w:val="ca" w:eastAsia="en-US" w:bidi="ar-SA"/>
        </w:rPr>
        <w:t xml:space="preserve"> AUTORITZAR</w:t>
      </w:r>
      <w:r w:rsidRPr="00424377">
        <w:rPr>
          <w:rFonts w:ascii="Arial" w:eastAsia="Arial" w:hAnsi="Arial"/>
          <w:kern w:val="0"/>
          <w:sz w:val="18"/>
          <w:szCs w:val="18"/>
          <w:lang w:val="ca" w:eastAsia="en-US" w:bidi="ar-SA"/>
        </w:rPr>
        <w:t xml:space="preserve"> la despesa destinada a aquesta convocatòria per un import total de 800 euros a càrrec de l’aplicació pressupostària </w:t>
      </w:r>
      <w:r w:rsidRPr="00424377">
        <w:rPr>
          <w:rFonts w:ascii="Arial" w:eastAsia="Times New Roman" w:hAnsi="Arial"/>
          <w:kern w:val="0"/>
          <w:sz w:val="20"/>
          <w:szCs w:val="20"/>
          <w:lang w:val="ca-ES" w:eastAsia="en-US" w:bidi="ar-SA"/>
        </w:rPr>
        <w:t>9200 480030 (ajuts treballs recerca</w:t>
      </w:r>
      <w:r w:rsidRPr="00424377">
        <w:rPr>
          <w:rFonts w:ascii="Arial" w:eastAsia="Arial" w:hAnsi="Arial"/>
          <w:i/>
          <w:iCs/>
          <w:kern w:val="0"/>
          <w:sz w:val="18"/>
          <w:szCs w:val="18"/>
          <w:lang w:val="ca" w:eastAsia="en-US" w:bidi="ar-SA"/>
        </w:rPr>
        <w:t xml:space="preserve">) </w:t>
      </w:r>
      <w:r w:rsidRPr="00424377">
        <w:rPr>
          <w:rFonts w:ascii="Arial" w:eastAsia="Arial" w:hAnsi="Arial"/>
          <w:kern w:val="0"/>
          <w:sz w:val="18"/>
          <w:szCs w:val="18"/>
          <w:lang w:val="ca" w:eastAsia="en-US" w:bidi="ar-SA"/>
        </w:rPr>
        <w:t xml:space="preserve">del pressupost municipal vigent per a l’any 2026. </w:t>
      </w:r>
    </w:p>
    <w:p w14:paraId="426105B4" w14:textId="77777777" w:rsidR="00424377" w:rsidRPr="00424377" w:rsidRDefault="00424377" w:rsidP="00424377">
      <w:pPr>
        <w:spacing w:after="120"/>
        <w:jc w:val="both"/>
        <w:rPr>
          <w:rFonts w:hint="eastAsia"/>
          <w:sz w:val="18"/>
        </w:rPr>
      </w:pPr>
      <w:r w:rsidRPr="00424377">
        <w:rPr>
          <w:rFonts w:ascii="Arial" w:eastAsia="Arial" w:hAnsi="Arial"/>
          <w:kern w:val="0"/>
          <w:sz w:val="18"/>
          <w:szCs w:val="18"/>
          <w:lang w:val="ca" w:eastAsia="en-US" w:bidi="ar-SA"/>
        </w:rPr>
        <w:t xml:space="preserve">Quart.- </w:t>
      </w:r>
      <w:r w:rsidRPr="00424377">
        <w:rPr>
          <w:rFonts w:ascii="Arial" w:eastAsia="Arial" w:hAnsi="Arial"/>
          <w:b/>
          <w:bCs/>
          <w:kern w:val="0"/>
          <w:sz w:val="18"/>
          <w:szCs w:val="18"/>
          <w:lang w:val="ca" w:eastAsia="en-US" w:bidi="ar-SA"/>
        </w:rPr>
        <w:t xml:space="preserve">PUBLICAR </w:t>
      </w:r>
      <w:r w:rsidRPr="00424377">
        <w:rPr>
          <w:rFonts w:ascii="Arial" w:eastAsia="Arial" w:hAnsi="Arial"/>
          <w:kern w:val="0"/>
          <w:sz w:val="18"/>
          <w:szCs w:val="18"/>
          <w:lang w:val="ca" w:eastAsia="en-US" w:bidi="ar-SA"/>
        </w:rPr>
        <w:t>la present convocatòria al BOPB a través de la Base de Dades Nacional de Subvencions (BDNS), al Registre d’Ajuts i Subvencions de Catalunya (RAISC) i al portal de transparència de l’Ajuntament de Montmeló</w:t>
      </w:r>
      <w:r w:rsidRPr="00424377">
        <w:rPr>
          <w:rFonts w:ascii="Arial" w:hAnsi="Arial"/>
          <w:sz w:val="18"/>
          <w:szCs w:val="18"/>
          <w:lang w:val="ca-ES"/>
        </w:rPr>
        <w:t>.</w:t>
      </w:r>
    </w:p>
    <w:p w14:paraId="19C4CA6E" w14:textId="77777777" w:rsidR="00424377" w:rsidRDefault="00424377" w:rsidP="001B0876">
      <w:pPr>
        <w:rPr>
          <w:rFonts w:ascii="Arial" w:hAnsi="Arial"/>
          <w:sz w:val="18"/>
          <w:szCs w:val="18"/>
        </w:rPr>
      </w:pPr>
    </w:p>
    <w:p w14:paraId="0A438743" w14:textId="77777777" w:rsidR="0070741E" w:rsidRDefault="0070741E" w:rsidP="001B0876">
      <w:pPr>
        <w:rPr>
          <w:rFonts w:ascii="Arial" w:hAnsi="Arial"/>
          <w:sz w:val="18"/>
          <w:szCs w:val="18"/>
        </w:rPr>
      </w:pPr>
    </w:p>
    <w:p w14:paraId="0E5CA6B5" w14:textId="6ECEB004" w:rsidR="007E5963" w:rsidRDefault="00424377" w:rsidP="001B0876">
      <w:pPr>
        <w:rPr>
          <w:rFonts w:ascii="Arial" w:hAnsi="Arial"/>
          <w:sz w:val="18"/>
          <w:szCs w:val="18"/>
        </w:rPr>
      </w:pPr>
      <w:proofErr w:type="spellStart"/>
      <w:r w:rsidRPr="00424377">
        <w:rPr>
          <w:rFonts w:ascii="Arial" w:hAnsi="Arial"/>
          <w:sz w:val="18"/>
          <w:szCs w:val="18"/>
        </w:rPr>
        <w:t>Annex</w:t>
      </w:r>
      <w:proofErr w:type="spellEnd"/>
      <w:r w:rsidRPr="00424377">
        <w:rPr>
          <w:rFonts w:ascii="Arial" w:hAnsi="Arial"/>
          <w:sz w:val="18"/>
          <w:szCs w:val="18"/>
        </w:rPr>
        <w:t xml:space="preserve"> 1</w:t>
      </w:r>
    </w:p>
    <w:p w14:paraId="3C29DD43" w14:textId="77777777" w:rsidR="00424377" w:rsidRDefault="00424377" w:rsidP="001B0876">
      <w:pPr>
        <w:rPr>
          <w:rFonts w:ascii="Arial" w:hAnsi="Arial"/>
          <w:sz w:val="18"/>
          <w:szCs w:val="18"/>
        </w:rPr>
      </w:pPr>
    </w:p>
    <w:p w14:paraId="21CC9F19" w14:textId="77777777" w:rsidR="00424377" w:rsidRPr="00424377" w:rsidRDefault="00424377" w:rsidP="00424377">
      <w:pPr>
        <w:autoSpaceDN/>
        <w:spacing w:line="240" w:lineRule="exact"/>
        <w:jc w:val="center"/>
        <w:textAlignment w:val="auto"/>
        <w:rPr>
          <w:rFonts w:ascii="Times New Roman" w:eastAsia="Times New Roman" w:hAnsi="Times New Roman" w:cs="Times New Roman"/>
          <w:kern w:val="0"/>
          <w:sz w:val="20"/>
          <w:szCs w:val="20"/>
          <w:lang w:val="ca-ES" w:eastAsia="en-US" w:bidi="ar-SA"/>
        </w:rPr>
      </w:pPr>
      <w:r w:rsidRPr="00424377">
        <w:rPr>
          <w:rFonts w:ascii="Arial" w:eastAsia="Arial" w:hAnsi="Arial" w:cs="Times New Roman"/>
          <w:b/>
          <w:kern w:val="0"/>
          <w:sz w:val="20"/>
          <w:szCs w:val="20"/>
          <w:lang w:val="ca-ES" w:eastAsia="en-US" w:bidi="ar-SA"/>
        </w:rPr>
        <w:t>CONVOCATÒRIA DE LA BECA D’INVESTIGACIÓ I RECERCA DE L’AJUNTAMENT DE MONTMELÓ PER A L’ANY 2026</w:t>
      </w:r>
    </w:p>
    <w:p w14:paraId="20A8775E" w14:textId="77777777" w:rsidR="00424377" w:rsidRPr="00424377" w:rsidRDefault="00424377" w:rsidP="00424377">
      <w:pPr>
        <w:autoSpaceDN/>
        <w:spacing w:line="240" w:lineRule="exact"/>
        <w:jc w:val="both"/>
        <w:textAlignment w:val="auto"/>
        <w:rPr>
          <w:rFonts w:ascii="Arial" w:eastAsia="Arial" w:hAnsi="Arial"/>
          <w:b/>
          <w:bCs/>
          <w:kern w:val="0"/>
          <w:sz w:val="20"/>
          <w:szCs w:val="20"/>
          <w:lang w:val="ca-ES" w:eastAsia="en-US" w:bidi="ar-SA"/>
        </w:rPr>
      </w:pPr>
    </w:p>
    <w:p w14:paraId="79F82045" w14:textId="77777777" w:rsidR="00424377" w:rsidRPr="00424377" w:rsidRDefault="00424377" w:rsidP="00424377">
      <w:pPr>
        <w:autoSpaceDN/>
        <w:spacing w:line="240" w:lineRule="exact"/>
        <w:ind w:left="720" w:hanging="360"/>
        <w:jc w:val="both"/>
        <w:textAlignment w:val="auto"/>
        <w:outlineLvl w:val="0"/>
        <w:rPr>
          <w:rFonts w:ascii="Arial" w:eastAsia="Arial" w:hAnsi="Arial"/>
          <w:b/>
          <w:bCs/>
          <w:kern w:val="0"/>
          <w:sz w:val="20"/>
          <w:szCs w:val="20"/>
          <w:lang w:val="ca-ES" w:eastAsia="en-US" w:bidi="ar-SA"/>
        </w:rPr>
      </w:pPr>
      <w:r w:rsidRPr="00424377">
        <w:rPr>
          <w:rFonts w:ascii="Arial" w:eastAsia="Arial" w:hAnsi="Arial"/>
          <w:b/>
          <w:bCs/>
          <w:kern w:val="0"/>
          <w:sz w:val="20"/>
          <w:szCs w:val="20"/>
          <w:lang w:val="ca-ES" w:eastAsia="en-US" w:bidi="ar-SA"/>
        </w:rPr>
        <w:t>Objecte de la convocatòria</w:t>
      </w:r>
    </w:p>
    <w:p w14:paraId="3EFAF013" w14:textId="77777777" w:rsidR="00424377" w:rsidRPr="00424377" w:rsidRDefault="00424377" w:rsidP="00424377">
      <w:pPr>
        <w:autoSpaceDN/>
        <w:spacing w:line="240" w:lineRule="exact"/>
        <w:jc w:val="both"/>
        <w:textAlignment w:val="auto"/>
        <w:rPr>
          <w:rFonts w:ascii="Arial" w:eastAsia="Calibri" w:hAnsi="Arial"/>
          <w:bCs/>
          <w:color w:val="000000"/>
          <w:kern w:val="2"/>
          <w:sz w:val="20"/>
          <w:szCs w:val="20"/>
          <w:lang w:val="ca-ES" w:eastAsia="en-US" w:bidi="ar-SA"/>
        </w:rPr>
      </w:pPr>
    </w:p>
    <w:p w14:paraId="0C84CD6C" w14:textId="00AF0A85"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L’objecte d’aquesta convocatòria és regular el procediment per a la concessió de la beca d’investigació i recerca de l’Ajuntament de Montmeló, mitjançant el procediment de concurrència competitiva, per a l’any 2026.</w:t>
      </w:r>
    </w:p>
    <w:p w14:paraId="0ED07DD0" w14:textId="56335254"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Aquesta beca està destinada a alumnat de secundària i batxillerat de centres locals i a estudiants de grau universitari, amb l’objectiu de fomentar la investigació, la cultura i la ciència en l’àmbit del municipi de Montmeló.</w:t>
      </w:r>
    </w:p>
    <w:p w14:paraId="6F774C3B" w14:textId="77777777"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La beca respon a una finalitat d’interès general i utilitat pública, atès que té per objecte promoure, incentivar i donar suport a la realització d’estudis i treballs de recerca centrats en el municipi de Montmeló en tots els àmbits d’estudi, i neix amb la voluntat de fomentar la producció de coneixement rigorós i de qualitat sobre el municipi, així com de posar en valor el seu patrimoni material i immaterial, la seva evolució històrica i la seva realitat contemporània. Mitjançant l’atorgament d’aquesta beca, es pretén estimular la recerca acadèmica i independent, facilitant que investigadors i investigadores puguin desenvolupar projectes que aportin noves dades, anàlisis i interpretacions sobre Montmeló. Així mateix, la beca té una funció social i de foment de la participació ciutadana en la vida del municipi, i es fonamenta també en la voluntat municipal de fomentar l'arrelament dels joves investigadors al municipi i de dinamitzar el teixit associatiu local.</w:t>
      </w:r>
    </w:p>
    <w:p w14:paraId="4EB47210" w14:textId="77777777"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p>
    <w:p w14:paraId="44BEBEE4" w14:textId="1327CD83"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Bases reguladores</w:t>
      </w:r>
    </w:p>
    <w:p w14:paraId="057A012D" w14:textId="7903D661"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Les bases reguladores d’aquesta convocatòria es varen aprovar inicialment pel ple municipal en sessió de 31 de març de 2026, van ser publicades al Butlletí Oficial de la Província de Barcelona el 10 d’abril de 2026 i van quedar definitivament aprovades el dia 12 de maig de 2026.</w:t>
      </w:r>
    </w:p>
    <w:p w14:paraId="348BBC64" w14:textId="77777777"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D’acord amb aquestes bases, el procediment de concessió s’ha d’iniciar d’ofici mitjançant convocatòria pública aprovada per l’òrgan competent amb posterioritat a l’aprovació de les bases reguladores.</w:t>
      </w:r>
    </w:p>
    <w:p w14:paraId="6FC72623" w14:textId="77777777"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p>
    <w:p w14:paraId="47110BEA" w14:textId="2344457F"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Règim jurídic</w:t>
      </w:r>
    </w:p>
    <w:p w14:paraId="31198141" w14:textId="00812461"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En tot allò no previst a les bases i en aquesta convocatòria, serà d’aplicació allò</w:t>
      </w:r>
      <w:r w:rsidR="00E07BEC">
        <w:rPr>
          <w:rFonts w:ascii="Arial" w:eastAsia="Calibri" w:hAnsi="Arial"/>
          <w:bCs/>
          <w:color w:val="000000"/>
          <w:kern w:val="2"/>
          <w:sz w:val="20"/>
          <w:szCs w:val="20"/>
          <w:lang w:val="ca-ES" w:eastAsia="en-US" w:bidi="ar-SA"/>
        </w:rPr>
        <w:t xml:space="preserve"> </w:t>
      </w:r>
      <w:r w:rsidRPr="0070741E">
        <w:rPr>
          <w:rFonts w:ascii="Arial" w:eastAsia="Calibri" w:hAnsi="Arial"/>
          <w:bCs/>
          <w:color w:val="000000"/>
          <w:kern w:val="2"/>
          <w:sz w:val="20"/>
          <w:szCs w:val="20"/>
          <w:lang w:val="ca-ES" w:eastAsia="en-US" w:bidi="ar-SA"/>
        </w:rPr>
        <w:t>establert en la normativa vigent en matèria de subvencions atorgades per les administracions públiques, és a dir:</w:t>
      </w:r>
    </w:p>
    <w:p w14:paraId="3A805522" w14:textId="77777777" w:rsidR="00424377" w:rsidRPr="0070741E" w:rsidRDefault="00424377" w:rsidP="0070741E">
      <w:pPr>
        <w:numPr>
          <w:ilvl w:val="0"/>
          <w:numId w:val="30"/>
        </w:num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La Llei 38/2003, de 17 de novembre, general de subvencions (en endavant, LGS).</w:t>
      </w:r>
    </w:p>
    <w:p w14:paraId="684ECDDE" w14:textId="77777777" w:rsidR="00424377" w:rsidRPr="0070741E" w:rsidRDefault="00424377" w:rsidP="0070741E">
      <w:pPr>
        <w:numPr>
          <w:ilvl w:val="0"/>
          <w:numId w:val="30"/>
        </w:num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lastRenderedPageBreak/>
        <w:t>El Reial decret 887/2006, de 21 de juliol, pel qual s'aprova el Reglament de la Llei 38/2003 (en endavant, RLGS).</w:t>
      </w:r>
    </w:p>
    <w:p w14:paraId="323CB9A8" w14:textId="77777777" w:rsidR="00424377" w:rsidRPr="0070741E" w:rsidRDefault="00424377" w:rsidP="0070741E">
      <w:pPr>
        <w:numPr>
          <w:ilvl w:val="0"/>
          <w:numId w:val="30"/>
        </w:num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Les bases d’execució del pressupost municipal.</w:t>
      </w:r>
    </w:p>
    <w:p w14:paraId="5EAB2D1C" w14:textId="77777777" w:rsidR="00424377" w:rsidRPr="0070741E" w:rsidRDefault="00424377" w:rsidP="0070741E">
      <w:pPr>
        <w:numPr>
          <w:ilvl w:val="0"/>
          <w:numId w:val="30"/>
        </w:num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Calibri" w:hAnsi="Arial"/>
          <w:bCs/>
          <w:color w:val="000000"/>
          <w:kern w:val="2"/>
          <w:sz w:val="20"/>
          <w:szCs w:val="20"/>
          <w:lang w:val="ca-ES" w:eastAsia="en-US" w:bidi="ar-SA"/>
        </w:rPr>
        <w:t>L’ordenança general de subvencions de l’Ajuntament de Montmeló.</w:t>
      </w:r>
    </w:p>
    <w:p w14:paraId="67EE6529" w14:textId="77777777"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p>
    <w:p w14:paraId="395EE703" w14:textId="3E5A304F"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bookmarkStart w:id="0" w:name="_Toc224643473"/>
      <w:r w:rsidRPr="0070741E">
        <w:rPr>
          <w:rFonts w:ascii="Arial" w:eastAsia="Arial" w:hAnsi="Arial"/>
          <w:b/>
          <w:bCs/>
          <w:kern w:val="0"/>
          <w:sz w:val="20"/>
          <w:szCs w:val="20"/>
          <w:lang w:val="ca-ES" w:eastAsia="en-US" w:bidi="ar-SA"/>
        </w:rPr>
        <w:t>Procediment de concessió</w:t>
      </w:r>
      <w:bookmarkEnd w:id="0"/>
    </w:p>
    <w:p w14:paraId="5BBAA9E2" w14:textId="24FC2D6E"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La beca serà concedida d’acord amb els principis de publicitat, transparència, objectivitat, igualtat i no discriminació.</w:t>
      </w:r>
    </w:p>
    <w:p w14:paraId="23143299"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El procediment de concessió és el de concurrència competitiva. Aquest procediment es realitza mitjançant la comparativa de les sol·licituds presentades, amb l’objectiu d’establir una prelació entre elles d’acord amb els criteris de valoració establerts en aquestes bases i a la convocatòria, i l’adjudicació, dins del crèdit disponible, a favor d’aquelles que hagin obtingut major valoració.</w:t>
      </w:r>
    </w:p>
    <w:p w14:paraId="58E5D5D9" w14:textId="77777777"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p>
    <w:p w14:paraId="1BF79EE9" w14:textId="7967898F"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Presentació de sol·licituds</w:t>
      </w:r>
    </w:p>
    <w:p w14:paraId="347B4415" w14:textId="1415206C"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Arial" w:hAnsi="Arial"/>
          <w:bCs/>
          <w:color w:val="000000"/>
          <w:kern w:val="0"/>
          <w:sz w:val="20"/>
          <w:szCs w:val="20"/>
          <w:lang w:val="ca-ES" w:eastAsia="en-US" w:bidi="ar-SA"/>
        </w:rPr>
        <w:t>Les sol·licituds per optar a la beca s’han de presentar en el termini de</w:t>
      </w:r>
      <w:r w:rsidRPr="0070741E">
        <w:rPr>
          <w:rFonts w:ascii="Arial" w:eastAsia="Calibri" w:hAnsi="Arial"/>
          <w:bCs/>
          <w:color w:val="000000"/>
          <w:kern w:val="2"/>
          <w:sz w:val="20"/>
          <w:szCs w:val="20"/>
          <w:lang w:val="ca-ES" w:eastAsia="en-US" w:bidi="ar-SA"/>
        </w:rPr>
        <w:t xml:space="preserve"> 15 dies naturals des de la publicació de la convocatòria de conformitat amb el que estableixen les bases reguladores.</w:t>
      </w:r>
    </w:p>
    <w:p w14:paraId="3DB722F4" w14:textId="09899140" w:rsidR="00424377" w:rsidRPr="0070741E" w:rsidRDefault="00424377" w:rsidP="0070741E">
      <w:pPr>
        <w:autoSpaceDN/>
        <w:spacing w:after="120"/>
        <w:jc w:val="both"/>
        <w:textAlignment w:val="auto"/>
        <w:rPr>
          <w:rFonts w:ascii="Arial" w:eastAsia="Calibri" w:hAnsi="Arial"/>
          <w:bCs/>
          <w:color w:val="000000"/>
          <w:kern w:val="2"/>
          <w:sz w:val="20"/>
          <w:szCs w:val="20"/>
          <w:lang w:val="ca-ES" w:eastAsia="en-US" w:bidi="ar-SA"/>
        </w:rPr>
      </w:pPr>
      <w:r w:rsidRPr="0070741E">
        <w:rPr>
          <w:rFonts w:ascii="Arial" w:eastAsia="Arial" w:hAnsi="Arial"/>
          <w:bCs/>
          <w:kern w:val="0"/>
          <w:sz w:val="20"/>
          <w:szCs w:val="20"/>
          <w:lang w:val="ca-ES" w:eastAsia="en-US" w:bidi="ar-SA"/>
        </w:rPr>
        <w:t>No s’admetrà cap sol·licitud presentada fora de termini.</w:t>
      </w:r>
    </w:p>
    <w:p w14:paraId="35C4BBA4"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Els beneficiaris de la beca han de complir els requisits i condicions regulats a la clàusula 4 de les bases reguladores, i han d’adjuntar a la sol·licitud la documentació exigida a la clàusula 11 de les bases.</w:t>
      </w:r>
    </w:p>
    <w:p w14:paraId="575F439D"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p w14:paraId="4CB93213" w14:textId="7D95F8B2"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Import de la beca</w:t>
      </w:r>
    </w:p>
    <w:p w14:paraId="0C4D17A9" w14:textId="7D72CA8F"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Calibri" w:hAnsi="Arial"/>
          <w:bCs/>
          <w:color w:val="000000"/>
          <w:kern w:val="2"/>
          <w:sz w:val="20"/>
          <w:szCs w:val="20"/>
          <w:lang w:val="ca-ES" w:eastAsia="en-US" w:bidi="ar-SA"/>
        </w:rPr>
        <w:t xml:space="preserve">La quantia total màxima destinada aquesta convocatòria és de 800€, amb càrrec a </w:t>
      </w:r>
      <w:r w:rsidRPr="0070741E">
        <w:rPr>
          <w:rFonts w:ascii="Arial" w:eastAsia="Times New Roman" w:hAnsi="Arial"/>
          <w:kern w:val="0"/>
          <w:sz w:val="20"/>
          <w:szCs w:val="20"/>
          <w:lang w:val="ca-ES" w:eastAsia="en-US" w:bidi="ar-SA"/>
        </w:rPr>
        <w:t>la partida pressupostària partida 9200 480030 (ajuts treballs recerca)</w:t>
      </w:r>
      <w:r w:rsidRPr="0070741E">
        <w:rPr>
          <w:rFonts w:ascii="Arial" w:eastAsia="Calibri" w:hAnsi="Arial"/>
          <w:bCs/>
          <w:color w:val="000000"/>
          <w:kern w:val="2"/>
          <w:sz w:val="20"/>
          <w:szCs w:val="20"/>
          <w:lang w:val="ca-ES" w:eastAsia="en-US" w:bidi="ar-SA"/>
        </w:rPr>
        <w:t xml:space="preserve"> </w:t>
      </w:r>
      <w:r w:rsidRPr="0070741E">
        <w:rPr>
          <w:rFonts w:ascii="Arial" w:eastAsia="Times New Roman" w:hAnsi="Arial"/>
          <w:kern w:val="0"/>
          <w:sz w:val="20"/>
          <w:szCs w:val="20"/>
          <w:lang w:val="ca-ES" w:eastAsia="en-US" w:bidi="ar-SA"/>
        </w:rPr>
        <w:t>del pressupost municipal de l’exercici 2026.</w:t>
      </w:r>
    </w:p>
    <w:p w14:paraId="599AEBB7" w14:textId="37D1C091"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Calibri" w:hAnsi="Arial"/>
          <w:bCs/>
          <w:color w:val="000000"/>
          <w:kern w:val="2"/>
          <w:sz w:val="20"/>
          <w:szCs w:val="20"/>
          <w:lang w:val="ca-ES" w:eastAsia="en-US" w:bidi="ar-SA"/>
        </w:rPr>
        <w:t>La dotació econòmica prevista per cadascuna de les dues línies d’ajut és de 300€ per a la línia A i de 500€ per a la línia B.</w:t>
      </w:r>
    </w:p>
    <w:p w14:paraId="2751B428"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Calibri" w:hAnsi="Arial"/>
          <w:bCs/>
          <w:color w:val="000000"/>
          <w:kern w:val="2"/>
          <w:sz w:val="20"/>
          <w:szCs w:val="20"/>
          <w:lang w:val="ca-ES" w:eastAsia="en-US" w:bidi="ar-SA"/>
        </w:rPr>
        <w:t>S’atorgarà una beca per a cadascuna de les dues línies subvencionables previstes a les bases reguladores.</w:t>
      </w:r>
    </w:p>
    <w:p w14:paraId="047932DC" w14:textId="77777777" w:rsidR="00424377" w:rsidRPr="0070741E" w:rsidRDefault="00424377" w:rsidP="0070741E">
      <w:pPr>
        <w:autoSpaceDN/>
        <w:spacing w:after="120"/>
        <w:jc w:val="both"/>
        <w:textAlignment w:val="auto"/>
        <w:rPr>
          <w:rFonts w:ascii="Arial" w:eastAsia="Times New Roman" w:hAnsi="Arial"/>
          <w:bCs/>
          <w:kern w:val="0"/>
          <w:sz w:val="20"/>
          <w:szCs w:val="20"/>
          <w:lang w:val="ca-ES" w:eastAsia="en-US" w:bidi="ar-SA"/>
        </w:rPr>
      </w:pPr>
    </w:p>
    <w:p w14:paraId="0B898E5A" w14:textId="04D554D2"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bookmarkStart w:id="1" w:name="_Toc224643476"/>
      <w:r w:rsidRPr="0070741E">
        <w:rPr>
          <w:rFonts w:ascii="Arial" w:eastAsia="Arial" w:hAnsi="Arial"/>
          <w:b/>
          <w:bCs/>
          <w:kern w:val="0"/>
          <w:sz w:val="20"/>
          <w:szCs w:val="20"/>
          <w:lang w:val="ca-ES" w:eastAsia="en-US" w:bidi="ar-SA"/>
        </w:rPr>
        <w:t>Termini subvencionable</w:t>
      </w:r>
      <w:bookmarkEnd w:id="1"/>
    </w:p>
    <w:p w14:paraId="3726D7B5"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El període d’execució dels treballs susceptibles de l’atorgament de la subvenció és d’1 any.</w:t>
      </w:r>
    </w:p>
    <w:p w14:paraId="682DF964" w14:textId="77777777" w:rsidR="00424377" w:rsidRPr="0070741E" w:rsidRDefault="00424377" w:rsidP="0070741E">
      <w:pPr>
        <w:autoSpaceDN/>
        <w:spacing w:after="120"/>
        <w:jc w:val="both"/>
        <w:textAlignment w:val="auto"/>
        <w:rPr>
          <w:rFonts w:ascii="Arial" w:eastAsia="Times New Roman" w:hAnsi="Arial"/>
          <w:bCs/>
          <w:kern w:val="0"/>
          <w:sz w:val="20"/>
          <w:szCs w:val="20"/>
          <w:lang w:val="ca-ES" w:eastAsia="en-US" w:bidi="ar-SA"/>
        </w:rPr>
      </w:pPr>
    </w:p>
    <w:p w14:paraId="1EC6C9E9" w14:textId="7FECEC0D"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Criteris de valoració</w:t>
      </w:r>
    </w:p>
    <w:p w14:paraId="712AE3D8" w14:textId="3F28B2F9" w:rsidR="00424377" w:rsidRPr="0070741E" w:rsidRDefault="00424377" w:rsidP="0070741E">
      <w:pPr>
        <w:autoSpaceDN/>
        <w:spacing w:after="120"/>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D’acord amb les bases reguladores, els projectes presentats seran valorats mitjançant l’assignació de puntuacions, d’acord amb els següents criteris:</w:t>
      </w:r>
    </w:p>
    <w:p w14:paraId="1573C6B0" w14:textId="77777777" w:rsidR="00424377" w:rsidRPr="0070741E" w:rsidRDefault="00424377" w:rsidP="0070741E">
      <w:pPr>
        <w:numPr>
          <w:ilvl w:val="0"/>
          <w:numId w:val="32"/>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u w:val="single"/>
          <w:lang w:val="ca-ES" w:eastAsia="en-US" w:bidi="ar-SA"/>
        </w:rPr>
        <w:t>Criteris avaluables automàticament</w:t>
      </w:r>
      <w:r w:rsidRPr="0070741E">
        <w:rPr>
          <w:rFonts w:ascii="Arial" w:eastAsia="Times New Roman" w:hAnsi="Arial"/>
          <w:kern w:val="0"/>
          <w:sz w:val="20"/>
          <w:szCs w:val="20"/>
          <w:lang w:val="ca-ES" w:eastAsia="en-US" w:bidi="ar-SA"/>
        </w:rPr>
        <w:t xml:space="preserve"> (fins a 2,5 punts):</w:t>
      </w:r>
    </w:p>
    <w:p w14:paraId="159A1319" w14:textId="77777777" w:rsidR="00424377" w:rsidRPr="0070741E" w:rsidRDefault="00424377" w:rsidP="0070741E">
      <w:pPr>
        <w:autoSpaceDN/>
        <w:spacing w:after="120"/>
        <w:ind w:left="708"/>
        <w:jc w:val="both"/>
        <w:textAlignment w:val="auto"/>
        <w:rPr>
          <w:rFonts w:ascii="Arial" w:eastAsia="Times New Roman" w:hAnsi="Arial"/>
          <w:kern w:val="0"/>
          <w:sz w:val="20"/>
          <w:szCs w:val="20"/>
          <w:lang w:val="ca-ES" w:eastAsia="en-US" w:bidi="ar-SA"/>
        </w:rPr>
      </w:pPr>
    </w:p>
    <w:p w14:paraId="52DB72A8" w14:textId="77777777" w:rsidR="00424377" w:rsidRPr="0070741E" w:rsidRDefault="00424377" w:rsidP="0070741E">
      <w:pPr>
        <w:autoSpaceDN/>
        <w:spacing w:after="120"/>
        <w:ind w:left="1134"/>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A.1. Formar part d’una entitat del municipi de Montmeló de caràcter associatiu, esportiu, cultural o d’una altra naturalesa similar: 1 punt.</w:t>
      </w:r>
    </w:p>
    <w:p w14:paraId="40020286" w14:textId="1766C4DD" w:rsidR="00424377" w:rsidRPr="0070741E" w:rsidRDefault="00424377" w:rsidP="0070741E">
      <w:pPr>
        <w:autoSpaceDN/>
        <w:spacing w:after="120"/>
        <w:ind w:left="1134"/>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A.2. L'àmbit d’estudi és íntegrament sobre Montmeló: 1,5 punts.</w:t>
      </w:r>
    </w:p>
    <w:p w14:paraId="2827A752" w14:textId="77777777" w:rsidR="00424377" w:rsidRPr="0070741E" w:rsidRDefault="00424377" w:rsidP="0070741E">
      <w:pPr>
        <w:numPr>
          <w:ilvl w:val="0"/>
          <w:numId w:val="32"/>
        </w:numPr>
        <w:autoSpaceDN/>
        <w:spacing w:after="120"/>
        <w:ind w:left="708"/>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u w:val="single"/>
          <w:lang w:val="ca-ES" w:eastAsia="en-US" w:bidi="ar-SA"/>
        </w:rPr>
        <w:t>Criteris avaluables mitjançant judici de valor</w:t>
      </w:r>
      <w:r w:rsidRPr="0070741E">
        <w:rPr>
          <w:rFonts w:ascii="Arial" w:eastAsia="Times New Roman" w:hAnsi="Arial"/>
          <w:kern w:val="0"/>
          <w:sz w:val="20"/>
          <w:szCs w:val="20"/>
          <w:lang w:val="ca-ES" w:eastAsia="en-US" w:bidi="ar-SA"/>
        </w:rPr>
        <w:t xml:space="preserve"> (fins a 10 punts). Es valorarà allò que suposi propostes innovadores i interessants per al municipi de Montmeló d’acord amb els criteris següents:</w:t>
      </w:r>
    </w:p>
    <w:p w14:paraId="144ACA0F"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tbl>
      <w:tblPr>
        <w:tblW w:w="4591" w:type="pct"/>
        <w:jc w:val="center"/>
        <w:tblLayout w:type="fixed"/>
        <w:tblCellMar>
          <w:top w:w="55" w:type="dxa"/>
          <w:left w:w="55" w:type="dxa"/>
          <w:bottom w:w="55" w:type="dxa"/>
          <w:right w:w="55" w:type="dxa"/>
        </w:tblCellMar>
        <w:tblLook w:val="04A0" w:firstRow="1" w:lastRow="0" w:firstColumn="1" w:lastColumn="0" w:noHBand="0" w:noVBand="1"/>
      </w:tblPr>
      <w:tblGrid>
        <w:gridCol w:w="4020"/>
        <w:gridCol w:w="1205"/>
        <w:gridCol w:w="1205"/>
        <w:gridCol w:w="1205"/>
        <w:gridCol w:w="1205"/>
      </w:tblGrid>
      <w:tr w:rsidR="00424377" w:rsidRPr="0070741E" w14:paraId="40B73C9F" w14:textId="77777777" w:rsidTr="00424377">
        <w:trPr>
          <w:jc w:val="center"/>
        </w:trPr>
        <w:tc>
          <w:tcPr>
            <w:tcW w:w="3606" w:type="dxa"/>
            <w:tcBorders>
              <w:top w:val="single" w:sz="4" w:space="0" w:color="000000"/>
              <w:left w:val="single" w:sz="4" w:space="0" w:color="000000"/>
              <w:bottom w:val="single" w:sz="4" w:space="0" w:color="000000"/>
            </w:tcBorders>
            <w:shd w:val="clear" w:color="auto" w:fill="E7E6E6"/>
            <w:vAlign w:val="center"/>
          </w:tcPr>
          <w:p w14:paraId="1436700D"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Ponderació de la puntuació, fins a 10 punts</w:t>
            </w:r>
          </w:p>
        </w:tc>
        <w:tc>
          <w:tcPr>
            <w:tcW w:w="1081" w:type="dxa"/>
            <w:tcBorders>
              <w:top w:val="single" w:sz="4" w:space="0" w:color="000000"/>
              <w:left w:val="single" w:sz="4" w:space="0" w:color="000000"/>
              <w:bottom w:val="single" w:sz="4" w:space="0" w:color="000000"/>
            </w:tcBorders>
            <w:shd w:val="clear" w:color="auto" w:fill="E7E6E6"/>
            <w:vAlign w:val="center"/>
          </w:tcPr>
          <w:p w14:paraId="07756AF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Alt</w:t>
            </w:r>
          </w:p>
        </w:tc>
        <w:tc>
          <w:tcPr>
            <w:tcW w:w="1081" w:type="dxa"/>
            <w:tcBorders>
              <w:top w:val="single" w:sz="4" w:space="0" w:color="000000"/>
              <w:left w:val="single" w:sz="4" w:space="0" w:color="000000"/>
              <w:bottom w:val="single" w:sz="4" w:space="0" w:color="000000"/>
            </w:tcBorders>
            <w:shd w:val="clear" w:color="auto" w:fill="E7E6E6"/>
            <w:vAlign w:val="center"/>
          </w:tcPr>
          <w:p w14:paraId="3E94F060"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Mig Alt</w:t>
            </w:r>
          </w:p>
        </w:tc>
        <w:tc>
          <w:tcPr>
            <w:tcW w:w="1081" w:type="dxa"/>
            <w:tcBorders>
              <w:top w:val="single" w:sz="4" w:space="0" w:color="000000"/>
              <w:left w:val="single" w:sz="4" w:space="0" w:color="000000"/>
              <w:bottom w:val="single" w:sz="4" w:space="0" w:color="000000"/>
            </w:tcBorders>
            <w:shd w:val="clear" w:color="auto" w:fill="E7E6E6"/>
            <w:vAlign w:val="center"/>
          </w:tcPr>
          <w:p w14:paraId="72D675A1"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Mig</w:t>
            </w:r>
          </w:p>
        </w:tc>
        <w:tc>
          <w:tcPr>
            <w:tcW w:w="108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86B8AC4"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No adequat</w:t>
            </w:r>
          </w:p>
        </w:tc>
      </w:tr>
      <w:tr w:rsidR="00424377" w:rsidRPr="0070741E" w14:paraId="55821D9C" w14:textId="77777777" w:rsidTr="00CE0261">
        <w:trPr>
          <w:jc w:val="center"/>
        </w:trPr>
        <w:tc>
          <w:tcPr>
            <w:tcW w:w="3606" w:type="dxa"/>
            <w:tcBorders>
              <w:left w:val="single" w:sz="4" w:space="0" w:color="000000"/>
              <w:bottom w:val="single" w:sz="4" w:space="0" w:color="000000"/>
            </w:tcBorders>
            <w:vAlign w:val="center"/>
          </w:tcPr>
          <w:p w14:paraId="509D7B2C"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Temàtica proposada</w:t>
            </w:r>
          </w:p>
        </w:tc>
        <w:tc>
          <w:tcPr>
            <w:tcW w:w="1081" w:type="dxa"/>
            <w:tcBorders>
              <w:left w:val="single" w:sz="4" w:space="0" w:color="000000"/>
              <w:bottom w:val="single" w:sz="4" w:space="0" w:color="000000"/>
            </w:tcBorders>
            <w:vAlign w:val="center"/>
          </w:tcPr>
          <w:p w14:paraId="448B37E7"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2BEC687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27717FD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4843362C"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0937707A" w14:textId="77777777" w:rsidTr="00CE0261">
        <w:trPr>
          <w:jc w:val="center"/>
        </w:trPr>
        <w:tc>
          <w:tcPr>
            <w:tcW w:w="3606" w:type="dxa"/>
            <w:tcBorders>
              <w:left w:val="single" w:sz="4" w:space="0" w:color="000000"/>
              <w:bottom w:val="single" w:sz="4" w:space="0" w:color="000000"/>
            </w:tcBorders>
            <w:vAlign w:val="center"/>
          </w:tcPr>
          <w:p w14:paraId="7BB6CB86"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lastRenderedPageBreak/>
              <w:t>Proximitat amb aspectes vinculats amb el municipi del Montmeló</w:t>
            </w:r>
          </w:p>
        </w:tc>
        <w:tc>
          <w:tcPr>
            <w:tcW w:w="1081" w:type="dxa"/>
            <w:tcBorders>
              <w:left w:val="single" w:sz="4" w:space="0" w:color="000000"/>
              <w:bottom w:val="single" w:sz="4" w:space="0" w:color="000000"/>
            </w:tcBorders>
            <w:vAlign w:val="center"/>
          </w:tcPr>
          <w:p w14:paraId="2EAADC6D"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6BD7081A"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335ECABA"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5694100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1CC2E774" w14:textId="77777777" w:rsidTr="00CE0261">
        <w:trPr>
          <w:jc w:val="center"/>
        </w:trPr>
        <w:tc>
          <w:tcPr>
            <w:tcW w:w="3606" w:type="dxa"/>
            <w:tcBorders>
              <w:left w:val="single" w:sz="4" w:space="0" w:color="000000"/>
              <w:bottom w:val="single" w:sz="4" w:space="0" w:color="000000"/>
            </w:tcBorders>
            <w:vAlign w:val="center"/>
          </w:tcPr>
          <w:p w14:paraId="2EE2B7F0"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Aportació de noves dades i coneixements innovadors</w:t>
            </w:r>
          </w:p>
        </w:tc>
        <w:tc>
          <w:tcPr>
            <w:tcW w:w="1081" w:type="dxa"/>
            <w:tcBorders>
              <w:left w:val="single" w:sz="4" w:space="0" w:color="000000"/>
              <w:bottom w:val="single" w:sz="4" w:space="0" w:color="000000"/>
            </w:tcBorders>
            <w:vAlign w:val="center"/>
          </w:tcPr>
          <w:p w14:paraId="4AB72DD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70660E5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1640B770"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4BC9EE2C"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046E5B15" w14:textId="77777777" w:rsidTr="00CE0261">
        <w:trPr>
          <w:jc w:val="center"/>
        </w:trPr>
        <w:tc>
          <w:tcPr>
            <w:tcW w:w="3606" w:type="dxa"/>
            <w:tcBorders>
              <w:left w:val="single" w:sz="4" w:space="0" w:color="000000"/>
              <w:bottom w:val="single" w:sz="4" w:space="0" w:color="000000"/>
            </w:tcBorders>
            <w:vAlign w:val="center"/>
          </w:tcPr>
          <w:p w14:paraId="7C35FBF8"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Coherència i la viabilitat del projecte</w:t>
            </w:r>
          </w:p>
        </w:tc>
        <w:tc>
          <w:tcPr>
            <w:tcW w:w="1081" w:type="dxa"/>
            <w:tcBorders>
              <w:left w:val="single" w:sz="4" w:space="0" w:color="000000"/>
              <w:bottom w:val="single" w:sz="4" w:space="0" w:color="000000"/>
            </w:tcBorders>
            <w:vAlign w:val="center"/>
          </w:tcPr>
          <w:p w14:paraId="3E104717"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118409B6"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1175421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5A7638D0"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797D9283" w14:textId="77777777" w:rsidTr="00CE0261">
        <w:trPr>
          <w:jc w:val="center"/>
        </w:trPr>
        <w:tc>
          <w:tcPr>
            <w:tcW w:w="3606" w:type="dxa"/>
            <w:tcBorders>
              <w:left w:val="single" w:sz="4" w:space="0" w:color="000000"/>
              <w:bottom w:val="single" w:sz="4" w:space="0" w:color="000000"/>
            </w:tcBorders>
            <w:vAlign w:val="center"/>
          </w:tcPr>
          <w:p w14:paraId="18A8EE1A" w14:textId="77777777"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Originalitat de l’enfocament</w:t>
            </w:r>
          </w:p>
        </w:tc>
        <w:tc>
          <w:tcPr>
            <w:tcW w:w="1081" w:type="dxa"/>
            <w:tcBorders>
              <w:left w:val="single" w:sz="4" w:space="0" w:color="000000"/>
              <w:bottom w:val="single" w:sz="4" w:space="0" w:color="000000"/>
            </w:tcBorders>
            <w:vAlign w:val="center"/>
          </w:tcPr>
          <w:p w14:paraId="23C31B23"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0EF4D054"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60E8EC59"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62BFF742"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bl>
    <w:p w14:paraId="616AAF3D"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p w14:paraId="0789351B" w14:textId="5C9B13EC" w:rsidR="00424377" w:rsidRPr="0070741E" w:rsidRDefault="00424377" w:rsidP="0070741E">
      <w:pPr>
        <w:autoSpaceDN/>
        <w:spacing w:after="120"/>
        <w:ind w:left="708"/>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A aquests efectes, la major o menor puntuació s’atorgarà en funció de l’adequació de la proposta als següents nivells qualitat del projecte:</w:t>
      </w:r>
    </w:p>
    <w:p w14:paraId="35C701C9" w14:textId="77777777" w:rsidR="00424377" w:rsidRPr="0070741E" w:rsidRDefault="00424377" w:rsidP="0070741E">
      <w:pPr>
        <w:numPr>
          <w:ilvl w:val="0"/>
          <w:numId w:val="33"/>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Alt: es valoraran com a alt aquelles propostes que s’acosten a l’excel·lència en l’ítem valorat.</w:t>
      </w:r>
    </w:p>
    <w:p w14:paraId="2E9C3F9B" w14:textId="77777777" w:rsidR="00424377" w:rsidRPr="0070741E" w:rsidRDefault="00424377" w:rsidP="0070741E">
      <w:pPr>
        <w:numPr>
          <w:ilvl w:val="0"/>
          <w:numId w:val="33"/>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Mig alt: es valoraran com a mig-alt aquelles propostes que no reuneixen totes les característiques de qualitat per ser considerades com a excel·lents, però impliquen valors notables en la qualitat de l’ítem valorat.</w:t>
      </w:r>
    </w:p>
    <w:p w14:paraId="3B40F101" w14:textId="77777777" w:rsidR="00424377" w:rsidRPr="0070741E" w:rsidRDefault="00424377" w:rsidP="0070741E">
      <w:pPr>
        <w:numPr>
          <w:ilvl w:val="0"/>
          <w:numId w:val="33"/>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Mig: es valoraran com a mig aquelles propostes que aporten una poca qualitat respecte a l’ítem valorat.</w:t>
      </w:r>
    </w:p>
    <w:p w14:paraId="456A8915" w14:textId="77777777" w:rsidR="00424377" w:rsidRPr="0070741E" w:rsidRDefault="00424377" w:rsidP="0070741E">
      <w:pPr>
        <w:numPr>
          <w:ilvl w:val="0"/>
          <w:numId w:val="33"/>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No adequat: es valoraran com no adequades aquelles propostes que no s’ajusten a les bases i les que no aporten cap element qualitatiu, així com les propostes que continguin errors bàsics de comprensió o no siguin aplicables a la pràctica.</w:t>
      </w:r>
    </w:p>
    <w:p w14:paraId="2319BCAD" w14:textId="77777777" w:rsidR="00424377" w:rsidRPr="0070741E" w:rsidRDefault="00424377" w:rsidP="0070741E">
      <w:pPr>
        <w:autoSpaceDN/>
        <w:spacing w:after="120"/>
        <w:ind w:left="708" w:hanging="708"/>
        <w:jc w:val="both"/>
        <w:textAlignment w:val="auto"/>
        <w:rPr>
          <w:rFonts w:ascii="Arial" w:eastAsia="Arial" w:hAnsi="Arial"/>
          <w:bCs/>
          <w:color w:val="000000"/>
          <w:kern w:val="0"/>
          <w:sz w:val="20"/>
          <w:szCs w:val="20"/>
          <w:lang w:val="ca-ES" w:eastAsia="en-US" w:bidi="ar-SA"/>
        </w:rPr>
      </w:pPr>
    </w:p>
    <w:p w14:paraId="0C096278" w14:textId="44582312"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Òrgans competents per a la instrucció i la resolució del procediment</w:t>
      </w:r>
    </w:p>
    <w:p w14:paraId="00127E4C" w14:textId="04463752" w:rsidR="00424377" w:rsidRPr="0070741E" w:rsidRDefault="00424377" w:rsidP="0070741E">
      <w:pPr>
        <w:autoSpaceDN/>
        <w:spacing w:after="120"/>
        <w:jc w:val="both"/>
        <w:textAlignment w:val="auto"/>
        <w:rPr>
          <w:rFonts w:ascii="Arial" w:eastAsia="Times New Roman" w:hAnsi="Arial"/>
          <w:bCs/>
          <w:color w:val="000000"/>
          <w:kern w:val="0"/>
          <w:sz w:val="20"/>
          <w:szCs w:val="20"/>
          <w:lang w:val="ca-ES" w:eastAsia="en-US" w:bidi="ar-SA"/>
        </w:rPr>
      </w:pPr>
      <w:r w:rsidRPr="0070741E">
        <w:rPr>
          <w:rFonts w:ascii="Arial" w:eastAsia="Times New Roman" w:hAnsi="Arial"/>
          <w:bCs/>
          <w:color w:val="000000"/>
          <w:kern w:val="0"/>
          <w:sz w:val="20"/>
          <w:szCs w:val="20"/>
          <w:lang w:val="ca-ES" w:eastAsia="en-US" w:bidi="ar-SA"/>
        </w:rPr>
        <w:t xml:space="preserve">L’òrgan competent per a la instrucció del procediment, que té </w:t>
      </w:r>
      <w:r w:rsidRPr="0070741E">
        <w:rPr>
          <w:rFonts w:ascii="Arial" w:eastAsia="Times New Roman" w:hAnsi="Arial"/>
          <w:kern w:val="0"/>
          <w:sz w:val="20"/>
          <w:szCs w:val="20"/>
          <w:lang w:val="ca-ES" w:eastAsia="en-US" w:bidi="ar-SA"/>
        </w:rPr>
        <w:t>la funció de tramitar, verificar i elaborar la documentació necessària per a la valoració de les sol·licituds,</w:t>
      </w:r>
      <w:r w:rsidRPr="0070741E">
        <w:rPr>
          <w:rFonts w:ascii="Arial" w:eastAsia="Times New Roman" w:hAnsi="Arial"/>
          <w:bCs/>
          <w:color w:val="000000"/>
          <w:kern w:val="0"/>
          <w:sz w:val="20"/>
          <w:szCs w:val="20"/>
          <w:lang w:val="ca-ES" w:eastAsia="en-US" w:bidi="ar-SA"/>
        </w:rPr>
        <w:t xml:space="preserve"> és el Departament de Cultura.</w:t>
      </w:r>
    </w:p>
    <w:p w14:paraId="3AE2A7E7" w14:textId="14C4E6BC" w:rsidR="00424377" w:rsidRPr="0070741E" w:rsidRDefault="00424377" w:rsidP="0070741E">
      <w:pPr>
        <w:autoSpaceDN/>
        <w:spacing w:after="120"/>
        <w:jc w:val="both"/>
        <w:textAlignment w:val="auto"/>
        <w:rPr>
          <w:rFonts w:ascii="Arial" w:eastAsia="Times New Roman" w:hAnsi="Arial"/>
          <w:bCs/>
          <w:color w:val="000000"/>
          <w:kern w:val="0"/>
          <w:sz w:val="20"/>
          <w:szCs w:val="20"/>
          <w:lang w:val="ca-ES" w:eastAsia="en-US" w:bidi="ar-SA"/>
        </w:rPr>
      </w:pPr>
      <w:r w:rsidRPr="0070741E">
        <w:rPr>
          <w:rFonts w:ascii="Arial" w:eastAsia="Times New Roman" w:hAnsi="Arial"/>
          <w:bCs/>
          <w:color w:val="000000"/>
          <w:kern w:val="0"/>
          <w:sz w:val="20"/>
          <w:szCs w:val="20"/>
          <w:lang w:val="ca-ES" w:eastAsia="en-US" w:bidi="ar-SA"/>
        </w:rPr>
        <w:t>La composició de l’òrgan que tindrà la funció de valorar les propostes d’acord amb els criteris proposats a la clàusula 8 de les bases reguladores serà la següent:</w:t>
      </w:r>
    </w:p>
    <w:p w14:paraId="245020E3" w14:textId="77777777" w:rsidR="00424377" w:rsidRPr="0070741E" w:rsidRDefault="00424377" w:rsidP="0070741E">
      <w:pPr>
        <w:numPr>
          <w:ilvl w:val="0"/>
          <w:numId w:val="31"/>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bCs/>
          <w:color w:val="000000"/>
          <w:kern w:val="0"/>
          <w:sz w:val="20"/>
          <w:szCs w:val="20"/>
          <w:lang w:val="ca-ES" w:eastAsia="en-US" w:bidi="ar-SA"/>
        </w:rPr>
        <w:t>President/a: alcalde/essa o el/la regidor/a en qui delegui.</w:t>
      </w:r>
    </w:p>
    <w:p w14:paraId="310A6162" w14:textId="77777777" w:rsidR="00424377" w:rsidRPr="0070741E" w:rsidRDefault="00424377" w:rsidP="0070741E">
      <w:pPr>
        <w:numPr>
          <w:ilvl w:val="0"/>
          <w:numId w:val="31"/>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bCs/>
          <w:color w:val="000000"/>
          <w:kern w:val="0"/>
          <w:sz w:val="20"/>
          <w:szCs w:val="20"/>
          <w:lang w:val="ca-ES" w:eastAsia="en-US" w:bidi="ar-SA"/>
        </w:rPr>
        <w:t>Vocal: un membre del Centre d’Estudis de Montmeló.</w:t>
      </w:r>
    </w:p>
    <w:p w14:paraId="1257A453" w14:textId="05F968CA" w:rsidR="00424377" w:rsidRPr="0070741E" w:rsidRDefault="00424377" w:rsidP="0070741E">
      <w:pPr>
        <w:numPr>
          <w:ilvl w:val="0"/>
          <w:numId w:val="31"/>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bCs/>
          <w:color w:val="000000"/>
          <w:kern w:val="0"/>
          <w:sz w:val="20"/>
          <w:szCs w:val="20"/>
          <w:lang w:val="ca-ES" w:eastAsia="en-US" w:bidi="ar-SA"/>
        </w:rPr>
        <w:t>Secretari/a: un tècnic/a de Patrimoni de l’Ajuntament de Montmeló.</w:t>
      </w:r>
    </w:p>
    <w:p w14:paraId="4747B4EE" w14:textId="77777777" w:rsidR="00424377" w:rsidRPr="0070741E" w:rsidRDefault="00424377" w:rsidP="0070741E">
      <w:pPr>
        <w:autoSpaceDN/>
        <w:spacing w:after="120"/>
        <w:jc w:val="both"/>
        <w:textAlignment w:val="auto"/>
        <w:rPr>
          <w:rFonts w:ascii="Arial" w:eastAsia="Times New Roman" w:hAnsi="Arial"/>
          <w:bCs/>
          <w:color w:val="000000"/>
          <w:kern w:val="0"/>
          <w:sz w:val="20"/>
          <w:szCs w:val="20"/>
          <w:lang w:val="ca-ES" w:eastAsia="en-US" w:bidi="ar-SA"/>
        </w:rPr>
      </w:pPr>
      <w:r w:rsidRPr="0070741E">
        <w:rPr>
          <w:rFonts w:ascii="Arial" w:eastAsia="Times New Roman" w:hAnsi="Arial"/>
          <w:bCs/>
          <w:color w:val="000000"/>
          <w:kern w:val="0"/>
          <w:sz w:val="20"/>
          <w:szCs w:val="20"/>
          <w:lang w:val="ca-ES" w:eastAsia="en-US" w:bidi="ar-SA"/>
        </w:rPr>
        <w:t>Per últim, la resolució de concessió o de denegació correspon a l'alcaldia, o bé a l'òrgan que tingui delegada aquesta atribució d'acord amb la normativa de règim local i els decrets de delegació de competències de l'Ajuntament de Montmeló vigents en el moment de dictar l'acte.</w:t>
      </w:r>
    </w:p>
    <w:p w14:paraId="24F4F1D1" w14:textId="77777777" w:rsidR="00424377" w:rsidRPr="0070741E" w:rsidRDefault="00424377" w:rsidP="0070741E">
      <w:pPr>
        <w:autoSpaceDN/>
        <w:spacing w:after="120"/>
        <w:jc w:val="both"/>
        <w:textAlignment w:val="auto"/>
        <w:rPr>
          <w:rFonts w:ascii="Arial" w:eastAsia="Times New Roman" w:hAnsi="Arial"/>
          <w:bCs/>
          <w:color w:val="000000"/>
          <w:kern w:val="0"/>
          <w:sz w:val="20"/>
          <w:szCs w:val="20"/>
          <w:highlight w:val="yellow"/>
          <w:lang w:val="ca-ES" w:eastAsia="en-US" w:bidi="ar-SA"/>
        </w:rPr>
      </w:pPr>
    </w:p>
    <w:p w14:paraId="31015272" w14:textId="4C35C4AE"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bookmarkStart w:id="2" w:name="_Toc224643490"/>
      <w:r w:rsidRPr="0070741E">
        <w:rPr>
          <w:rFonts w:ascii="Arial" w:eastAsia="Arial" w:hAnsi="Arial"/>
          <w:b/>
          <w:bCs/>
          <w:kern w:val="0"/>
          <w:sz w:val="20"/>
          <w:szCs w:val="20"/>
          <w:lang w:val="ca-ES" w:eastAsia="en-US" w:bidi="ar-SA"/>
        </w:rPr>
        <w:t>Termini de resolució i notificació</w:t>
      </w:r>
    </w:p>
    <w:p w14:paraId="1AC4B6DC"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D'acord amb la clàusula 18 de les bases específiques, el termini màxim per resoldre i notificar la resolució del procediment és de 6 mesos a comptar des de la data de publicació de la convocatòria en el Butlletí Oficial de la Província de Barcelona.</w:t>
      </w:r>
    </w:p>
    <w:p w14:paraId="07A7C86D" w14:textId="77777777" w:rsidR="00424377" w:rsidRPr="0070741E" w:rsidRDefault="00424377" w:rsidP="0070741E">
      <w:pPr>
        <w:autoSpaceDN/>
        <w:spacing w:after="120"/>
        <w:textAlignment w:val="auto"/>
        <w:rPr>
          <w:rFonts w:ascii="Arial" w:eastAsia="Times New Roman" w:hAnsi="Arial"/>
          <w:kern w:val="0"/>
          <w:sz w:val="20"/>
          <w:szCs w:val="20"/>
          <w:lang w:val="ca-ES" w:eastAsia="en-US" w:bidi="ar-SA"/>
        </w:rPr>
      </w:pPr>
    </w:p>
    <w:p w14:paraId="5FC89B61" w14:textId="45C72300"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Pagament i justificació</w:t>
      </w:r>
    </w:p>
    <w:p w14:paraId="7BECD52C" w14:textId="03967E09"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D’acord amb les clàusules 23 i 24 de les bases específiques, el pagament de la beca es realitzarà mitjançant transferència bancària al compte facilitat per la persona beneficiària en dos terminis:</w:t>
      </w:r>
    </w:p>
    <w:p w14:paraId="47BAEAA7" w14:textId="77777777" w:rsidR="00424377" w:rsidRPr="0070741E" w:rsidRDefault="00424377" w:rsidP="0070741E">
      <w:pPr>
        <w:numPr>
          <w:ilvl w:val="0"/>
          <w:numId w:val="35"/>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Primer pagament: s’abonarà una tercera part de l’import total de la beca en el moment de la concessió.</w:t>
      </w:r>
    </w:p>
    <w:p w14:paraId="68C8D145" w14:textId="77777777" w:rsidR="00424377" w:rsidRPr="0070741E" w:rsidRDefault="00424377" w:rsidP="0070741E">
      <w:pPr>
        <w:numPr>
          <w:ilvl w:val="0"/>
          <w:numId w:val="35"/>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Segon pagament: s’abonaran les dues terceres parts restants un cop s’hagi lliurat el treball finalitzat, el jurat n'hagi dictaminat la qualitat i s'hagin justificat les despeses vinculades a la recerca.</w:t>
      </w:r>
    </w:p>
    <w:p w14:paraId="7B1144A4"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p w14:paraId="60833C17"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lastRenderedPageBreak/>
        <w:t>Les persones beneficiàries hauran de justificar l’aplicació dels fons a la finalitat de la beca en el termini màxim de 30 dies després de presentar el treball acabat. La justificació adoptarà la modalitat de compte justificatiu simplificat i haurà de contenir la documentació obligatòria regulada a les bases.</w:t>
      </w:r>
    </w:p>
    <w:p w14:paraId="25A52994" w14:textId="77777777" w:rsidR="00424377" w:rsidRPr="0070741E" w:rsidRDefault="00424377" w:rsidP="0070741E">
      <w:pPr>
        <w:autoSpaceDN/>
        <w:spacing w:after="120"/>
        <w:textAlignment w:val="auto"/>
        <w:rPr>
          <w:rFonts w:ascii="Arial" w:eastAsia="Times New Roman" w:hAnsi="Arial"/>
          <w:kern w:val="0"/>
          <w:sz w:val="20"/>
          <w:szCs w:val="20"/>
          <w:lang w:val="ca-ES" w:eastAsia="en-US" w:bidi="ar-SA"/>
        </w:rPr>
      </w:pPr>
    </w:p>
    <w:p w14:paraId="3E6F6CC4" w14:textId="3F6DDA3D"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Lliurament del treball</w:t>
      </w:r>
      <w:bookmarkEnd w:id="2"/>
    </w:p>
    <w:p w14:paraId="53AC739E"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El beneficiari haurà de presentar a l’Ajuntament el treball objecte de la beca en el termini d’1 any des de l’atorgament de la beca.</w:t>
      </w:r>
    </w:p>
    <w:p w14:paraId="19DC5B21"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p w14:paraId="716328F6" w14:textId="745A2E20"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bookmarkStart w:id="3" w:name="_Toc224643489"/>
      <w:r w:rsidRPr="0070741E">
        <w:rPr>
          <w:rFonts w:ascii="Arial" w:eastAsia="Arial" w:hAnsi="Arial"/>
          <w:b/>
          <w:bCs/>
          <w:kern w:val="0"/>
          <w:sz w:val="20"/>
          <w:szCs w:val="20"/>
          <w:lang w:val="ca-ES" w:eastAsia="en-US" w:bidi="ar-SA"/>
        </w:rPr>
        <w:t>Impugnacions</w:t>
      </w:r>
      <w:bookmarkEnd w:id="3"/>
    </w:p>
    <w:p w14:paraId="72DB6CF7" w14:textId="42A864E8"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Contra la resolució definitiva de l’atorgament de subvenció, que exhaureix la via administrativa, es pot interposar, alternativament:</w:t>
      </w:r>
    </w:p>
    <w:p w14:paraId="66F02362" w14:textId="77777777" w:rsidR="00424377" w:rsidRPr="0070741E" w:rsidRDefault="00424377" w:rsidP="0070741E">
      <w:pPr>
        <w:numPr>
          <w:ilvl w:val="0"/>
          <w:numId w:val="34"/>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Recurs de reposició potestatiu davant del mateix òrgan que va dictar l’acte en el termini d’1 mes a comptar de l'endemà de la seva publicació, de conformitat amb els arts. 123 i 124 de la LPAC.</w:t>
      </w:r>
    </w:p>
    <w:p w14:paraId="473559ED" w14:textId="5A53544F" w:rsidR="00424377" w:rsidRPr="0070741E" w:rsidRDefault="00424377" w:rsidP="0070741E">
      <w:pPr>
        <w:numPr>
          <w:ilvl w:val="0"/>
          <w:numId w:val="34"/>
        </w:num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Recurs contenciós administratiu davant de la secció contenciosa-administrativa del Tribunal d’Instància de Barcelona en el termini de 2 mesos a comptar de l'endemà de la publicació de la resolució, d’acord amb l’art. 46 de la Llei 29/1998, de 13 de juliol, reguladora de la jurisdicció contenciosa administrativa (LRJCA).</w:t>
      </w:r>
    </w:p>
    <w:p w14:paraId="64C7A9CB"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r w:rsidRPr="0070741E">
        <w:rPr>
          <w:rFonts w:ascii="Arial" w:eastAsia="Times New Roman" w:hAnsi="Arial"/>
          <w:kern w:val="0"/>
          <w:sz w:val="20"/>
          <w:szCs w:val="20"/>
          <w:lang w:val="ca-ES" w:eastAsia="en-US" w:bidi="ar-SA"/>
        </w:rPr>
        <w:t>Si s’opta per interposar recurs de reposició, no es pot interposar recurs contenciós administratiu fins que aquell no hagi estat resolt expressament o s’hagi produït la seva desestimació per silenci. Tot això sens perjudici que es pugui interposar qualsevol altre recurs que es consideri convenient.</w:t>
      </w:r>
    </w:p>
    <w:p w14:paraId="5AC9C2A3" w14:textId="77777777" w:rsidR="00424377" w:rsidRPr="0070741E" w:rsidRDefault="00424377" w:rsidP="0070741E">
      <w:pPr>
        <w:autoSpaceDN/>
        <w:spacing w:after="120"/>
        <w:jc w:val="both"/>
        <w:textAlignment w:val="auto"/>
        <w:outlineLvl w:val="0"/>
        <w:rPr>
          <w:rFonts w:ascii="Arial" w:eastAsia="Arial" w:hAnsi="Arial"/>
          <w:b/>
          <w:bCs/>
          <w:kern w:val="0"/>
          <w:sz w:val="20"/>
          <w:szCs w:val="20"/>
          <w:lang w:val="ca-ES" w:eastAsia="en-US" w:bidi="ar-SA"/>
        </w:rPr>
      </w:pPr>
    </w:p>
    <w:p w14:paraId="7B51018C" w14:textId="49D650DC" w:rsidR="00424377" w:rsidRPr="0070741E" w:rsidRDefault="00424377" w:rsidP="0070741E">
      <w:pPr>
        <w:autoSpaceDN/>
        <w:spacing w:after="120"/>
        <w:ind w:left="720" w:hanging="360"/>
        <w:jc w:val="both"/>
        <w:textAlignment w:val="auto"/>
        <w:outlineLvl w:val="0"/>
        <w:rPr>
          <w:rFonts w:ascii="Arial" w:eastAsia="Arial" w:hAnsi="Arial"/>
          <w:b/>
          <w:bCs/>
          <w:kern w:val="0"/>
          <w:sz w:val="20"/>
          <w:szCs w:val="20"/>
          <w:lang w:val="ca-ES" w:eastAsia="en-US" w:bidi="ar-SA"/>
        </w:rPr>
      </w:pPr>
      <w:r w:rsidRPr="0070741E">
        <w:rPr>
          <w:rFonts w:ascii="Arial" w:eastAsia="Arial" w:hAnsi="Arial"/>
          <w:b/>
          <w:bCs/>
          <w:kern w:val="0"/>
          <w:sz w:val="20"/>
          <w:szCs w:val="20"/>
          <w:lang w:val="ca-ES" w:eastAsia="en-US" w:bidi="ar-SA"/>
        </w:rPr>
        <w:t>Publicitat de la convocatòria</w:t>
      </w:r>
    </w:p>
    <w:p w14:paraId="5DC8CBF6" w14:textId="6DB5519E" w:rsidR="00424377" w:rsidRPr="0070741E" w:rsidRDefault="00424377" w:rsidP="0070741E">
      <w:pPr>
        <w:spacing w:after="120"/>
        <w:rPr>
          <w:rFonts w:ascii="Arial" w:hAnsi="Arial"/>
          <w:sz w:val="18"/>
          <w:szCs w:val="18"/>
        </w:rPr>
      </w:pPr>
      <w:r w:rsidRPr="0070741E">
        <w:rPr>
          <w:rFonts w:ascii="Arial" w:eastAsia="Times New Roman" w:hAnsi="Arial"/>
          <w:kern w:val="0"/>
          <w:sz w:val="20"/>
          <w:szCs w:val="20"/>
          <w:lang w:val="ca-ES" w:eastAsia="en-US" w:bidi="ar-SA"/>
        </w:rPr>
        <w:t>D’acord amb la clàusula 31 de les bases reguladores, l’extracte de la convocatòria es publicarà, mitjançant la Base de Dades Nacional de Subvencions (BDNS), al BOPB. El text íntegre es podrà consultar a la mateixa BDNS i al portal de transparència de l’Ajuntament de Montmeló. També es publicarà al RAISC.</w:t>
      </w:r>
    </w:p>
    <w:sectPr w:rsidR="00424377" w:rsidRPr="0070741E">
      <w:head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2EAB8" w14:textId="77777777" w:rsidR="00B3287F" w:rsidRDefault="00B3287F">
      <w:pPr>
        <w:rPr>
          <w:rFonts w:hint="eastAsia"/>
        </w:rPr>
      </w:pPr>
      <w:r>
        <w:separator/>
      </w:r>
    </w:p>
  </w:endnote>
  <w:endnote w:type="continuationSeparator" w:id="0">
    <w:p w14:paraId="098B7C8A" w14:textId="77777777" w:rsidR="00B3287F" w:rsidRDefault="00B3287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charset w:val="00"/>
    <w:family w:val="auto"/>
    <w:pitch w:val="variable"/>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B46D5" w14:textId="77777777" w:rsidR="00B3287F" w:rsidRDefault="00B3287F">
      <w:pPr>
        <w:rPr>
          <w:rFonts w:hint="eastAsia"/>
        </w:rPr>
      </w:pPr>
      <w:r>
        <w:rPr>
          <w:color w:val="000000"/>
        </w:rPr>
        <w:separator/>
      </w:r>
    </w:p>
  </w:footnote>
  <w:footnote w:type="continuationSeparator" w:id="0">
    <w:p w14:paraId="5C96893A" w14:textId="77777777" w:rsidR="00B3287F" w:rsidRDefault="00B3287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F77AD" w14:textId="3D24FD7B" w:rsidR="00D82C22" w:rsidRDefault="00D82C22">
    <w:pPr>
      <w:pStyle w:val="Header"/>
      <w:rPr>
        <w:rFonts w:hint="eastAsia"/>
      </w:rPr>
    </w:pPr>
    <w:r>
      <w:rPr>
        <w:noProof/>
      </w:rPr>
      <w:drawing>
        <wp:inline distT="0" distB="0" distL="0" distR="0" wp14:anchorId="44DF7730" wp14:editId="4BEC44C7">
          <wp:extent cx="1609725" cy="533400"/>
          <wp:effectExtent l="0" t="0" r="9525" b="0"/>
          <wp:docPr id="1153550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533400"/>
                  </a:xfrm>
                  <a:prstGeom prst="rect">
                    <a:avLst/>
                  </a:prstGeom>
                  <a:noFill/>
                  <a:ln>
                    <a:noFill/>
                  </a:ln>
                </pic:spPr>
              </pic:pic>
            </a:graphicData>
          </a:graphic>
        </wp:inline>
      </w:drawing>
    </w:r>
  </w:p>
  <w:p w14:paraId="3F221AF7" w14:textId="77777777" w:rsidR="00D82C22" w:rsidRDefault="00D82C22">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7CE0"/>
    <w:multiLevelType w:val="multilevel"/>
    <w:tmpl w:val="DA1C1038"/>
    <w:styleLink w:val="WWNum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0CF834F4"/>
    <w:multiLevelType w:val="hybridMultilevel"/>
    <w:tmpl w:val="9A6465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E001267"/>
    <w:multiLevelType w:val="multilevel"/>
    <w:tmpl w:val="3BEE7ADC"/>
    <w:styleLink w:val="WWNum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227B6FEF"/>
    <w:multiLevelType w:val="multilevel"/>
    <w:tmpl w:val="DFA66FE0"/>
    <w:styleLink w:val="WWNum37"/>
    <w:lvl w:ilvl="0">
      <w:numFmt w:val="bullet"/>
      <w:lvlText w:val=""/>
      <w:lvlJc w:val="left"/>
      <w:pPr>
        <w:ind w:left="720" w:hanging="360"/>
      </w:pPr>
      <w:rPr>
        <w:rFonts w:ascii="Times New Roman" w:hAnsi="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4" w15:restartNumberingAfterBreak="0">
    <w:nsid w:val="24923179"/>
    <w:multiLevelType w:val="multilevel"/>
    <w:tmpl w:val="7390EFF4"/>
    <w:styleLink w:val="WWNum13"/>
    <w:lvl w:ilvl="0">
      <w:numFmt w:val="bullet"/>
      <w:lvlText w:val=""/>
      <w:lvlJc w:val="left"/>
      <w:pPr>
        <w:ind w:left="1429" w:hanging="360"/>
      </w:pPr>
      <w:rPr>
        <w:rFonts w:ascii="Calibri" w:hAnsi="Calibri"/>
      </w:rPr>
    </w:lvl>
    <w:lvl w:ilvl="1">
      <w:numFmt w:val="bullet"/>
      <w:lvlText w:val="o"/>
      <w:lvlJc w:val="left"/>
      <w:pPr>
        <w:ind w:left="2149" w:hanging="360"/>
      </w:pPr>
      <w:rPr>
        <w:rFonts w:cs="Courier New"/>
      </w:rPr>
    </w:lvl>
    <w:lvl w:ilvl="2">
      <w:numFmt w:val="bullet"/>
      <w:lvlText w:val=""/>
      <w:lvlJc w:val="left"/>
      <w:pPr>
        <w:ind w:left="2869" w:hanging="360"/>
      </w:pPr>
    </w:lvl>
    <w:lvl w:ilvl="3">
      <w:numFmt w:val="bullet"/>
      <w:lvlText w:val=""/>
      <w:lvlJc w:val="left"/>
      <w:pPr>
        <w:ind w:left="3589" w:hanging="360"/>
      </w:pPr>
      <w:rPr>
        <w:rFonts w:ascii="Calibri" w:hAnsi="Calibri"/>
      </w:rPr>
    </w:lvl>
    <w:lvl w:ilvl="4">
      <w:numFmt w:val="bullet"/>
      <w:lvlText w:val="o"/>
      <w:lvlJc w:val="left"/>
      <w:pPr>
        <w:ind w:left="4309" w:hanging="360"/>
      </w:pPr>
      <w:rPr>
        <w:rFonts w:cs="Courier New"/>
      </w:rPr>
    </w:lvl>
    <w:lvl w:ilvl="5">
      <w:numFmt w:val="bullet"/>
      <w:lvlText w:val=""/>
      <w:lvlJc w:val="left"/>
      <w:pPr>
        <w:ind w:left="5029" w:hanging="360"/>
      </w:pPr>
    </w:lvl>
    <w:lvl w:ilvl="6">
      <w:numFmt w:val="bullet"/>
      <w:lvlText w:val=""/>
      <w:lvlJc w:val="left"/>
      <w:pPr>
        <w:ind w:left="5749" w:hanging="360"/>
      </w:pPr>
      <w:rPr>
        <w:rFonts w:ascii="Calibri" w:hAnsi="Calibri"/>
      </w:rPr>
    </w:lvl>
    <w:lvl w:ilvl="7">
      <w:numFmt w:val="bullet"/>
      <w:lvlText w:val="o"/>
      <w:lvlJc w:val="left"/>
      <w:pPr>
        <w:ind w:left="6469" w:hanging="360"/>
      </w:pPr>
      <w:rPr>
        <w:rFonts w:cs="Courier New"/>
      </w:rPr>
    </w:lvl>
    <w:lvl w:ilvl="8">
      <w:numFmt w:val="bullet"/>
      <w:lvlText w:val=""/>
      <w:lvlJc w:val="left"/>
      <w:pPr>
        <w:ind w:left="7189" w:hanging="360"/>
      </w:pPr>
    </w:lvl>
  </w:abstractNum>
  <w:abstractNum w:abstractNumId="5" w15:restartNumberingAfterBreak="0">
    <w:nsid w:val="24B619CD"/>
    <w:multiLevelType w:val="multilevel"/>
    <w:tmpl w:val="2A426D1A"/>
    <w:styleLink w:val="WWNum6"/>
    <w:lvl w:ilvl="0">
      <w:start w:val="1"/>
      <w:numFmt w:val="lowerLetter"/>
      <w:lvlText w:val="%1)"/>
      <w:lvlJc w:val="left"/>
      <w:pPr>
        <w:ind w:left="362" w:hanging="360"/>
      </w:pPr>
    </w:lvl>
    <w:lvl w:ilvl="1">
      <w:start w:val="1"/>
      <w:numFmt w:val="lowerLetter"/>
      <w:lvlText w:val="%2."/>
      <w:lvlJc w:val="left"/>
      <w:pPr>
        <w:ind w:left="1082" w:hanging="360"/>
      </w:pPr>
    </w:lvl>
    <w:lvl w:ilvl="2">
      <w:start w:val="1"/>
      <w:numFmt w:val="lowerRoman"/>
      <w:lvlText w:val="%3."/>
      <w:lvlJc w:val="right"/>
      <w:pPr>
        <w:ind w:left="1802" w:hanging="180"/>
      </w:pPr>
    </w:lvl>
    <w:lvl w:ilvl="3">
      <w:start w:val="1"/>
      <w:numFmt w:val="decimal"/>
      <w:lvlText w:val="%4."/>
      <w:lvlJc w:val="left"/>
      <w:pPr>
        <w:ind w:left="2522" w:hanging="360"/>
      </w:pPr>
    </w:lvl>
    <w:lvl w:ilvl="4">
      <w:start w:val="1"/>
      <w:numFmt w:val="lowerLetter"/>
      <w:lvlText w:val="%5."/>
      <w:lvlJc w:val="left"/>
      <w:pPr>
        <w:ind w:left="3242" w:hanging="360"/>
      </w:pPr>
    </w:lvl>
    <w:lvl w:ilvl="5">
      <w:start w:val="1"/>
      <w:numFmt w:val="lowerRoman"/>
      <w:lvlText w:val="%6."/>
      <w:lvlJc w:val="right"/>
      <w:pPr>
        <w:ind w:left="3962" w:hanging="180"/>
      </w:pPr>
    </w:lvl>
    <w:lvl w:ilvl="6">
      <w:start w:val="1"/>
      <w:numFmt w:val="decimal"/>
      <w:lvlText w:val="%7."/>
      <w:lvlJc w:val="left"/>
      <w:pPr>
        <w:ind w:left="4682" w:hanging="360"/>
      </w:pPr>
    </w:lvl>
    <w:lvl w:ilvl="7">
      <w:start w:val="1"/>
      <w:numFmt w:val="lowerLetter"/>
      <w:lvlText w:val="%8."/>
      <w:lvlJc w:val="left"/>
      <w:pPr>
        <w:ind w:left="5402" w:hanging="360"/>
      </w:pPr>
    </w:lvl>
    <w:lvl w:ilvl="8">
      <w:start w:val="1"/>
      <w:numFmt w:val="lowerRoman"/>
      <w:lvlText w:val="%9."/>
      <w:lvlJc w:val="right"/>
      <w:pPr>
        <w:ind w:left="6122" w:hanging="180"/>
      </w:pPr>
    </w:lvl>
  </w:abstractNum>
  <w:abstractNum w:abstractNumId="6" w15:restartNumberingAfterBreak="0">
    <w:nsid w:val="32A36593"/>
    <w:multiLevelType w:val="multilevel"/>
    <w:tmpl w:val="125009B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3705C8"/>
    <w:multiLevelType w:val="hybridMultilevel"/>
    <w:tmpl w:val="CBA645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5F52A5E"/>
    <w:multiLevelType w:val="hybridMultilevel"/>
    <w:tmpl w:val="BC021D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BB2E07"/>
    <w:multiLevelType w:val="hybridMultilevel"/>
    <w:tmpl w:val="078620FA"/>
    <w:lvl w:ilvl="0" w:tplc="8A06B34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0" w15:restartNumberingAfterBreak="0">
    <w:nsid w:val="39A2383B"/>
    <w:multiLevelType w:val="multilevel"/>
    <w:tmpl w:val="C8D2D362"/>
    <w:styleLink w:val="WWNum31"/>
    <w:lvl w:ilvl="0">
      <w:numFmt w:val="bullet"/>
      <w:lvlText w:val=""/>
      <w:lvlJc w:val="left"/>
      <w:pPr>
        <w:ind w:left="1440" w:hanging="360"/>
      </w:pPr>
      <w:rPr>
        <w:rFonts w:ascii="Times New Roman" w:hAnsi="Times New Roman"/>
      </w:r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11" w15:restartNumberingAfterBreak="0">
    <w:nsid w:val="40176B60"/>
    <w:multiLevelType w:val="hybridMultilevel"/>
    <w:tmpl w:val="415857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C853F10"/>
    <w:multiLevelType w:val="hybridMultilevel"/>
    <w:tmpl w:val="2146C73C"/>
    <w:lvl w:ilvl="0" w:tplc="BE544F1A">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2F12EF6"/>
    <w:multiLevelType w:val="multilevel"/>
    <w:tmpl w:val="7D025DD8"/>
    <w:styleLink w:val="WWNum11"/>
    <w:lvl w:ilvl="0">
      <w:numFmt w:val="bullet"/>
      <w:lvlText w:val=""/>
      <w:lvlJc w:val="left"/>
      <w:pPr>
        <w:ind w:left="720" w:hanging="360"/>
      </w:pPr>
      <w:rPr>
        <w:rFonts w:ascii="Calibri" w:hAnsi="Calibri"/>
        <w:sz w:val="20"/>
      </w:rPr>
    </w:lvl>
    <w:lvl w:ilvl="1">
      <w:numFmt w:val="bullet"/>
      <w:lvlText w:val="-"/>
      <w:lvlJc w:val="left"/>
      <w:pPr>
        <w:ind w:left="1440" w:hanging="360"/>
      </w:pPr>
      <w:rPr>
        <w:rFonts w:ascii="Arial" w:eastAsia="Arial MT" w:hAnsi="Arial" w:cs="Arial"/>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4" w15:restartNumberingAfterBreak="0">
    <w:nsid w:val="53761913"/>
    <w:multiLevelType w:val="multilevel"/>
    <w:tmpl w:val="5CD2462C"/>
    <w:styleLink w:val="WWNum5"/>
    <w:lvl w:ilvl="0">
      <w:start w:val="1"/>
      <w:numFmt w:val="decimal"/>
      <w:lvlText w:val="%1."/>
      <w:lvlJc w:val="left"/>
      <w:pPr>
        <w:ind w:left="362" w:hanging="360"/>
      </w:pPr>
      <w:rPr>
        <w:rFonts w:ascii="Arial" w:hAnsi="Arial"/>
        <w:b w:val="0"/>
        <w:bCs/>
      </w:rPr>
    </w:lvl>
    <w:lvl w:ilvl="1">
      <w:start w:val="1"/>
      <w:numFmt w:val="lowerLetter"/>
      <w:lvlText w:val="%2."/>
      <w:lvlJc w:val="left"/>
      <w:pPr>
        <w:ind w:left="1082" w:hanging="360"/>
      </w:pPr>
    </w:lvl>
    <w:lvl w:ilvl="2">
      <w:start w:val="1"/>
      <w:numFmt w:val="lowerRoman"/>
      <w:lvlText w:val="%3."/>
      <w:lvlJc w:val="right"/>
      <w:pPr>
        <w:ind w:left="1802" w:hanging="180"/>
      </w:pPr>
    </w:lvl>
    <w:lvl w:ilvl="3">
      <w:start w:val="1"/>
      <w:numFmt w:val="decimal"/>
      <w:lvlText w:val="%4."/>
      <w:lvlJc w:val="left"/>
      <w:pPr>
        <w:ind w:left="2522" w:hanging="360"/>
      </w:pPr>
    </w:lvl>
    <w:lvl w:ilvl="4">
      <w:start w:val="1"/>
      <w:numFmt w:val="lowerLetter"/>
      <w:lvlText w:val="%5."/>
      <w:lvlJc w:val="left"/>
      <w:pPr>
        <w:ind w:left="3242" w:hanging="360"/>
      </w:pPr>
    </w:lvl>
    <w:lvl w:ilvl="5">
      <w:start w:val="1"/>
      <w:numFmt w:val="lowerRoman"/>
      <w:lvlText w:val="%6."/>
      <w:lvlJc w:val="right"/>
      <w:pPr>
        <w:ind w:left="3962" w:hanging="180"/>
      </w:pPr>
    </w:lvl>
    <w:lvl w:ilvl="6">
      <w:start w:val="1"/>
      <w:numFmt w:val="decimal"/>
      <w:lvlText w:val="%7."/>
      <w:lvlJc w:val="left"/>
      <w:pPr>
        <w:ind w:left="4682" w:hanging="360"/>
      </w:pPr>
    </w:lvl>
    <w:lvl w:ilvl="7">
      <w:start w:val="1"/>
      <w:numFmt w:val="lowerLetter"/>
      <w:lvlText w:val="%8."/>
      <w:lvlJc w:val="left"/>
      <w:pPr>
        <w:ind w:left="5402" w:hanging="360"/>
      </w:pPr>
    </w:lvl>
    <w:lvl w:ilvl="8">
      <w:start w:val="1"/>
      <w:numFmt w:val="lowerRoman"/>
      <w:lvlText w:val="%9."/>
      <w:lvlJc w:val="right"/>
      <w:pPr>
        <w:ind w:left="6122" w:hanging="180"/>
      </w:pPr>
    </w:lvl>
  </w:abstractNum>
  <w:abstractNum w:abstractNumId="15" w15:restartNumberingAfterBreak="0">
    <w:nsid w:val="59B83C66"/>
    <w:multiLevelType w:val="multilevel"/>
    <w:tmpl w:val="C1BCBC26"/>
    <w:styleLink w:val="WWNum36"/>
    <w:lvl w:ilvl="0">
      <w:numFmt w:val="bullet"/>
      <w:lvlText w:val=""/>
      <w:lvlJc w:val="left"/>
      <w:pPr>
        <w:ind w:left="720" w:hanging="360"/>
      </w:pPr>
      <w:rPr>
        <w:rFonts w:ascii="Times New Roman" w:hAnsi="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6" w15:restartNumberingAfterBreak="0">
    <w:nsid w:val="5B406BC8"/>
    <w:multiLevelType w:val="multilevel"/>
    <w:tmpl w:val="3B7C6860"/>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7" w15:restartNumberingAfterBreak="0">
    <w:nsid w:val="62400DD3"/>
    <w:multiLevelType w:val="multilevel"/>
    <w:tmpl w:val="2AEACC1E"/>
    <w:styleLink w:val="WWNum19"/>
    <w:lvl w:ilvl="0">
      <w:numFmt w:val="bullet"/>
      <w:lvlText w:val=""/>
      <w:lvlJc w:val="left"/>
      <w:pPr>
        <w:ind w:left="1440" w:hanging="360"/>
      </w:pPr>
      <w:rPr>
        <w:rFonts w:ascii="Times New Roman" w:hAnsi="Times New Roman"/>
      </w:r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18" w15:restartNumberingAfterBreak="0">
    <w:nsid w:val="6930313F"/>
    <w:multiLevelType w:val="multilevel"/>
    <w:tmpl w:val="D186A76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9" w15:restartNumberingAfterBreak="0">
    <w:nsid w:val="704F4594"/>
    <w:multiLevelType w:val="multilevel"/>
    <w:tmpl w:val="176A803E"/>
    <w:styleLink w:val="WWNum34"/>
    <w:lvl w:ilvl="0">
      <w:start w:val="1"/>
      <w:numFmt w:val="decimal"/>
      <w:lvlText w:val="%1."/>
      <w:lvlJc w:val="left"/>
      <w:pPr>
        <w:ind w:left="720" w:hanging="360"/>
      </w:pPr>
      <w:rPr>
        <w:rFonts w:ascii="Arial" w:hAnsi="Arial" w:cs="Arial"/>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5E80F35"/>
    <w:multiLevelType w:val="multilevel"/>
    <w:tmpl w:val="3C76F38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6C93CFF"/>
    <w:multiLevelType w:val="multilevel"/>
    <w:tmpl w:val="8B920752"/>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E81AF0"/>
    <w:multiLevelType w:val="multilevel"/>
    <w:tmpl w:val="2076B46C"/>
    <w:styleLink w:val="WWNum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7E624F58"/>
    <w:multiLevelType w:val="multilevel"/>
    <w:tmpl w:val="6D5E1A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92895712">
    <w:abstractNumId w:val="15"/>
  </w:num>
  <w:num w:numId="2" w16cid:durableId="766468330">
    <w:abstractNumId w:val="3"/>
  </w:num>
  <w:num w:numId="3" w16cid:durableId="1740246376">
    <w:abstractNumId w:val="10"/>
  </w:num>
  <w:num w:numId="4" w16cid:durableId="916717763">
    <w:abstractNumId w:val="19"/>
  </w:num>
  <w:num w:numId="5" w16cid:durableId="603269308">
    <w:abstractNumId w:val="17"/>
  </w:num>
  <w:num w:numId="6" w16cid:durableId="500122860">
    <w:abstractNumId w:val="22"/>
  </w:num>
  <w:num w:numId="7" w16cid:durableId="1185438172">
    <w:abstractNumId w:val="14"/>
  </w:num>
  <w:num w:numId="8" w16cid:durableId="309142637">
    <w:abstractNumId w:val="4"/>
  </w:num>
  <w:num w:numId="9" w16cid:durableId="1472403520">
    <w:abstractNumId w:val="2"/>
  </w:num>
  <w:num w:numId="10" w16cid:durableId="557859379">
    <w:abstractNumId w:val="21"/>
  </w:num>
  <w:num w:numId="11" w16cid:durableId="1156411164">
    <w:abstractNumId w:val="16"/>
  </w:num>
  <w:num w:numId="12" w16cid:durableId="1444037131">
    <w:abstractNumId w:val="13"/>
  </w:num>
  <w:num w:numId="13" w16cid:durableId="760873639">
    <w:abstractNumId w:val="18"/>
  </w:num>
  <w:num w:numId="14" w16cid:durableId="1326320594">
    <w:abstractNumId w:val="20"/>
  </w:num>
  <w:num w:numId="15" w16cid:durableId="81608058">
    <w:abstractNumId w:val="6"/>
  </w:num>
  <w:num w:numId="16" w16cid:durableId="1974210570">
    <w:abstractNumId w:val="5"/>
  </w:num>
  <w:num w:numId="17" w16cid:durableId="1134251399">
    <w:abstractNumId w:val="0"/>
  </w:num>
  <w:num w:numId="18" w16cid:durableId="1050574055">
    <w:abstractNumId w:val="23"/>
  </w:num>
  <w:num w:numId="19" w16cid:durableId="2030596412">
    <w:abstractNumId w:val="14"/>
    <w:lvlOverride w:ilvl="0">
      <w:startOverride w:val="1"/>
    </w:lvlOverride>
  </w:num>
  <w:num w:numId="20" w16cid:durableId="1063335672">
    <w:abstractNumId w:val="4"/>
  </w:num>
  <w:num w:numId="21" w16cid:durableId="1669867406">
    <w:abstractNumId w:val="2"/>
    <w:lvlOverride w:ilvl="0">
      <w:startOverride w:val="3"/>
    </w:lvlOverride>
  </w:num>
  <w:num w:numId="22" w16cid:durableId="1472282237">
    <w:abstractNumId w:val="21"/>
    <w:lvlOverride w:ilvl="0">
      <w:startOverride w:val="1"/>
    </w:lvlOverride>
  </w:num>
  <w:num w:numId="23" w16cid:durableId="1454783513">
    <w:abstractNumId w:val="16"/>
  </w:num>
  <w:num w:numId="24" w16cid:durableId="1396314454">
    <w:abstractNumId w:val="13"/>
  </w:num>
  <w:num w:numId="25" w16cid:durableId="914558961">
    <w:abstractNumId w:val="18"/>
  </w:num>
  <w:num w:numId="26" w16cid:durableId="1144658290">
    <w:abstractNumId w:val="20"/>
    <w:lvlOverride w:ilvl="0">
      <w:startOverride w:val="1"/>
    </w:lvlOverride>
  </w:num>
  <w:num w:numId="27" w16cid:durableId="377583962">
    <w:abstractNumId w:val="6"/>
    <w:lvlOverride w:ilvl="0">
      <w:startOverride w:val="1"/>
    </w:lvlOverride>
  </w:num>
  <w:num w:numId="28" w16cid:durableId="1821649598">
    <w:abstractNumId w:val="5"/>
    <w:lvlOverride w:ilvl="0">
      <w:startOverride w:val="1"/>
    </w:lvlOverride>
  </w:num>
  <w:num w:numId="29" w16cid:durableId="511262146">
    <w:abstractNumId w:val="0"/>
    <w:lvlOverride w:ilvl="0">
      <w:startOverride w:val="1"/>
    </w:lvlOverride>
  </w:num>
  <w:num w:numId="30" w16cid:durableId="1125388801">
    <w:abstractNumId w:val="8"/>
  </w:num>
  <w:num w:numId="31" w16cid:durableId="442384536">
    <w:abstractNumId w:val="11"/>
  </w:num>
  <w:num w:numId="32" w16cid:durableId="73203853">
    <w:abstractNumId w:val="12"/>
  </w:num>
  <w:num w:numId="33" w16cid:durableId="1505898586">
    <w:abstractNumId w:val="9"/>
  </w:num>
  <w:num w:numId="34" w16cid:durableId="962342809">
    <w:abstractNumId w:val="1"/>
  </w:num>
  <w:num w:numId="35" w16cid:durableId="16520544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255"/>
    <w:rsid w:val="001B0876"/>
    <w:rsid w:val="00207724"/>
    <w:rsid w:val="00424377"/>
    <w:rsid w:val="004F23EA"/>
    <w:rsid w:val="00501E85"/>
    <w:rsid w:val="005339F0"/>
    <w:rsid w:val="00574D57"/>
    <w:rsid w:val="005B4ED4"/>
    <w:rsid w:val="006C1ED9"/>
    <w:rsid w:val="0070741E"/>
    <w:rsid w:val="007447AF"/>
    <w:rsid w:val="00784C0C"/>
    <w:rsid w:val="007E5963"/>
    <w:rsid w:val="00B3287F"/>
    <w:rsid w:val="00D617AC"/>
    <w:rsid w:val="00D82C22"/>
    <w:rsid w:val="00E056FB"/>
    <w:rsid w:val="00E07BEC"/>
    <w:rsid w:val="00E14255"/>
    <w:rsid w:val="00F17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CE7B"/>
  <w15:docId w15:val="{20D779C9-5DF9-4A20-9D0B-BF1D0FB2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377"/>
    <w:pPr>
      <w:keepNext/>
      <w:keepLines/>
      <w:spacing w:before="240"/>
      <w:outlineLvl w:val="0"/>
    </w:pPr>
    <w:rPr>
      <w:rFonts w:asciiTheme="majorHAnsi" w:eastAsiaTheme="majorEastAsia" w:hAnsiTheme="majorHAnsi" w:cs="Mangal"/>
      <w:color w:val="0F4761" w:themeColor="accent1" w:themeShade="BF"/>
      <w:sz w:val="32"/>
      <w:szCs w:val="29"/>
    </w:rPr>
  </w:style>
  <w:style w:type="paragraph" w:styleId="Heading2">
    <w:name w:val="heading 2"/>
    <w:basedOn w:val="Heading"/>
    <w:next w:val="Textbody"/>
    <w:uiPriority w:val="9"/>
    <w:semiHidden/>
    <w:unhideWhenUsed/>
    <w:qFormat/>
    <w:pPr>
      <w:spacing w:before="200"/>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ListParagraph">
    <w:name w:val="List Paragraph"/>
    <w:basedOn w:val="Standard"/>
    <w:pPr>
      <w:ind w:left="720"/>
      <w:contextualSpacing/>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HeaderandFooter"/>
    <w:link w:val="HeaderChar"/>
    <w:uiPriority w:val="99"/>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ListLabel316">
    <w:name w:val="ListLabel 316"/>
    <w:rPr>
      <w:rFonts w:ascii="Times New Roman" w:eastAsia="Times New Roman" w:hAnsi="Times New Roman" w:cs="Times New Roman"/>
    </w:rPr>
  </w:style>
  <w:style w:type="character" w:customStyle="1" w:styleId="ListLabel317">
    <w:name w:val="ListLabel 317"/>
    <w:rPr>
      <w:rFonts w:cs="Courier New"/>
    </w:rPr>
  </w:style>
  <w:style w:type="character" w:customStyle="1" w:styleId="ListLabel318">
    <w:name w:val="ListLabel 318"/>
  </w:style>
  <w:style w:type="character" w:customStyle="1" w:styleId="ListLabel319">
    <w:name w:val="ListLabel 319"/>
    <w:rPr>
      <w:rFonts w:ascii="Times New Roman" w:eastAsia="Times New Roman" w:hAnsi="Times New Roman" w:cs="Times New Roman"/>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Times New Roman" w:eastAsia="Times New Roman" w:hAnsi="Times New Roman" w:cs="Times New Roman"/>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Times New Roman" w:eastAsia="Times New Roman" w:hAnsi="Times New Roman" w:cs="Times New Roman"/>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rPr>
      <w:rFonts w:ascii="Times New Roman" w:eastAsia="Times New Roman" w:hAnsi="Times New Roman" w:cs="Times New Roman"/>
    </w:rPr>
  </w:style>
  <w:style w:type="character" w:customStyle="1" w:styleId="ListLabel329">
    <w:name w:val="ListLabel 329"/>
    <w:rPr>
      <w:rFonts w:cs="Courier New"/>
    </w:rPr>
  </w:style>
  <w:style w:type="character" w:customStyle="1" w:styleId="ListLabel330">
    <w:name w:val="ListLabel 330"/>
  </w:style>
  <w:style w:type="character" w:customStyle="1" w:styleId="ListLabel331">
    <w:name w:val="ListLabel 331"/>
    <w:rPr>
      <w:rFonts w:ascii="Times New Roman" w:eastAsia="Times New Roman" w:hAnsi="Times New Roman" w:cs="Times New Roman"/>
    </w:rPr>
  </w:style>
  <w:style w:type="character" w:customStyle="1" w:styleId="ListLabel332">
    <w:name w:val="ListLabel 332"/>
    <w:rPr>
      <w:rFonts w:cs="Courier New"/>
    </w:rPr>
  </w:style>
  <w:style w:type="character" w:customStyle="1" w:styleId="ListLabel333">
    <w:name w:val="ListLabel 333"/>
  </w:style>
  <w:style w:type="character" w:customStyle="1" w:styleId="ListLabel271">
    <w:name w:val="ListLabel 271"/>
    <w:rPr>
      <w:rFonts w:ascii="Times New Roman" w:eastAsia="Times New Roman" w:hAnsi="Times New Roman" w:cs="Times New Roman"/>
    </w:rPr>
  </w:style>
  <w:style w:type="character" w:customStyle="1" w:styleId="ListLabel272">
    <w:name w:val="ListLabel 272"/>
    <w:rPr>
      <w:rFonts w:cs="Courier New"/>
    </w:rPr>
  </w:style>
  <w:style w:type="character" w:customStyle="1" w:styleId="ListLabel273">
    <w:name w:val="ListLabel 273"/>
  </w:style>
  <w:style w:type="character" w:customStyle="1" w:styleId="ListLabel274">
    <w:name w:val="ListLabel 274"/>
    <w:rPr>
      <w:rFonts w:ascii="Times New Roman" w:eastAsia="Times New Roman" w:hAnsi="Times New Roman" w:cs="Times New Roman"/>
    </w:rPr>
  </w:style>
  <w:style w:type="character" w:customStyle="1" w:styleId="ListLabel275">
    <w:name w:val="ListLabel 275"/>
    <w:rPr>
      <w:rFonts w:cs="Courier New"/>
    </w:rPr>
  </w:style>
  <w:style w:type="character" w:customStyle="1" w:styleId="ListLabel276">
    <w:name w:val="ListLabel 276"/>
  </w:style>
  <w:style w:type="character" w:customStyle="1" w:styleId="ListLabel277">
    <w:name w:val="ListLabel 277"/>
    <w:rPr>
      <w:rFonts w:ascii="Times New Roman" w:eastAsia="Times New Roman" w:hAnsi="Times New Roman" w:cs="Times New Roman"/>
    </w:rPr>
  </w:style>
  <w:style w:type="character" w:customStyle="1" w:styleId="ListLabel278">
    <w:name w:val="ListLabel 278"/>
    <w:rPr>
      <w:rFonts w:cs="Courier New"/>
    </w:rPr>
  </w:style>
  <w:style w:type="character" w:customStyle="1" w:styleId="ListLabel279">
    <w:name w:val="ListLabel 279"/>
  </w:style>
  <w:style w:type="character" w:customStyle="1" w:styleId="ListLabel298">
    <w:name w:val="ListLabel 298"/>
    <w:rPr>
      <w:rFonts w:ascii="Arial" w:eastAsia="Arial" w:hAnsi="Arial" w:cs="Arial"/>
      <w:b/>
      <w:color w:val="auto"/>
    </w:rPr>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163">
    <w:name w:val="ListLabel 163"/>
    <w:rPr>
      <w:rFonts w:ascii="Times New Roman" w:eastAsia="Times New Roman" w:hAnsi="Times New Roman" w:cs="Times New Roman"/>
    </w:rPr>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rPr>
      <w:rFonts w:ascii="Times New Roman" w:eastAsia="Times New Roman" w:hAnsi="Times New Roman" w:cs="Times New Roman"/>
    </w:rPr>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rPr>
      <w:rFonts w:ascii="Times New Roman" w:eastAsia="Times New Roman" w:hAnsi="Times New Roman" w:cs="Times New Roman"/>
    </w:rPr>
  </w:style>
  <w:style w:type="character" w:customStyle="1" w:styleId="ListLabel170">
    <w:name w:val="ListLabel 170"/>
    <w:rPr>
      <w:rFonts w:cs="Courier New"/>
    </w:rPr>
  </w:style>
  <w:style w:type="character" w:customStyle="1" w:styleId="ListLabel171">
    <w:name w:val="ListLabel 171"/>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37">
    <w:name w:val="ListLabel 37"/>
    <w:rPr>
      <w:rFonts w:ascii="Arial" w:eastAsia="Arial" w:hAnsi="Arial" w:cs="Arial"/>
      <w:b w:val="0"/>
      <w:bCs/>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109">
    <w:name w:val="ListLabel 109"/>
    <w:rPr>
      <w:rFonts w:ascii="Calibri" w:eastAsia="Calibri" w:hAnsi="Calibri" w:cs="Calibri"/>
    </w:rPr>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rPr>
      <w:rFonts w:ascii="Calibri" w:eastAsia="Calibri" w:hAnsi="Calibri" w:cs="Calibri"/>
    </w:rPr>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rPr>
      <w:rFonts w:ascii="Calibri" w:eastAsia="Calibri" w:hAnsi="Calibri" w:cs="Calibri"/>
    </w:rPr>
  </w:style>
  <w:style w:type="character" w:customStyle="1" w:styleId="ListLabel116">
    <w:name w:val="ListLabel 116"/>
    <w:rPr>
      <w:rFonts w:cs="Courier New"/>
    </w:rPr>
  </w:style>
  <w:style w:type="character" w:customStyle="1" w:styleId="ListLabel117">
    <w:name w:val="ListLabel 117"/>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rPr>
      <w:rFonts w:ascii="Calibri" w:eastAsia="Calibri" w:hAnsi="Calibri" w:cs="Calibri"/>
      <w:sz w:val="20"/>
    </w:rPr>
  </w:style>
  <w:style w:type="character" w:customStyle="1" w:styleId="ListLabel83">
    <w:name w:val="ListLabel 83"/>
    <w:rPr>
      <w:sz w:val="20"/>
    </w:rPr>
  </w:style>
  <w:style w:type="character" w:customStyle="1" w:styleId="ListLabel84">
    <w:name w:val="ListLabel 84"/>
    <w:rPr>
      <w:sz w:val="20"/>
    </w:rPr>
  </w:style>
  <w:style w:type="character" w:customStyle="1" w:styleId="ListLabel85">
    <w:name w:val="ListLabel 85"/>
    <w:rPr>
      <w:sz w:val="20"/>
    </w:rPr>
  </w:style>
  <w:style w:type="character" w:customStyle="1" w:styleId="ListLabel86">
    <w:name w:val="ListLabel 86"/>
    <w:rPr>
      <w:sz w:val="20"/>
    </w:rPr>
  </w:style>
  <w:style w:type="character" w:customStyle="1" w:styleId="ListLabel87">
    <w:name w:val="ListLabel 87"/>
    <w:rPr>
      <w:sz w:val="20"/>
    </w:rPr>
  </w:style>
  <w:style w:type="character" w:customStyle="1" w:styleId="ListLabel88">
    <w:name w:val="ListLabel 88"/>
    <w:rPr>
      <w:sz w:val="20"/>
    </w:rPr>
  </w:style>
  <w:style w:type="character" w:customStyle="1" w:styleId="ListLabel89">
    <w:name w:val="ListLabel 89"/>
    <w:rPr>
      <w:sz w:val="20"/>
    </w:rPr>
  </w:style>
  <w:style w:type="character" w:customStyle="1" w:styleId="ListLabel90">
    <w:name w:val="ListLabel 90"/>
    <w:rPr>
      <w:sz w:val="20"/>
    </w:rPr>
  </w:style>
  <w:style w:type="character" w:customStyle="1" w:styleId="ListLabel91">
    <w:name w:val="ListLabel 91"/>
    <w:rPr>
      <w:rFonts w:ascii="Calibri" w:eastAsia="Calibri" w:hAnsi="Calibri" w:cs="Calibri"/>
      <w:sz w:val="20"/>
    </w:rPr>
  </w:style>
  <w:style w:type="character" w:customStyle="1" w:styleId="ListLabel92">
    <w:name w:val="ListLabel 92"/>
    <w:rPr>
      <w:rFonts w:ascii="Calibri" w:eastAsia="Arial MT" w:hAnsi="Calibri" w:cs="Arial"/>
    </w:rPr>
  </w:style>
  <w:style w:type="character" w:customStyle="1" w:styleId="ListLabel93">
    <w:name w:val="ListLabel 93"/>
    <w:rPr>
      <w:sz w:val="20"/>
    </w:rPr>
  </w:style>
  <w:style w:type="character" w:customStyle="1" w:styleId="ListLabel94">
    <w:name w:val="ListLabel 94"/>
    <w:rPr>
      <w:sz w:val="20"/>
    </w:rPr>
  </w:style>
  <w:style w:type="character" w:customStyle="1" w:styleId="ListLabel95">
    <w:name w:val="ListLabel 95"/>
    <w:rPr>
      <w:sz w:val="20"/>
    </w:rPr>
  </w:style>
  <w:style w:type="character" w:customStyle="1" w:styleId="ListLabel96">
    <w:name w:val="ListLabel 96"/>
    <w:rPr>
      <w:sz w:val="20"/>
    </w:rPr>
  </w:style>
  <w:style w:type="character" w:customStyle="1" w:styleId="ListLabel97">
    <w:name w:val="ListLabel 97"/>
    <w:rPr>
      <w:sz w:val="20"/>
    </w:rPr>
  </w:style>
  <w:style w:type="character" w:customStyle="1" w:styleId="ListLabel98">
    <w:name w:val="ListLabel 98"/>
    <w:rPr>
      <w:sz w:val="20"/>
    </w:rPr>
  </w:style>
  <w:style w:type="character" w:customStyle="1" w:styleId="ListLabel99">
    <w:name w:val="ListLabel 99"/>
    <w:rPr>
      <w:sz w:val="20"/>
    </w:rPr>
  </w:style>
  <w:style w:type="character" w:customStyle="1" w:styleId="ListLabel100">
    <w:name w:val="ListLabel 100"/>
    <w:rPr>
      <w:rFonts w:ascii="Calibri" w:eastAsia="Calibri" w:hAnsi="Calibri" w:cs="Calibri"/>
      <w:sz w:val="20"/>
    </w:rPr>
  </w:style>
  <w:style w:type="character" w:customStyle="1" w:styleId="ListLabel101">
    <w:name w:val="ListLabel 101"/>
    <w:rPr>
      <w:sz w:val="20"/>
    </w:rPr>
  </w:style>
  <w:style w:type="character" w:customStyle="1" w:styleId="ListLabel102">
    <w:name w:val="ListLabel 102"/>
    <w:rPr>
      <w:sz w:val="20"/>
    </w:rPr>
  </w:style>
  <w:style w:type="character" w:customStyle="1" w:styleId="ListLabel103">
    <w:name w:val="ListLabel 103"/>
    <w:rPr>
      <w:sz w:val="20"/>
    </w:rPr>
  </w:style>
  <w:style w:type="character" w:customStyle="1" w:styleId="ListLabel104">
    <w:name w:val="ListLabel 104"/>
    <w:rPr>
      <w:sz w:val="20"/>
    </w:rPr>
  </w:style>
  <w:style w:type="character" w:customStyle="1" w:styleId="ListLabel105">
    <w:name w:val="ListLabel 105"/>
    <w:rPr>
      <w:sz w:val="20"/>
    </w:rPr>
  </w:style>
  <w:style w:type="character" w:customStyle="1" w:styleId="ListLabel106">
    <w:name w:val="ListLabel 106"/>
    <w:rPr>
      <w:sz w:val="20"/>
    </w:rPr>
  </w:style>
  <w:style w:type="character" w:customStyle="1" w:styleId="ListLabel107">
    <w:name w:val="ListLabel 107"/>
    <w:rPr>
      <w:sz w:val="20"/>
    </w:rPr>
  </w:style>
  <w:style w:type="character" w:customStyle="1" w:styleId="ListLabel108">
    <w:name w:val="ListLabel 108"/>
    <w:rPr>
      <w:sz w:val="20"/>
    </w:rPr>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numbering" w:customStyle="1" w:styleId="WWNum36">
    <w:name w:val="WWNum36"/>
    <w:basedOn w:val="NoList"/>
    <w:pPr>
      <w:numPr>
        <w:numId w:val="1"/>
      </w:numPr>
    </w:pPr>
  </w:style>
  <w:style w:type="numbering" w:customStyle="1" w:styleId="WWNum37">
    <w:name w:val="WWNum37"/>
    <w:basedOn w:val="NoList"/>
    <w:pPr>
      <w:numPr>
        <w:numId w:val="2"/>
      </w:numPr>
    </w:pPr>
  </w:style>
  <w:style w:type="numbering" w:customStyle="1" w:styleId="WWNum31">
    <w:name w:val="WWNum31"/>
    <w:basedOn w:val="NoList"/>
    <w:pPr>
      <w:numPr>
        <w:numId w:val="3"/>
      </w:numPr>
    </w:pPr>
  </w:style>
  <w:style w:type="numbering" w:customStyle="1" w:styleId="WWNum34">
    <w:name w:val="WWNum34"/>
    <w:basedOn w:val="NoList"/>
    <w:pPr>
      <w:numPr>
        <w:numId w:val="4"/>
      </w:numPr>
    </w:pPr>
  </w:style>
  <w:style w:type="numbering" w:customStyle="1" w:styleId="WWNum19">
    <w:name w:val="WWNum19"/>
    <w:basedOn w:val="NoList"/>
    <w:pPr>
      <w:numPr>
        <w:numId w:val="5"/>
      </w:numPr>
    </w:pPr>
  </w:style>
  <w:style w:type="numbering" w:customStyle="1" w:styleId="WWNum1">
    <w:name w:val="WWNum1"/>
    <w:basedOn w:val="NoList"/>
    <w:pPr>
      <w:numPr>
        <w:numId w:val="6"/>
      </w:numPr>
    </w:pPr>
  </w:style>
  <w:style w:type="numbering" w:customStyle="1" w:styleId="WWNum5">
    <w:name w:val="WWNum5"/>
    <w:basedOn w:val="NoList"/>
    <w:pPr>
      <w:numPr>
        <w:numId w:val="7"/>
      </w:numPr>
    </w:pPr>
  </w:style>
  <w:style w:type="numbering" w:customStyle="1" w:styleId="WWNum13">
    <w:name w:val="WWNum13"/>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6">
    <w:name w:val="WWNum6"/>
    <w:basedOn w:val="NoList"/>
    <w:pPr>
      <w:numPr>
        <w:numId w:val="16"/>
      </w:numPr>
    </w:pPr>
  </w:style>
  <w:style w:type="numbering" w:customStyle="1" w:styleId="WWNum7">
    <w:name w:val="WWNum7"/>
    <w:basedOn w:val="NoList"/>
    <w:pPr>
      <w:numPr>
        <w:numId w:val="17"/>
      </w:numPr>
    </w:pPr>
  </w:style>
  <w:style w:type="paragraph" w:styleId="Footer">
    <w:name w:val="footer"/>
    <w:basedOn w:val="Normal"/>
    <w:link w:val="FooterChar"/>
    <w:uiPriority w:val="99"/>
    <w:unhideWhenUsed/>
    <w:rsid w:val="00D82C22"/>
    <w:pPr>
      <w:tabs>
        <w:tab w:val="center" w:pos="4252"/>
        <w:tab w:val="right" w:pos="8504"/>
      </w:tabs>
    </w:pPr>
    <w:rPr>
      <w:rFonts w:cs="Mangal"/>
      <w:szCs w:val="21"/>
    </w:rPr>
  </w:style>
  <w:style w:type="character" w:customStyle="1" w:styleId="FooterChar">
    <w:name w:val="Footer Char"/>
    <w:basedOn w:val="DefaultParagraphFont"/>
    <w:link w:val="Footer"/>
    <w:uiPriority w:val="99"/>
    <w:rsid w:val="00D82C22"/>
    <w:rPr>
      <w:rFonts w:cs="Mangal"/>
      <w:szCs w:val="21"/>
    </w:rPr>
  </w:style>
  <w:style w:type="character" w:customStyle="1" w:styleId="HeaderChar">
    <w:name w:val="Header Char"/>
    <w:basedOn w:val="DefaultParagraphFont"/>
    <w:link w:val="Header"/>
    <w:uiPriority w:val="99"/>
    <w:rsid w:val="00D82C22"/>
  </w:style>
  <w:style w:type="character" w:customStyle="1" w:styleId="Heading1Char">
    <w:name w:val="Heading 1 Char"/>
    <w:basedOn w:val="DefaultParagraphFont"/>
    <w:link w:val="Heading1"/>
    <w:uiPriority w:val="9"/>
    <w:rsid w:val="00424377"/>
    <w:rPr>
      <w:rFonts w:asciiTheme="majorHAnsi" w:eastAsiaTheme="majorEastAsia" w:hAnsiTheme="majorHAnsi" w:cs="Mangal"/>
      <w:color w:val="0F4761"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Esther Ballesteros</cp:lastModifiedBy>
  <cp:revision>5</cp:revision>
  <dcterms:created xsi:type="dcterms:W3CDTF">2026-06-19T07:42:00Z</dcterms:created>
  <dcterms:modified xsi:type="dcterms:W3CDTF">2026-06-19T08:08:00Z</dcterms:modified>
</cp:coreProperties>
</file>