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B6992" w14:textId="7535B417" w:rsidR="00D241D1" w:rsidRPr="000870B4" w:rsidRDefault="00D241D1" w:rsidP="00650A28">
      <w:pPr>
        <w:pStyle w:val="Textindependent"/>
        <w:rPr>
          <w:iCs/>
        </w:rPr>
      </w:pPr>
      <w:r w:rsidRPr="000870B4">
        <w:t xml:space="preserve">RESOLUCIÓN xxx/yyyy/aaaa, de [dd] de [mes], por la que se aprueba la convocatoria anticipada derivada de las bases reguladoras de las </w:t>
      </w:r>
      <w:r w:rsidR="007F65E0" w:rsidRPr="000870B4">
        <w:rPr>
          <w:iCs/>
        </w:rPr>
        <w:t>subvenciones para el mejora urban</w:t>
      </w:r>
      <w:r w:rsidR="00EE396E">
        <w:rPr>
          <w:iCs/>
        </w:rPr>
        <w:t>a</w:t>
      </w:r>
      <w:r w:rsidR="007F65E0" w:rsidRPr="000870B4">
        <w:rPr>
          <w:iCs/>
        </w:rPr>
        <w:t>, ambiental y social de los barrios y villas de atención especial, financiadas por el Fondo de Recuperación Urbana, Ambiental y Social de Barrios y Villas de Atención Especial, para</w:t>
      </w:r>
      <w:r w:rsidR="00E47BEF">
        <w:rPr>
          <w:iCs/>
        </w:rPr>
        <w:t xml:space="preserve"> el año 20</w:t>
      </w:r>
      <w:r w:rsidR="007F65E0" w:rsidRPr="000870B4">
        <w:rPr>
          <w:iCs/>
        </w:rPr>
        <w:t>2</w:t>
      </w:r>
      <w:r w:rsidR="00E47BEF">
        <w:rPr>
          <w:iCs/>
        </w:rPr>
        <w:t>6</w:t>
      </w:r>
    </w:p>
    <w:p w14:paraId="0074018D" w14:textId="713F21EB" w:rsidR="00D241D1" w:rsidRPr="000870B4" w:rsidRDefault="00D241D1" w:rsidP="00650A28">
      <w:pPr>
        <w:pStyle w:val="Textindependent"/>
        <w:rPr>
          <w:iCs/>
        </w:rPr>
      </w:pPr>
      <w:r w:rsidRPr="000870B4">
        <w:t>Dado</w:t>
      </w:r>
      <w:r w:rsidR="00FC615A" w:rsidRPr="000870B4">
        <w:rPr>
          <w:i/>
        </w:rPr>
        <w:t xml:space="preserve"> </w:t>
      </w:r>
      <w:r w:rsidR="0027722F" w:rsidRPr="000870B4">
        <w:rPr>
          <w:iCs/>
        </w:rPr>
        <w:t xml:space="preserve">el Decreto 163/2025, de 29 de julio, de </w:t>
      </w:r>
      <w:r w:rsidR="00EE396E">
        <w:rPr>
          <w:iCs/>
        </w:rPr>
        <w:t>despliegue</w:t>
      </w:r>
      <w:r w:rsidR="0027722F" w:rsidRPr="000870B4">
        <w:rPr>
          <w:iCs/>
        </w:rPr>
        <w:t xml:space="preserve"> de la Ley 11/2022, de 29 de diciembre, de mejora urbana, ambiental y social de los barrios y villas, que contiene las bases reguladoras de estas subvenciones; y la corrección de erratas en el mencionado Decreto, publicada en el DOGC núm. 9470, de 4 de agosto.</w:t>
      </w:r>
    </w:p>
    <w:p w14:paraId="3A87B407" w14:textId="5ADF34A4" w:rsidR="00D241D1" w:rsidRPr="000870B4" w:rsidRDefault="00D241D1" w:rsidP="00650A28">
      <w:pPr>
        <w:pStyle w:val="Textindependent"/>
      </w:pPr>
      <w:r w:rsidRPr="000870B4">
        <w:t>Visto el Decreto legislativo 3/2002, de 24 de diciembre, por el que se aprueba el Texto refundido de la Ley de finanzas públicas de Cataluña y, en lo que tenga la consideración de normativa básica, la Ley 38/2003, de 17 de noviembre, general de subvenciones y el Reglamento que la desarrolla, aprobado por el Real Decreto 887/200</w:t>
      </w:r>
      <w:r w:rsidR="00EE396E">
        <w:t>6</w:t>
      </w:r>
      <w:r w:rsidRPr="000870B4">
        <w:t>;</w:t>
      </w:r>
    </w:p>
    <w:p w14:paraId="71041487" w14:textId="77777777" w:rsidR="00D241D1" w:rsidRPr="000870B4" w:rsidRDefault="00D241D1" w:rsidP="00650A28">
      <w:pPr>
        <w:pStyle w:val="Textindependent"/>
      </w:pPr>
      <w:r w:rsidRPr="000870B4">
        <w:t>Por todo ello, Resuelvo:</w:t>
      </w:r>
    </w:p>
    <w:p w14:paraId="4494755B" w14:textId="53373DD9" w:rsidR="00D241D1" w:rsidRPr="000870B4" w:rsidRDefault="00D241D1" w:rsidP="00650A28">
      <w:pPr>
        <w:pStyle w:val="Textindependent"/>
        <w:spacing w:before="5"/>
      </w:pPr>
      <w:r w:rsidRPr="000870B4">
        <w:t>Aprobar y publicar la convocatoria de las subvenciones que figuran en el Anexo I de esta resolución.</w:t>
      </w:r>
    </w:p>
    <w:p w14:paraId="2282D712" w14:textId="77777777" w:rsidR="00D241D1" w:rsidRPr="000870B4" w:rsidRDefault="00D241D1" w:rsidP="001574A5">
      <w:pPr>
        <w:pStyle w:val="Ttol2"/>
        <w:ind w:left="284" w:hanging="284"/>
      </w:pPr>
      <w:r w:rsidRPr="000870B4">
        <w:t>Plazo y forma de presentación de solicitudes</w:t>
      </w:r>
    </w:p>
    <w:p w14:paraId="55B7ABAC" w14:textId="1BE48797" w:rsidR="00D241D1" w:rsidRPr="000870B4" w:rsidRDefault="00D241D1" w:rsidP="00E10897">
      <w:pPr>
        <w:pStyle w:val="Textindependent"/>
        <w:spacing w:line="252" w:lineRule="exact"/>
      </w:pPr>
      <w:r w:rsidRPr="000870B4">
        <w:t xml:space="preserve">El plazo de presentación de solicitudes se inicia el día </w:t>
      </w:r>
      <w:r w:rsidR="001F4AB7">
        <w:t>6</w:t>
      </w:r>
      <w:r w:rsidRPr="000870B4">
        <w:t xml:space="preserve"> de julio de 2026 y finaliza el día 17 de julio de 2026.</w:t>
      </w:r>
    </w:p>
    <w:p w14:paraId="11499641" w14:textId="392308EA" w:rsidR="00D241D1" w:rsidRPr="000870B4" w:rsidRDefault="00D241D1" w:rsidP="001574A5">
      <w:pPr>
        <w:pStyle w:val="Textindependent"/>
        <w:spacing w:line="252" w:lineRule="exact"/>
      </w:pPr>
      <w:r w:rsidRPr="000870B4">
        <w:t xml:space="preserve">Las solicitudes de subvención deben presentarse de forma telemática y deben formalizarse según los modelos que figuran en la extranet de las administraciones catalanas ( </w:t>
      </w:r>
      <w:hyperlink r:id="rId11" w:history="1">
        <w:r w:rsidR="008E45BE" w:rsidRPr="000870B4">
          <w:rPr>
            <w:rStyle w:val="Enlla"/>
            <w:color w:val="auto"/>
          </w:rPr>
          <w:t xml:space="preserve">EACAT </w:t>
        </w:r>
      </w:hyperlink>
      <w:r w:rsidR="008E45BE" w:rsidRPr="000870B4">
        <w:t>).</w:t>
      </w:r>
    </w:p>
    <w:p w14:paraId="74317F75" w14:textId="77777777" w:rsidR="00D241D1" w:rsidRPr="000870B4" w:rsidRDefault="00D241D1" w:rsidP="001574A5">
      <w:pPr>
        <w:pStyle w:val="Ttol2"/>
        <w:ind w:left="284" w:hanging="284"/>
      </w:pPr>
      <w:r w:rsidRPr="000870B4">
        <w:t>Reintegro</w:t>
      </w:r>
    </w:p>
    <w:p w14:paraId="02A4E0CD" w14:textId="336E7191" w:rsidR="00D241D1" w:rsidRPr="000870B4" w:rsidRDefault="00D241D1" w:rsidP="004A43E7">
      <w:pPr>
        <w:pStyle w:val="Textindependent"/>
      </w:pPr>
      <w:r w:rsidRPr="000870B4">
        <w:t>En el supuesto de que la entidad beneficiaria de la subvención quiera devolver voluntariamente las cantidades percibidas sin requerimiento previo de la administración debe solicitar la renuncia de la subvención al órgano competente, que emitirá y notificará la resolución correspondiente así como la carta de pago con la cuantía que deberá reintegrar.</w:t>
      </w:r>
    </w:p>
    <w:p w14:paraId="1F9330F1" w14:textId="5FFBBBE1" w:rsidR="00D241D1" w:rsidRPr="000870B4" w:rsidRDefault="00D241D1" w:rsidP="004A43E7">
      <w:pPr>
        <w:pStyle w:val="Textindependent"/>
        <w:spacing w:line="252" w:lineRule="exact"/>
      </w:pPr>
      <w:r w:rsidRPr="000870B4">
        <w:t>Los intereses de demora se calculan desde la fecha en que se efectuó el pago hasta el momento en que se produjo la devolución efectiva por parte de la entidad beneficiaria. En los casos en que el reintegro se efectúe a instancia del órgano competente se notificará la cuantía a reintegrar en la correspondiente carta de pago.</w:t>
      </w:r>
    </w:p>
    <w:p w14:paraId="02EF9744" w14:textId="77777777" w:rsidR="00D241D1" w:rsidRPr="000870B4" w:rsidRDefault="00D241D1" w:rsidP="001574A5">
      <w:pPr>
        <w:pStyle w:val="Ttol2"/>
        <w:ind w:left="284" w:hanging="284"/>
      </w:pPr>
      <w:r w:rsidRPr="000870B4">
        <w:t>Tratamiento de</w:t>
      </w:r>
      <w:r w:rsidRPr="000870B4">
        <w:rPr>
          <w:spacing w:val="-3"/>
        </w:rPr>
        <w:t xml:space="preserve"> </w:t>
      </w:r>
      <w:r w:rsidRPr="000870B4">
        <w:t>datos</w:t>
      </w:r>
    </w:p>
    <w:p w14:paraId="328D111C" w14:textId="5E5BAE24" w:rsidR="00D241D1" w:rsidRPr="00EE396E" w:rsidRDefault="00D241D1" w:rsidP="004B1833">
      <w:pPr>
        <w:pStyle w:val="Textindependent"/>
        <w:rPr>
          <w:lang w:val="ca-ES"/>
        </w:rPr>
      </w:pPr>
      <w:bookmarkStart w:id="0" w:name="_Hlk230091775"/>
      <w:r w:rsidRPr="000870B4">
        <w:t>Tal y como establecen las bases reguladoras y de conformidad con la normativa vigente en materia de protección de datos, el órgano instructor debe tratar los datos de carácter personal incluidos en las solicitudes y la documentación aportada por cada entidad solicitante con la finalidad de tramitar y hacer el seguimiento de esta convocatoria de subvenciones, de acuerdo con los principios de licitud, lealtad, transparencia, seguridad</w:t>
      </w:r>
      <w:r w:rsidR="00EE396E">
        <w:t xml:space="preserve"> y </w:t>
      </w:r>
      <w:r w:rsidR="00EE396E" w:rsidRPr="00EE396E">
        <w:rPr>
          <w:lang w:val="ca-ES"/>
        </w:rPr>
        <w:t>confidencialidad</w:t>
      </w:r>
      <w:r w:rsidRPr="000870B4">
        <w:t>.</w:t>
      </w:r>
    </w:p>
    <w:bookmarkEnd w:id="0"/>
    <w:p w14:paraId="7BAF6CC5" w14:textId="77777777" w:rsidR="00D241D1" w:rsidRPr="000870B4" w:rsidRDefault="00D241D1" w:rsidP="001574A5">
      <w:pPr>
        <w:pStyle w:val="Ttol2"/>
        <w:ind w:left="284" w:hanging="284"/>
      </w:pPr>
      <w:r w:rsidRPr="000870B4">
        <w:lastRenderedPageBreak/>
        <w:t>Entrada en</w:t>
      </w:r>
      <w:r w:rsidRPr="000870B4">
        <w:rPr>
          <w:spacing w:val="-4"/>
        </w:rPr>
        <w:t xml:space="preserve"> </w:t>
      </w:r>
      <w:r w:rsidRPr="000870B4">
        <w:t>vigor</w:t>
      </w:r>
    </w:p>
    <w:p w14:paraId="03B323A6" w14:textId="0CEA6CC5" w:rsidR="00D241D1" w:rsidRPr="000870B4" w:rsidRDefault="005140D1" w:rsidP="004B1833">
      <w:pPr>
        <w:pStyle w:val="Textindependent"/>
        <w:spacing w:line="252" w:lineRule="exact"/>
      </w:pPr>
      <w:r>
        <w:t xml:space="preserve">Esta resolución producirá efectos a partir del día </w:t>
      </w:r>
      <w:r w:rsidR="001F4AB7">
        <w:t>6</w:t>
      </w:r>
      <w:r>
        <w:t xml:space="preserve"> de julio de 2026.</w:t>
      </w:r>
    </w:p>
    <w:p w14:paraId="65F7593F" w14:textId="126DBDD2" w:rsidR="00D241D1" w:rsidRDefault="00D241D1" w:rsidP="009B69AC">
      <w:pPr>
        <w:pStyle w:val="Textindependent"/>
        <w:spacing w:before="1"/>
      </w:pPr>
      <w:bookmarkStart w:id="1" w:name="_Hlk230091890"/>
      <w:r w:rsidRPr="000870B4">
        <w:t>Contra la presente resolución, que agota la vía administrativa, se puede interponer recurso potestativo de reposición ante el mismo órgano que lo ha dictado, en el plazo de un mes a partir de su publicación en el DOGC, de acuerdo con lo que disponen los artículos 123 y 124 de la Ley 39/2015, de 1 d</w:t>
      </w:r>
      <w:r w:rsidR="00EE396E">
        <w:t>e octubre</w:t>
      </w:r>
      <w:r w:rsidRPr="000870B4">
        <w:t xml:space="preserve"> </w:t>
      </w:r>
      <w:r w:rsidR="00EE396E">
        <w:t xml:space="preserve">(BOE </w:t>
      </w:r>
      <w:r w:rsidRPr="000870B4">
        <w:t>236, de 2.10.2015), y el artículo 77 de la Ley 26/2010, de 3 de agosto, de régimen jurídico y de procedimiento de las administraciones públicas de Cataluña (DOGC núm. 5686, de 5.8.2010) o bien pueden interponer directamente un recurso contencioso administrativo ante la Sala de lo Contencioso contar desde el día siguiente de su publicación, de conformidad con los artículos 10, 14, 25 y 46 de la Ley 29/1998, de 13 de julio, reguladora de la jurisdicción contencioso-administrativa.</w:t>
      </w:r>
    </w:p>
    <w:p w14:paraId="711E40F7" w14:textId="77777777" w:rsidR="004F0B85" w:rsidRDefault="004F0B85" w:rsidP="009B69AC">
      <w:pPr>
        <w:pStyle w:val="Textindependent"/>
        <w:spacing w:before="1"/>
      </w:pPr>
    </w:p>
    <w:p w14:paraId="7A7E9353" w14:textId="6C47CCFA" w:rsidR="004F0B85" w:rsidRDefault="004F0B85" w:rsidP="009B69AC">
      <w:pPr>
        <w:pStyle w:val="Textindependent"/>
        <w:spacing w:before="1"/>
      </w:pPr>
      <w:r>
        <w:t xml:space="preserve">Silvia Paneque </w:t>
      </w:r>
      <w:r w:rsidR="00B26E0E">
        <w:t>i</w:t>
      </w:r>
      <w:r>
        <w:t xml:space="preserve"> Sureda</w:t>
      </w:r>
    </w:p>
    <w:p w14:paraId="7800AA67" w14:textId="5F4CB47B" w:rsidR="009E6B47" w:rsidRPr="000870B4" w:rsidRDefault="009E6B47" w:rsidP="009B69AC">
      <w:pPr>
        <w:pStyle w:val="Textindependent"/>
        <w:spacing w:before="1"/>
      </w:pPr>
      <w:r>
        <w:t>Consejera</w:t>
      </w:r>
    </w:p>
    <w:bookmarkEnd w:id="1"/>
    <w:p w14:paraId="78AB11B3" w14:textId="77777777" w:rsidR="00D241D1" w:rsidRDefault="00D241D1" w:rsidP="00F36579">
      <w:pPr>
        <w:jc w:val="both"/>
      </w:pPr>
    </w:p>
    <w:p w14:paraId="376B9617" w14:textId="77777777" w:rsidR="004F0B85" w:rsidRPr="000870B4" w:rsidRDefault="004F0B85" w:rsidP="00F36579">
      <w:pPr>
        <w:jc w:val="both"/>
        <w:sectPr w:rsidR="004F0B85" w:rsidRPr="000870B4" w:rsidSect="00650A28">
          <w:pgSz w:w="11910" w:h="16840"/>
          <w:pgMar w:top="1985" w:right="1701" w:bottom="1985" w:left="1701" w:header="567" w:footer="1281" w:gutter="0"/>
          <w:cols w:space="708"/>
          <w:docGrid w:linePitch="299"/>
        </w:sectPr>
      </w:pPr>
    </w:p>
    <w:p w14:paraId="5EE2EF21" w14:textId="77777777" w:rsidR="002B0207" w:rsidRPr="000870B4" w:rsidRDefault="00D241D1" w:rsidP="001574A5">
      <w:pPr>
        <w:pStyle w:val="Ttol1"/>
        <w:numPr>
          <w:ilvl w:val="0"/>
          <w:numId w:val="0"/>
        </w:numPr>
      </w:pPr>
      <w:r w:rsidRPr="000870B4">
        <w:t>Anexo I</w:t>
      </w:r>
      <w:bookmarkStart w:id="2" w:name="_Hlk201680605"/>
    </w:p>
    <w:p w14:paraId="3FB09A58" w14:textId="7E72EF07" w:rsidR="00D241D1" w:rsidRPr="000870B4" w:rsidRDefault="00B62F2F" w:rsidP="001574A5">
      <w:pPr>
        <w:pStyle w:val="Textindependent"/>
        <w:spacing w:before="5"/>
      </w:pPr>
      <w:bookmarkStart w:id="3" w:name="_Hlk230092102"/>
      <w:r w:rsidRPr="000870B4">
        <w:t xml:space="preserve">Convocatoria anticipada de subvenciones para el mejoramiento urbano, ambiental y social de los barrios y villas de atención especial, financiadas por el Fondo de Recuperación Urbana, Ambiental y Social de Barrios y Villas de Atención Especial, para el año 2026 </w:t>
      </w:r>
      <w:bookmarkEnd w:id="2"/>
      <w:r w:rsidR="00D241D1" w:rsidRPr="000870B4">
        <w:t>(código BDNS XXXXXX)</w:t>
      </w:r>
    </w:p>
    <w:p w14:paraId="41C06B9C" w14:textId="5FEDD97C" w:rsidR="0015296D" w:rsidRPr="000870B4" w:rsidRDefault="0015296D" w:rsidP="001574A5">
      <w:pPr>
        <w:pStyle w:val="Textindependent"/>
        <w:spacing w:before="5"/>
      </w:pPr>
      <w:bookmarkStart w:id="4" w:name="_Hlk230092161"/>
      <w:bookmarkEnd w:id="3"/>
      <w:r w:rsidRPr="000870B4">
        <w:t xml:space="preserve">La Ley 11/2022, de 29 de diciembre, de mejora urbana, ambiental y social de los barrios y villas crea el Fondo de Recuperación Urbana, Ambiental y Social de Barrios y Villas de Atención Especial, con </w:t>
      </w:r>
      <w:r w:rsidR="00EE396E">
        <w:t>la finalidad</w:t>
      </w:r>
      <w:r w:rsidRPr="000870B4">
        <w:t xml:space="preserve"> de paliar las desigualdades sociales y fomentar la equidad territorial. El Fondo debe contribuir a evitar el riesgo de fractura social y hacer frente a la crisis ambiental mediante la mejora de las condiciones de vida en los barrios y villas que se consideren áreas de atención especial. El Decreto 163/2025, de 29 de julio, desarrolla las previsiones generales de la Ley 11/2022 y regula las bases para la concesión de las subvenciones que prevé el Fondo.</w:t>
      </w:r>
    </w:p>
    <w:p w14:paraId="751DF0CA" w14:textId="4B9CB320" w:rsidR="00D241D1" w:rsidRPr="000870B4" w:rsidRDefault="00D241D1" w:rsidP="001574A5">
      <w:pPr>
        <w:pStyle w:val="Textindependent"/>
        <w:spacing w:before="5"/>
      </w:pPr>
      <w:bookmarkStart w:id="5" w:name="_Hlk230092236"/>
      <w:bookmarkEnd w:id="4"/>
      <w:r w:rsidRPr="000870B4">
        <w:t>Esta convocatoria no necesita notificación o comunicación a la Comisión Europea, dado que no es de aplicación el artículo 107.1 del Tratado de funcionamiento de la Unión Europea puesto que no tiene todos los requisitos contenidos en éste, dado que las subvenciones previstas en esta convocatoria no suponen una ventaja económica, no falsean ni pueden falsear la competencia, ni los intercambios comerciales entre los estados miembros.</w:t>
      </w:r>
    </w:p>
    <w:bookmarkEnd w:id="5"/>
    <w:p w14:paraId="3769EA58" w14:textId="77777777" w:rsidR="00D241D1" w:rsidRPr="000870B4" w:rsidRDefault="00D241D1" w:rsidP="009359BC">
      <w:pPr>
        <w:pStyle w:val="Ttol2"/>
        <w:numPr>
          <w:ilvl w:val="0"/>
          <w:numId w:val="7"/>
        </w:numPr>
        <w:ind w:left="284" w:hanging="284"/>
      </w:pPr>
      <w:r w:rsidRPr="000870B4">
        <w:t>Apertura de la convocatoria, objeto y finalidad</w:t>
      </w:r>
    </w:p>
    <w:p w14:paraId="4181696D" w14:textId="091AB04B" w:rsidR="00714785" w:rsidRPr="000870B4" w:rsidRDefault="001574A5" w:rsidP="004B1833">
      <w:pPr>
        <w:pStyle w:val="Textindependent"/>
      </w:pPr>
      <w:r w:rsidRPr="000870B4">
        <w:t>1.1. Se abre la convocatoria para la concesión de las subvenciones del Fondo de Recuperación Urbana, Ambiental y Social de Barrios y Villas de Atención Especial, para el año 2026</w:t>
      </w:r>
    </w:p>
    <w:p w14:paraId="0A838B21" w14:textId="0BFA852B" w:rsidR="00D241D1" w:rsidRPr="000870B4" w:rsidRDefault="001574A5" w:rsidP="004B1833">
      <w:pPr>
        <w:pStyle w:val="Textindependent"/>
        <w:rPr>
          <w:i/>
          <w:sz w:val="20"/>
        </w:rPr>
      </w:pPr>
      <w:bookmarkStart w:id="6" w:name="_Hlk230092384"/>
      <w:r w:rsidRPr="000870B4">
        <w:t xml:space="preserve">1.2. El objeto de la subvención es financiar los programas memoria de intervención integral (PMII) presentados por los municipios </w:t>
      </w:r>
      <w:r w:rsidR="006D1B85" w:rsidRPr="000870B4">
        <w:rPr>
          <w:iCs/>
        </w:rPr>
        <w:t>y agrupaciones de municipios, a implementar en sus áreas de atención especial, a través del Fondo de Recuperación Urbana, Ambiental y Social de Barrios y Villas de Atención Especial, creado por la Ley 11/2022.</w:t>
      </w:r>
    </w:p>
    <w:p w14:paraId="254E1F7D" w14:textId="33BA1F6B" w:rsidR="00D241D1" w:rsidRPr="000870B4" w:rsidRDefault="00D241D1" w:rsidP="004B1833">
      <w:pPr>
        <w:pStyle w:val="Textindependent"/>
      </w:pPr>
      <w:bookmarkStart w:id="7" w:name="_Hlk230092422"/>
      <w:bookmarkEnd w:id="6"/>
      <w:r w:rsidRPr="000870B4">
        <w:t>La finalidad de la subvención es fomentar las políticas en el ámbito de la mejora urbana, ambiental y social de los barrios y las villas de atención especial, derivadas de la Ley 11/2022, ante la necesidad de luchar contra la segregación urbana, reducir las desigualdades sociales y paliar los efectos de la crisis climática sobre la población.</w:t>
      </w:r>
    </w:p>
    <w:bookmarkEnd w:id="7"/>
    <w:p w14:paraId="2A2823BF" w14:textId="77777777" w:rsidR="00D241D1" w:rsidRPr="006164A9" w:rsidRDefault="00D241D1" w:rsidP="009359BC">
      <w:pPr>
        <w:pStyle w:val="Ttol2"/>
        <w:numPr>
          <w:ilvl w:val="0"/>
          <w:numId w:val="7"/>
        </w:numPr>
        <w:ind w:left="284" w:hanging="284"/>
      </w:pPr>
      <w:r w:rsidRPr="006164A9">
        <w:t>Procedimiento de concesión de la</w:t>
      </w:r>
      <w:r w:rsidRPr="006164A9">
        <w:rPr>
          <w:spacing w:val="-5"/>
        </w:rPr>
        <w:t xml:space="preserve"> </w:t>
      </w:r>
      <w:r w:rsidRPr="006164A9">
        <w:t>subvención</w:t>
      </w:r>
    </w:p>
    <w:p w14:paraId="637E9569" w14:textId="6DFEB049" w:rsidR="00D241D1" w:rsidRPr="000870B4" w:rsidRDefault="00D241D1" w:rsidP="001574A5">
      <w:pPr>
        <w:pStyle w:val="Textindependent"/>
      </w:pPr>
      <w:r w:rsidRPr="000870B4">
        <w:t>La concesión de la subvención se efectúa en régimen de concurrencia competitiva y de acuerdo con lo que establece el artículo 20 del Decreto 163/2025, de 29 de julio.</w:t>
      </w:r>
    </w:p>
    <w:p w14:paraId="26D956B0" w14:textId="77777777" w:rsidR="00D241D1" w:rsidRPr="000870B4" w:rsidRDefault="00D241D1" w:rsidP="009359BC">
      <w:pPr>
        <w:pStyle w:val="Ttol2"/>
        <w:numPr>
          <w:ilvl w:val="0"/>
          <w:numId w:val="7"/>
        </w:numPr>
        <w:ind w:left="284" w:hanging="284"/>
      </w:pPr>
      <w:r w:rsidRPr="000870B4">
        <w:t>Órganos competentes para la instrucción y resolución del</w:t>
      </w:r>
      <w:r w:rsidRPr="000870B4">
        <w:rPr>
          <w:spacing w:val="-19"/>
        </w:rPr>
        <w:t xml:space="preserve"> </w:t>
      </w:r>
      <w:r w:rsidRPr="000870B4">
        <w:t>procedimiento</w:t>
      </w:r>
    </w:p>
    <w:p w14:paraId="67D2582E" w14:textId="3A6D0376" w:rsidR="00D241D1" w:rsidRPr="000870B4" w:rsidRDefault="001574A5" w:rsidP="004B1833">
      <w:pPr>
        <w:pStyle w:val="Textindependent"/>
        <w:rPr>
          <w:i/>
        </w:rPr>
      </w:pPr>
      <w:r w:rsidRPr="000870B4">
        <w:t>3.1. El órgano instructor del procedimiento es el Comisionado para el Impulso de las Políticas de Mejora Urbana, Ambiental y Social de los Barrios y Villas.</w:t>
      </w:r>
    </w:p>
    <w:p w14:paraId="521C7802" w14:textId="334795AD" w:rsidR="001D6FE4" w:rsidRPr="000870B4" w:rsidRDefault="001574A5" w:rsidP="002F55BD">
      <w:pPr>
        <w:pStyle w:val="Textindependent"/>
        <w:rPr>
          <w:iCs/>
        </w:rPr>
      </w:pPr>
      <w:r w:rsidRPr="000870B4">
        <w:t xml:space="preserve">3.2. El órgano competente para dictar la resolución de concesión de la subvención es </w:t>
      </w:r>
      <w:r w:rsidR="000834E2" w:rsidRPr="000870B4">
        <w:rPr>
          <w:iCs/>
        </w:rPr>
        <w:t xml:space="preserve">el titular del departamento competente en materia de actuaciones de fomento del programa de </w:t>
      </w:r>
      <w:r w:rsidR="002F55BD" w:rsidRPr="002F55BD">
        <w:rPr>
          <w:iCs/>
        </w:rPr>
        <w:t xml:space="preserve">barrios y </w:t>
      </w:r>
      <w:r w:rsidR="002F55BD">
        <w:rPr>
          <w:iCs/>
        </w:rPr>
        <w:t>áreas urbanas de atención especial.</w:t>
      </w:r>
    </w:p>
    <w:p w14:paraId="07DD55B0" w14:textId="77777777" w:rsidR="00D241D1" w:rsidRPr="000870B4" w:rsidRDefault="00D241D1" w:rsidP="009359BC">
      <w:pPr>
        <w:pStyle w:val="Ttol2"/>
        <w:numPr>
          <w:ilvl w:val="0"/>
          <w:numId w:val="7"/>
        </w:numPr>
        <w:ind w:left="284" w:hanging="284"/>
      </w:pPr>
      <w:r w:rsidRPr="000870B4">
        <w:t>Requisitos para obtener la condición de persona</w:t>
      </w:r>
      <w:r w:rsidRPr="000870B4">
        <w:rPr>
          <w:spacing w:val="-12"/>
        </w:rPr>
        <w:t xml:space="preserve"> </w:t>
      </w:r>
      <w:r w:rsidRPr="000870B4">
        <w:t>beneficiaria</w:t>
      </w:r>
    </w:p>
    <w:p w14:paraId="730D0031" w14:textId="505C2526" w:rsidR="002C3029" w:rsidRPr="000870B4" w:rsidRDefault="00EE024A" w:rsidP="004B1833">
      <w:pPr>
        <w:pStyle w:val="Textindependent"/>
      </w:pPr>
      <w:r w:rsidRPr="000870B4">
        <w:t>La entidad solicitante debe estar en posesión de los requisitos para obtener la condición de persona beneficiaria de acuerdo con lo que establecen las bases reguladoras en el artículo 5.1 del Decreto 163/2025, de 29 de julio.</w:t>
      </w:r>
    </w:p>
    <w:p w14:paraId="62FD9EE5" w14:textId="77777777" w:rsidR="00D241D1" w:rsidRPr="000870B4" w:rsidRDefault="00D241D1" w:rsidP="009359BC">
      <w:pPr>
        <w:pStyle w:val="Ttol2"/>
        <w:numPr>
          <w:ilvl w:val="0"/>
          <w:numId w:val="7"/>
        </w:numPr>
        <w:ind w:left="284" w:hanging="284"/>
      </w:pPr>
      <w:r w:rsidRPr="000870B4">
        <w:t>Cuantía total máxima de la</w:t>
      </w:r>
      <w:r w:rsidRPr="000870B4">
        <w:rPr>
          <w:spacing w:val="-6"/>
        </w:rPr>
        <w:t xml:space="preserve"> </w:t>
      </w:r>
      <w:r w:rsidRPr="000870B4">
        <w:t>convocatoria</w:t>
      </w:r>
    </w:p>
    <w:p w14:paraId="054FC57E" w14:textId="22E1F1F1" w:rsidR="00D241D1" w:rsidRDefault="009359BC" w:rsidP="004B1833">
      <w:pPr>
        <w:pStyle w:val="Textindependent"/>
      </w:pPr>
      <w:r w:rsidRPr="000870B4">
        <w:t xml:space="preserve">5.1. La </w:t>
      </w:r>
      <w:r w:rsidR="00D241D1" w:rsidRPr="000870B4">
        <w:rPr>
          <w:iCs/>
        </w:rPr>
        <w:t xml:space="preserve">cuantía </w:t>
      </w:r>
      <w:r w:rsidR="00D241D1" w:rsidRPr="000870B4">
        <w:t xml:space="preserve">máxima prevista por esta convocatoria es de </w:t>
      </w:r>
      <w:r w:rsidR="00C2746F" w:rsidRPr="000870B4">
        <w:rPr>
          <w:iCs/>
        </w:rPr>
        <w:t>200.000.000,00</w:t>
      </w:r>
      <w:r w:rsidR="00C2746F" w:rsidRPr="000870B4">
        <w:rPr>
          <w:i/>
        </w:rPr>
        <w:t xml:space="preserve"> </w:t>
      </w:r>
      <w:r w:rsidR="00C2746F" w:rsidRPr="000870B4">
        <w:rPr>
          <w:iCs/>
        </w:rPr>
        <w:t>€</w:t>
      </w:r>
      <w:r w:rsidR="00C2746F" w:rsidRPr="000870B4">
        <w:rPr>
          <w:i/>
        </w:rPr>
        <w:t xml:space="preserve"> </w:t>
      </w:r>
      <w:r w:rsidR="00D241D1" w:rsidRPr="000870B4">
        <w:t>y está consignada de acuerdo con el detalle de los fondos de financiación, partidas presupuestarias y anualidades según el Acuerdo de Gobierno de fecha 19 de mayo de 2026 de aprobación del gasto plurianual, siguiente:</w:t>
      </w:r>
    </w:p>
    <w:tbl>
      <w:tblPr>
        <w:tblStyle w:val="TableNormal"/>
        <w:tblW w:w="8432" w:type="dxa"/>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77"/>
        <w:gridCol w:w="2543"/>
        <w:gridCol w:w="1070"/>
        <w:gridCol w:w="1842"/>
      </w:tblGrid>
      <w:tr w:rsidR="002B7758" w14:paraId="4BA89387" w14:textId="77777777" w:rsidTr="00914E66">
        <w:trPr>
          <w:trHeight w:val="505"/>
        </w:trPr>
        <w:tc>
          <w:tcPr>
            <w:tcW w:w="2977" w:type="dxa"/>
            <w:tcBorders>
              <w:bottom w:val="single" w:sz="4" w:space="0" w:color="000000"/>
              <w:right w:val="single" w:sz="4" w:space="0" w:color="000000"/>
            </w:tcBorders>
            <w:vAlign w:val="center"/>
          </w:tcPr>
          <w:p w14:paraId="4D8ABEA1" w14:textId="77777777" w:rsidR="002B7758" w:rsidRDefault="002B7758" w:rsidP="00914E66">
            <w:pPr>
              <w:pStyle w:val="TableParagraph"/>
              <w:spacing w:before="18"/>
              <w:ind w:left="59"/>
            </w:pPr>
            <w:bookmarkStart w:id="8" w:name="_Hlk230098002"/>
            <w:r>
              <w:t>Fondo de financiación</w:t>
            </w:r>
          </w:p>
        </w:tc>
        <w:tc>
          <w:tcPr>
            <w:tcW w:w="2543" w:type="dxa"/>
            <w:tcBorders>
              <w:left w:val="single" w:sz="4" w:space="0" w:color="000000"/>
              <w:bottom w:val="single" w:sz="4" w:space="0" w:color="000000"/>
              <w:right w:val="single" w:sz="4" w:space="0" w:color="000000"/>
            </w:tcBorders>
            <w:vAlign w:val="center"/>
          </w:tcPr>
          <w:p w14:paraId="5EC002A6" w14:textId="059B546A" w:rsidR="002B7758" w:rsidRPr="00CA5129" w:rsidRDefault="002B7758" w:rsidP="00914E66">
            <w:pPr>
              <w:pStyle w:val="TableParagraph"/>
              <w:spacing w:before="18"/>
              <w:ind w:left="59"/>
              <w:rPr>
                <w:iCs/>
              </w:rPr>
            </w:pPr>
            <w:r w:rsidRPr="00CA5129">
              <w:rPr>
                <w:iCs/>
              </w:rPr>
              <w:t>Partida presupuestaria</w:t>
            </w:r>
          </w:p>
        </w:tc>
        <w:tc>
          <w:tcPr>
            <w:tcW w:w="1070" w:type="dxa"/>
            <w:tcBorders>
              <w:left w:val="single" w:sz="4" w:space="0" w:color="000000"/>
              <w:bottom w:val="single" w:sz="4" w:space="0" w:color="000000"/>
              <w:right w:val="single" w:sz="4" w:space="0" w:color="000000"/>
            </w:tcBorders>
            <w:vAlign w:val="center"/>
          </w:tcPr>
          <w:p w14:paraId="0732842F" w14:textId="77777777" w:rsidR="002B7758" w:rsidRPr="00CA5129" w:rsidRDefault="002B7758" w:rsidP="00914E66">
            <w:pPr>
              <w:pStyle w:val="TableParagraph"/>
              <w:spacing w:before="18"/>
              <w:ind w:left="59"/>
              <w:rPr>
                <w:iCs/>
              </w:rPr>
            </w:pPr>
            <w:r w:rsidRPr="00CA5129">
              <w:rPr>
                <w:iCs/>
              </w:rPr>
              <w:t>Año</w:t>
            </w:r>
          </w:p>
        </w:tc>
        <w:tc>
          <w:tcPr>
            <w:tcW w:w="1842" w:type="dxa"/>
            <w:tcBorders>
              <w:left w:val="single" w:sz="4" w:space="0" w:color="000000"/>
              <w:bottom w:val="single" w:sz="4" w:space="0" w:color="000000"/>
            </w:tcBorders>
            <w:vAlign w:val="center"/>
          </w:tcPr>
          <w:p w14:paraId="3805A570" w14:textId="77777777" w:rsidR="002B7758" w:rsidRPr="00CA5129" w:rsidRDefault="002B7758" w:rsidP="00914E66">
            <w:pPr>
              <w:pStyle w:val="TableParagraph"/>
              <w:spacing w:before="18"/>
              <w:ind w:left="59"/>
              <w:rPr>
                <w:iCs/>
              </w:rPr>
            </w:pPr>
            <w:r w:rsidRPr="00CA5129">
              <w:rPr>
                <w:iCs/>
              </w:rPr>
              <w:t>Importe</w:t>
            </w:r>
          </w:p>
        </w:tc>
      </w:tr>
      <w:tr w:rsidR="001D75A6" w14:paraId="7EA5254E" w14:textId="77777777" w:rsidTr="00914E66">
        <w:trPr>
          <w:trHeight w:val="302"/>
        </w:trPr>
        <w:tc>
          <w:tcPr>
            <w:tcW w:w="2977" w:type="dxa"/>
            <w:tcBorders>
              <w:top w:val="single" w:sz="4" w:space="0" w:color="000000"/>
              <w:bottom w:val="single" w:sz="4" w:space="0" w:color="000000"/>
              <w:right w:val="single" w:sz="4" w:space="0" w:color="000000"/>
            </w:tcBorders>
          </w:tcPr>
          <w:p w14:paraId="262C3BE7" w14:textId="7B9BDABE" w:rsidR="001D75A6" w:rsidRPr="003615B4" w:rsidRDefault="003444D8" w:rsidP="001D75A6">
            <w:pPr>
              <w:pStyle w:val="TableParagraph"/>
              <w:ind w:left="126"/>
              <w:jc w:val="both"/>
              <w:rPr>
                <w:iCs/>
              </w:rPr>
            </w:pPr>
            <w:r w:rsidRPr="003615B4">
              <w:rPr>
                <w:iCs/>
                <w:sz w:val="16"/>
                <w:szCs w:val="16"/>
              </w:rPr>
              <w:t xml:space="preserve">Presupuesto de la Generalidad de Cataluña </w:t>
            </w:r>
            <w:r w:rsidRPr="003615B4">
              <w:rPr>
                <w:iCs/>
              </w:rPr>
              <w:t>(PGC)</w:t>
            </w:r>
          </w:p>
        </w:tc>
        <w:tc>
          <w:tcPr>
            <w:tcW w:w="2543" w:type="dxa"/>
            <w:tcBorders>
              <w:top w:val="single" w:sz="4" w:space="0" w:color="000000"/>
              <w:left w:val="single" w:sz="4" w:space="0" w:color="000000"/>
              <w:bottom w:val="single" w:sz="4" w:space="0" w:color="000000"/>
              <w:right w:val="single" w:sz="4" w:space="0" w:color="000000"/>
            </w:tcBorders>
          </w:tcPr>
          <w:p w14:paraId="0A02D35B" w14:textId="35248D34" w:rsidR="001D75A6" w:rsidRPr="003615B4" w:rsidRDefault="001D75A6" w:rsidP="001D75A6">
            <w:pPr>
              <w:pStyle w:val="TableParagraph"/>
              <w:ind w:left="59"/>
              <w:jc w:val="both"/>
              <w:rPr>
                <w:iCs/>
              </w:rPr>
            </w:pPr>
            <w:r w:rsidRPr="003615B4">
              <w:rPr>
                <w:iCs/>
              </w:rPr>
              <w:t>D/760000100/4320/0000</w:t>
            </w:r>
          </w:p>
        </w:tc>
        <w:tc>
          <w:tcPr>
            <w:tcW w:w="1070" w:type="dxa"/>
            <w:tcBorders>
              <w:top w:val="single" w:sz="4" w:space="0" w:color="000000"/>
              <w:left w:val="single" w:sz="4" w:space="0" w:color="000000"/>
              <w:bottom w:val="single" w:sz="4" w:space="0" w:color="000000"/>
              <w:right w:val="single" w:sz="4" w:space="0" w:color="000000"/>
            </w:tcBorders>
          </w:tcPr>
          <w:p w14:paraId="29730AA6" w14:textId="5649C72D" w:rsidR="001D75A6" w:rsidRPr="003615B4" w:rsidRDefault="001D75A6" w:rsidP="001D75A6">
            <w:pPr>
              <w:pStyle w:val="TableParagraph"/>
              <w:spacing w:before="18"/>
              <w:ind w:left="59"/>
              <w:jc w:val="both"/>
              <w:rPr>
                <w:iCs/>
              </w:rPr>
            </w:pPr>
            <w:r w:rsidRPr="003615B4">
              <w:rPr>
                <w:iCs/>
              </w:rPr>
              <w:t>2027</w:t>
            </w:r>
          </w:p>
        </w:tc>
        <w:tc>
          <w:tcPr>
            <w:tcW w:w="1842" w:type="dxa"/>
            <w:tcBorders>
              <w:top w:val="single" w:sz="4" w:space="0" w:color="000000"/>
              <w:left w:val="single" w:sz="4" w:space="0" w:color="000000"/>
              <w:bottom w:val="single" w:sz="4" w:space="0" w:color="000000"/>
            </w:tcBorders>
          </w:tcPr>
          <w:p w14:paraId="3D6C4BCF" w14:textId="676AE788" w:rsidR="001D75A6" w:rsidRPr="003615B4" w:rsidRDefault="001D75A6" w:rsidP="001D75A6">
            <w:pPr>
              <w:pStyle w:val="TableParagraph"/>
              <w:spacing w:before="18"/>
              <w:ind w:left="59"/>
              <w:jc w:val="both"/>
              <w:rPr>
                <w:iCs/>
              </w:rPr>
            </w:pPr>
            <w:r w:rsidRPr="003615B4">
              <w:rPr>
                <w:iCs/>
              </w:rPr>
              <w:t>15.000.000,00 €</w:t>
            </w:r>
          </w:p>
        </w:tc>
      </w:tr>
      <w:tr w:rsidR="001D75A6" w14:paraId="4A5F351D" w14:textId="77777777" w:rsidTr="00914E66">
        <w:trPr>
          <w:trHeight w:val="302"/>
        </w:trPr>
        <w:tc>
          <w:tcPr>
            <w:tcW w:w="2977" w:type="dxa"/>
            <w:tcBorders>
              <w:top w:val="single" w:sz="4" w:space="0" w:color="000000"/>
              <w:bottom w:val="single" w:sz="4" w:space="0" w:color="000000"/>
              <w:right w:val="single" w:sz="4" w:space="0" w:color="000000"/>
            </w:tcBorders>
          </w:tcPr>
          <w:p w14:paraId="404D004D" w14:textId="77777777" w:rsidR="001D75A6" w:rsidRPr="003615B4" w:rsidRDefault="001D75A6" w:rsidP="001D75A6">
            <w:pPr>
              <w:pStyle w:val="TableParagraph"/>
              <w:ind w:left="126"/>
              <w:jc w:val="both"/>
              <w:rPr>
                <w:iCs/>
              </w:rPr>
            </w:pPr>
            <w:r w:rsidRPr="003615B4">
              <w:rPr>
                <w:iCs/>
              </w:rPr>
              <w:t>PGC</w:t>
            </w:r>
          </w:p>
        </w:tc>
        <w:tc>
          <w:tcPr>
            <w:tcW w:w="2543" w:type="dxa"/>
            <w:tcBorders>
              <w:top w:val="single" w:sz="4" w:space="0" w:color="000000"/>
              <w:left w:val="single" w:sz="4" w:space="0" w:color="000000"/>
              <w:bottom w:val="single" w:sz="4" w:space="0" w:color="000000"/>
              <w:right w:val="single" w:sz="4" w:space="0" w:color="000000"/>
            </w:tcBorders>
          </w:tcPr>
          <w:p w14:paraId="65115A5E" w14:textId="77777777" w:rsidR="001D75A6" w:rsidRPr="003615B4" w:rsidRDefault="001D75A6" w:rsidP="001D75A6">
            <w:pPr>
              <w:pStyle w:val="TableParagraph"/>
              <w:ind w:left="59"/>
              <w:jc w:val="both"/>
              <w:rPr>
                <w:i/>
              </w:rPr>
            </w:pPr>
            <w:r w:rsidRPr="003615B4">
              <w:rPr>
                <w:iCs/>
              </w:rPr>
              <w:t>D/760000100/4320/0000</w:t>
            </w:r>
          </w:p>
        </w:tc>
        <w:tc>
          <w:tcPr>
            <w:tcW w:w="1070" w:type="dxa"/>
            <w:tcBorders>
              <w:top w:val="single" w:sz="4" w:space="0" w:color="000000"/>
              <w:left w:val="single" w:sz="4" w:space="0" w:color="000000"/>
              <w:bottom w:val="single" w:sz="4" w:space="0" w:color="000000"/>
              <w:right w:val="single" w:sz="4" w:space="0" w:color="000000"/>
            </w:tcBorders>
          </w:tcPr>
          <w:p w14:paraId="65C4C487" w14:textId="5EBB99CA" w:rsidR="001D75A6" w:rsidRPr="003615B4" w:rsidRDefault="001D75A6" w:rsidP="001D75A6">
            <w:pPr>
              <w:pStyle w:val="TableParagraph"/>
              <w:spacing w:before="18"/>
              <w:ind w:left="59"/>
              <w:jc w:val="both"/>
              <w:rPr>
                <w:iCs/>
              </w:rPr>
            </w:pPr>
            <w:r w:rsidRPr="003615B4">
              <w:rPr>
                <w:iCs/>
              </w:rPr>
              <w:t>2028</w:t>
            </w:r>
          </w:p>
        </w:tc>
        <w:tc>
          <w:tcPr>
            <w:tcW w:w="1842" w:type="dxa"/>
            <w:tcBorders>
              <w:top w:val="single" w:sz="4" w:space="0" w:color="000000"/>
              <w:left w:val="single" w:sz="4" w:space="0" w:color="000000"/>
              <w:bottom w:val="single" w:sz="4" w:space="0" w:color="000000"/>
            </w:tcBorders>
          </w:tcPr>
          <w:p w14:paraId="48B45CF6" w14:textId="77777777" w:rsidR="001D75A6" w:rsidRPr="003615B4" w:rsidRDefault="001D75A6" w:rsidP="001D75A6">
            <w:pPr>
              <w:pStyle w:val="TableParagraph"/>
              <w:spacing w:before="18"/>
              <w:ind w:left="59"/>
              <w:jc w:val="both"/>
              <w:rPr>
                <w:iCs/>
              </w:rPr>
            </w:pPr>
            <w:r w:rsidRPr="003615B4">
              <w:rPr>
                <w:iCs/>
              </w:rPr>
              <w:t>30.000.000,00 €</w:t>
            </w:r>
          </w:p>
        </w:tc>
      </w:tr>
      <w:tr w:rsidR="001D75A6" w14:paraId="0FC8EFB7" w14:textId="77777777" w:rsidTr="00914E66">
        <w:trPr>
          <w:trHeight w:val="300"/>
        </w:trPr>
        <w:tc>
          <w:tcPr>
            <w:tcW w:w="2977" w:type="dxa"/>
            <w:tcBorders>
              <w:top w:val="single" w:sz="4" w:space="0" w:color="000000"/>
              <w:bottom w:val="single" w:sz="4" w:space="0" w:color="000000"/>
              <w:right w:val="single" w:sz="4" w:space="0" w:color="000000"/>
            </w:tcBorders>
          </w:tcPr>
          <w:p w14:paraId="41857B04" w14:textId="77777777" w:rsidR="001D75A6" w:rsidRPr="003615B4" w:rsidRDefault="001D75A6" w:rsidP="001D75A6">
            <w:pPr>
              <w:pStyle w:val="TableParagraph"/>
              <w:ind w:left="126"/>
              <w:jc w:val="both"/>
              <w:rPr>
                <w:iCs/>
              </w:rPr>
            </w:pPr>
            <w:r w:rsidRPr="003615B4">
              <w:rPr>
                <w:iCs/>
              </w:rPr>
              <w:t>PGC</w:t>
            </w:r>
          </w:p>
        </w:tc>
        <w:tc>
          <w:tcPr>
            <w:tcW w:w="2543" w:type="dxa"/>
            <w:tcBorders>
              <w:top w:val="single" w:sz="4" w:space="0" w:color="000000"/>
              <w:left w:val="single" w:sz="4" w:space="0" w:color="000000"/>
              <w:bottom w:val="single" w:sz="4" w:space="0" w:color="000000"/>
              <w:right w:val="single" w:sz="4" w:space="0" w:color="000000"/>
            </w:tcBorders>
          </w:tcPr>
          <w:p w14:paraId="38CD2E5B" w14:textId="77777777" w:rsidR="001D75A6" w:rsidRPr="003615B4" w:rsidRDefault="001D75A6" w:rsidP="001D75A6">
            <w:pPr>
              <w:pStyle w:val="TableParagraph"/>
              <w:ind w:left="59"/>
              <w:jc w:val="both"/>
              <w:rPr>
                <w:i/>
              </w:rPr>
            </w:pPr>
            <w:r w:rsidRPr="003615B4">
              <w:rPr>
                <w:iCs/>
              </w:rPr>
              <w:t>D/760000100/4320/0000</w:t>
            </w:r>
          </w:p>
        </w:tc>
        <w:tc>
          <w:tcPr>
            <w:tcW w:w="1070" w:type="dxa"/>
            <w:tcBorders>
              <w:top w:val="single" w:sz="4" w:space="0" w:color="000000"/>
              <w:left w:val="single" w:sz="4" w:space="0" w:color="000000"/>
              <w:bottom w:val="single" w:sz="4" w:space="0" w:color="000000"/>
              <w:right w:val="single" w:sz="4" w:space="0" w:color="000000"/>
            </w:tcBorders>
          </w:tcPr>
          <w:p w14:paraId="32783419" w14:textId="69156648" w:rsidR="001D75A6" w:rsidRPr="003615B4" w:rsidRDefault="001D75A6" w:rsidP="001D75A6">
            <w:pPr>
              <w:pStyle w:val="TableParagraph"/>
              <w:spacing w:before="18"/>
              <w:ind w:left="59"/>
              <w:jc w:val="both"/>
              <w:rPr>
                <w:iCs/>
              </w:rPr>
            </w:pPr>
            <w:r w:rsidRPr="003615B4">
              <w:rPr>
                <w:iCs/>
              </w:rPr>
              <w:t>2029</w:t>
            </w:r>
          </w:p>
        </w:tc>
        <w:tc>
          <w:tcPr>
            <w:tcW w:w="1842" w:type="dxa"/>
            <w:tcBorders>
              <w:top w:val="single" w:sz="4" w:space="0" w:color="000000"/>
              <w:left w:val="single" w:sz="4" w:space="0" w:color="000000"/>
              <w:bottom w:val="single" w:sz="4" w:space="0" w:color="000000"/>
            </w:tcBorders>
          </w:tcPr>
          <w:p w14:paraId="48737128" w14:textId="77777777" w:rsidR="001D75A6" w:rsidRPr="003615B4" w:rsidRDefault="001D75A6" w:rsidP="001D75A6">
            <w:pPr>
              <w:pStyle w:val="TableParagraph"/>
              <w:spacing w:before="18"/>
              <w:ind w:left="59"/>
              <w:jc w:val="both"/>
              <w:rPr>
                <w:iCs/>
              </w:rPr>
            </w:pPr>
            <w:r w:rsidRPr="003615B4">
              <w:rPr>
                <w:iCs/>
              </w:rPr>
              <w:t>40.000.000,00 €</w:t>
            </w:r>
          </w:p>
        </w:tc>
      </w:tr>
      <w:tr w:rsidR="001D75A6" w14:paraId="0F81E2CA" w14:textId="77777777" w:rsidTr="00914E66">
        <w:trPr>
          <w:trHeight w:val="300"/>
        </w:trPr>
        <w:tc>
          <w:tcPr>
            <w:tcW w:w="2977" w:type="dxa"/>
            <w:tcBorders>
              <w:top w:val="single" w:sz="4" w:space="0" w:color="000000"/>
              <w:bottom w:val="single" w:sz="4" w:space="0" w:color="000000"/>
              <w:right w:val="single" w:sz="4" w:space="0" w:color="000000"/>
            </w:tcBorders>
          </w:tcPr>
          <w:p w14:paraId="2AA0ED57" w14:textId="77777777" w:rsidR="001D75A6" w:rsidRPr="003615B4" w:rsidRDefault="001D75A6" w:rsidP="001D75A6">
            <w:pPr>
              <w:pStyle w:val="TableParagraph"/>
              <w:ind w:left="126"/>
              <w:jc w:val="both"/>
              <w:rPr>
                <w:iCs/>
              </w:rPr>
            </w:pPr>
            <w:r w:rsidRPr="003615B4">
              <w:rPr>
                <w:iCs/>
              </w:rPr>
              <w:t>PGC</w:t>
            </w:r>
          </w:p>
        </w:tc>
        <w:tc>
          <w:tcPr>
            <w:tcW w:w="2543" w:type="dxa"/>
            <w:tcBorders>
              <w:top w:val="single" w:sz="4" w:space="0" w:color="000000"/>
              <w:left w:val="single" w:sz="4" w:space="0" w:color="000000"/>
              <w:bottom w:val="single" w:sz="4" w:space="0" w:color="000000"/>
              <w:right w:val="single" w:sz="4" w:space="0" w:color="000000"/>
            </w:tcBorders>
          </w:tcPr>
          <w:p w14:paraId="7ABDDC5F" w14:textId="77777777" w:rsidR="001D75A6" w:rsidRPr="003615B4" w:rsidRDefault="001D75A6" w:rsidP="001D75A6">
            <w:pPr>
              <w:pStyle w:val="TableParagraph"/>
              <w:ind w:left="59"/>
              <w:jc w:val="both"/>
              <w:rPr>
                <w:i/>
              </w:rPr>
            </w:pPr>
            <w:r w:rsidRPr="003615B4">
              <w:rPr>
                <w:iCs/>
              </w:rPr>
              <w:t>D/760000100/4320/0000</w:t>
            </w:r>
          </w:p>
        </w:tc>
        <w:tc>
          <w:tcPr>
            <w:tcW w:w="1070" w:type="dxa"/>
            <w:tcBorders>
              <w:top w:val="single" w:sz="4" w:space="0" w:color="000000"/>
              <w:left w:val="single" w:sz="4" w:space="0" w:color="000000"/>
              <w:bottom w:val="single" w:sz="4" w:space="0" w:color="000000"/>
              <w:right w:val="single" w:sz="4" w:space="0" w:color="000000"/>
            </w:tcBorders>
          </w:tcPr>
          <w:p w14:paraId="60BC2A70" w14:textId="29E39E36" w:rsidR="001D75A6" w:rsidRPr="003615B4" w:rsidRDefault="001D75A6" w:rsidP="001D75A6">
            <w:pPr>
              <w:pStyle w:val="TableParagraph"/>
              <w:spacing w:before="18"/>
              <w:ind w:left="59"/>
              <w:jc w:val="both"/>
              <w:rPr>
                <w:iCs/>
              </w:rPr>
            </w:pPr>
            <w:r w:rsidRPr="003615B4">
              <w:rPr>
                <w:iCs/>
              </w:rPr>
              <w:t>2030</w:t>
            </w:r>
          </w:p>
        </w:tc>
        <w:tc>
          <w:tcPr>
            <w:tcW w:w="1842" w:type="dxa"/>
            <w:tcBorders>
              <w:top w:val="single" w:sz="4" w:space="0" w:color="000000"/>
              <w:left w:val="single" w:sz="4" w:space="0" w:color="000000"/>
              <w:bottom w:val="single" w:sz="4" w:space="0" w:color="000000"/>
            </w:tcBorders>
          </w:tcPr>
          <w:p w14:paraId="2DB4E354" w14:textId="77777777" w:rsidR="001D75A6" w:rsidRPr="003615B4" w:rsidRDefault="001D75A6" w:rsidP="001D75A6">
            <w:pPr>
              <w:pStyle w:val="TableParagraph"/>
              <w:spacing w:before="18"/>
              <w:ind w:left="59"/>
              <w:jc w:val="both"/>
              <w:rPr>
                <w:iCs/>
              </w:rPr>
            </w:pPr>
            <w:r w:rsidRPr="003615B4">
              <w:rPr>
                <w:iCs/>
              </w:rPr>
              <w:t>50.000.000,00 €</w:t>
            </w:r>
          </w:p>
        </w:tc>
      </w:tr>
      <w:tr w:rsidR="001D75A6" w14:paraId="390206F5" w14:textId="77777777" w:rsidTr="00914E66">
        <w:trPr>
          <w:trHeight w:val="300"/>
        </w:trPr>
        <w:tc>
          <w:tcPr>
            <w:tcW w:w="2977" w:type="dxa"/>
            <w:tcBorders>
              <w:top w:val="single" w:sz="4" w:space="0" w:color="000000"/>
              <w:bottom w:val="single" w:sz="4" w:space="0" w:color="000000"/>
              <w:right w:val="single" w:sz="4" w:space="0" w:color="000000"/>
            </w:tcBorders>
          </w:tcPr>
          <w:p w14:paraId="04E607A0" w14:textId="77777777" w:rsidR="001D75A6" w:rsidRPr="003615B4" w:rsidRDefault="001D75A6" w:rsidP="001D75A6">
            <w:pPr>
              <w:pStyle w:val="TableParagraph"/>
              <w:ind w:left="126"/>
              <w:jc w:val="both"/>
              <w:rPr>
                <w:iCs/>
              </w:rPr>
            </w:pPr>
            <w:r w:rsidRPr="003615B4">
              <w:rPr>
                <w:iCs/>
              </w:rPr>
              <w:t>PGC</w:t>
            </w:r>
          </w:p>
        </w:tc>
        <w:tc>
          <w:tcPr>
            <w:tcW w:w="2543" w:type="dxa"/>
            <w:tcBorders>
              <w:top w:val="single" w:sz="4" w:space="0" w:color="000000"/>
              <w:left w:val="single" w:sz="4" w:space="0" w:color="000000"/>
              <w:bottom w:val="single" w:sz="4" w:space="0" w:color="000000"/>
              <w:right w:val="single" w:sz="4" w:space="0" w:color="000000"/>
            </w:tcBorders>
          </w:tcPr>
          <w:p w14:paraId="07BF26FF" w14:textId="77777777" w:rsidR="001D75A6" w:rsidRPr="003615B4" w:rsidRDefault="001D75A6" w:rsidP="001D75A6">
            <w:pPr>
              <w:pStyle w:val="TableParagraph"/>
              <w:ind w:left="59"/>
              <w:jc w:val="both"/>
              <w:rPr>
                <w:i/>
              </w:rPr>
            </w:pPr>
            <w:r w:rsidRPr="003615B4">
              <w:rPr>
                <w:iCs/>
              </w:rPr>
              <w:t>D/760000100/4320/0000</w:t>
            </w:r>
          </w:p>
        </w:tc>
        <w:tc>
          <w:tcPr>
            <w:tcW w:w="1070" w:type="dxa"/>
            <w:tcBorders>
              <w:top w:val="single" w:sz="4" w:space="0" w:color="000000"/>
              <w:left w:val="single" w:sz="4" w:space="0" w:color="000000"/>
              <w:bottom w:val="single" w:sz="4" w:space="0" w:color="000000"/>
              <w:right w:val="single" w:sz="4" w:space="0" w:color="000000"/>
            </w:tcBorders>
          </w:tcPr>
          <w:p w14:paraId="4B47BC02" w14:textId="59B87068" w:rsidR="001D75A6" w:rsidRPr="003615B4" w:rsidRDefault="001D75A6" w:rsidP="001D75A6">
            <w:pPr>
              <w:pStyle w:val="TableParagraph"/>
              <w:spacing w:before="18"/>
              <w:ind w:left="59"/>
              <w:jc w:val="both"/>
              <w:rPr>
                <w:iCs/>
              </w:rPr>
            </w:pPr>
            <w:r w:rsidRPr="003615B4">
              <w:rPr>
                <w:iCs/>
              </w:rPr>
              <w:t>2031</w:t>
            </w:r>
          </w:p>
        </w:tc>
        <w:tc>
          <w:tcPr>
            <w:tcW w:w="1842" w:type="dxa"/>
            <w:tcBorders>
              <w:top w:val="single" w:sz="4" w:space="0" w:color="000000"/>
              <w:left w:val="single" w:sz="4" w:space="0" w:color="000000"/>
              <w:bottom w:val="single" w:sz="4" w:space="0" w:color="000000"/>
            </w:tcBorders>
          </w:tcPr>
          <w:p w14:paraId="1A047B7C" w14:textId="77777777" w:rsidR="001D75A6" w:rsidRPr="003615B4" w:rsidRDefault="001D75A6" w:rsidP="001D75A6">
            <w:pPr>
              <w:pStyle w:val="TableParagraph"/>
              <w:spacing w:before="18"/>
              <w:ind w:left="59"/>
              <w:jc w:val="both"/>
              <w:rPr>
                <w:iCs/>
              </w:rPr>
            </w:pPr>
            <w:r w:rsidRPr="003615B4">
              <w:rPr>
                <w:iCs/>
              </w:rPr>
              <w:t>50.000.000,00 €</w:t>
            </w:r>
          </w:p>
        </w:tc>
      </w:tr>
      <w:tr w:rsidR="001D75A6" w:rsidRPr="00017E9F" w14:paraId="1B525ADD" w14:textId="77777777" w:rsidTr="00914E66">
        <w:trPr>
          <w:trHeight w:val="300"/>
        </w:trPr>
        <w:tc>
          <w:tcPr>
            <w:tcW w:w="2977" w:type="dxa"/>
            <w:tcBorders>
              <w:top w:val="single" w:sz="4" w:space="0" w:color="000000"/>
              <w:right w:val="single" w:sz="4" w:space="0" w:color="000000"/>
            </w:tcBorders>
          </w:tcPr>
          <w:p w14:paraId="1DD1C6B6" w14:textId="77777777" w:rsidR="001D75A6" w:rsidRPr="003615B4" w:rsidRDefault="001D75A6" w:rsidP="001D75A6">
            <w:pPr>
              <w:pStyle w:val="TableParagraph"/>
              <w:ind w:left="126"/>
              <w:jc w:val="both"/>
              <w:rPr>
                <w:iCs/>
              </w:rPr>
            </w:pPr>
            <w:r w:rsidRPr="003615B4">
              <w:rPr>
                <w:iCs/>
              </w:rPr>
              <w:t>PGC</w:t>
            </w:r>
          </w:p>
        </w:tc>
        <w:tc>
          <w:tcPr>
            <w:tcW w:w="2543" w:type="dxa"/>
            <w:tcBorders>
              <w:top w:val="single" w:sz="4" w:space="0" w:color="000000"/>
              <w:left w:val="single" w:sz="4" w:space="0" w:color="000000"/>
              <w:right w:val="single" w:sz="4" w:space="0" w:color="000000"/>
            </w:tcBorders>
          </w:tcPr>
          <w:p w14:paraId="13C10890" w14:textId="77777777" w:rsidR="001D75A6" w:rsidRPr="003615B4" w:rsidRDefault="001D75A6" w:rsidP="001D75A6">
            <w:pPr>
              <w:pStyle w:val="TableParagraph"/>
              <w:ind w:left="59"/>
              <w:jc w:val="both"/>
              <w:rPr>
                <w:i/>
              </w:rPr>
            </w:pPr>
            <w:r w:rsidRPr="003615B4">
              <w:rPr>
                <w:iCs/>
              </w:rPr>
              <w:t>D/760000100/4320/0000</w:t>
            </w:r>
          </w:p>
        </w:tc>
        <w:tc>
          <w:tcPr>
            <w:tcW w:w="1070" w:type="dxa"/>
            <w:tcBorders>
              <w:top w:val="single" w:sz="4" w:space="0" w:color="000000"/>
              <w:left w:val="single" w:sz="4" w:space="0" w:color="000000"/>
              <w:right w:val="single" w:sz="4" w:space="0" w:color="000000"/>
            </w:tcBorders>
          </w:tcPr>
          <w:p w14:paraId="6F724AFC" w14:textId="5A86DC04" w:rsidR="001D75A6" w:rsidRPr="003615B4" w:rsidRDefault="001D75A6" w:rsidP="001D75A6">
            <w:pPr>
              <w:pStyle w:val="TableParagraph"/>
              <w:spacing w:before="18"/>
              <w:ind w:left="59"/>
              <w:jc w:val="both"/>
              <w:rPr>
                <w:iCs/>
              </w:rPr>
            </w:pPr>
            <w:r w:rsidRPr="003615B4">
              <w:rPr>
                <w:iCs/>
              </w:rPr>
              <w:t>2032</w:t>
            </w:r>
          </w:p>
        </w:tc>
        <w:tc>
          <w:tcPr>
            <w:tcW w:w="1842" w:type="dxa"/>
            <w:tcBorders>
              <w:top w:val="single" w:sz="4" w:space="0" w:color="000000"/>
              <w:left w:val="single" w:sz="4" w:space="0" w:color="000000"/>
            </w:tcBorders>
          </w:tcPr>
          <w:p w14:paraId="0EB39B1D" w14:textId="77777777" w:rsidR="001D75A6" w:rsidRPr="003615B4" w:rsidRDefault="001D75A6" w:rsidP="001D75A6">
            <w:pPr>
              <w:pStyle w:val="TableParagraph"/>
              <w:spacing w:before="18"/>
              <w:ind w:left="59"/>
              <w:jc w:val="both"/>
              <w:rPr>
                <w:iCs/>
              </w:rPr>
            </w:pPr>
            <w:r w:rsidRPr="003615B4">
              <w:rPr>
                <w:iCs/>
              </w:rPr>
              <w:t>15.000.000,00 €</w:t>
            </w:r>
          </w:p>
        </w:tc>
      </w:tr>
      <w:bookmarkEnd w:id="8"/>
    </w:tbl>
    <w:p w14:paraId="26261578" w14:textId="77777777" w:rsidR="002B7758" w:rsidRPr="000870B4" w:rsidRDefault="002B7758" w:rsidP="004B1833">
      <w:pPr>
        <w:pStyle w:val="Textindependent"/>
      </w:pPr>
    </w:p>
    <w:p w14:paraId="26158237" w14:textId="56BBA7DB" w:rsidR="00CA5129" w:rsidRDefault="009359BC" w:rsidP="004B1833">
      <w:pPr>
        <w:pStyle w:val="Textindependent"/>
      </w:pPr>
      <w:r w:rsidRPr="000870B4">
        <w:t xml:space="preserve">5.2 La cuantía total máxima para esta convocatoria se puede ampliar de acuerdo con lo que prevé el artículo 92.4 </w:t>
      </w:r>
      <w:r w:rsidR="00D241D1" w:rsidRPr="001155E9">
        <w:rPr>
          <w:i/>
          <w:iCs/>
        </w:rPr>
        <w:t xml:space="preserve">b </w:t>
      </w:r>
      <w:r w:rsidR="00D241D1" w:rsidRPr="000870B4">
        <w:t>del Decreto legislativo 3/2002, de 24 de diciembre, del texto refundido de la Ley de finanzas públicas de Cataluña. La efectividad de la cuantía adicional queda condicionada a la disponibilidad efectiva del crédito en el momento anterior a la resolución de la concesión de la</w:t>
      </w:r>
      <w:r w:rsidR="00D241D1" w:rsidRPr="000870B4">
        <w:rPr>
          <w:spacing w:val="-3"/>
        </w:rPr>
        <w:t xml:space="preserve"> </w:t>
      </w:r>
      <w:r w:rsidR="00D241D1" w:rsidRPr="000870B4">
        <w:t>subvención.</w:t>
      </w:r>
    </w:p>
    <w:p w14:paraId="39830236" w14:textId="26C901C2" w:rsidR="002E1994" w:rsidRPr="000870B4" w:rsidRDefault="002E1994" w:rsidP="004B1833">
      <w:pPr>
        <w:pStyle w:val="Textindependent"/>
      </w:pPr>
      <w:r w:rsidRPr="002E1994">
        <w:t>5.3. La tramitación de la convocatoria es anticipada; en consecuencia, la cuantía máxima prevista de la convocatoria tiene carácter estimatorio y, por tanto, la concesión de la subvención queda sometida a la condición suspensiva de la existencia de crédito adecuado y suficiente en el momento en que se dicte la resolución de la concesión.</w:t>
      </w:r>
    </w:p>
    <w:p w14:paraId="485F160D" w14:textId="77777777" w:rsidR="00D241D1" w:rsidRPr="000870B4" w:rsidRDefault="00D241D1" w:rsidP="009359BC">
      <w:pPr>
        <w:pStyle w:val="Ttol2"/>
        <w:numPr>
          <w:ilvl w:val="0"/>
          <w:numId w:val="7"/>
        </w:numPr>
        <w:ind w:left="284" w:hanging="284"/>
      </w:pPr>
      <w:r w:rsidRPr="000870B4">
        <w:t>El importe de la</w:t>
      </w:r>
      <w:r w:rsidRPr="000870B4">
        <w:rPr>
          <w:spacing w:val="-3"/>
        </w:rPr>
        <w:t xml:space="preserve"> </w:t>
      </w:r>
      <w:r w:rsidRPr="000870B4">
        <w:t>subvención</w:t>
      </w:r>
    </w:p>
    <w:p w14:paraId="0D65DE56" w14:textId="71EEF8FC" w:rsidR="00C7718C" w:rsidRPr="000870B4" w:rsidRDefault="009359BC" w:rsidP="004B1833">
      <w:pPr>
        <w:pStyle w:val="Textindependent"/>
      </w:pPr>
      <w:r w:rsidRPr="000870B4">
        <w:t>6.1. De acuerdo con lo que prevé el artículo 6.2 del Decreto 163/2025, de 29 de julio, esta convocatoria establece los siguientes porcentajes de financiación de los programas memoria de intervención integral, en función de la población de los municipios:</w:t>
      </w:r>
    </w:p>
    <w:p w14:paraId="180F536D" w14:textId="7D3CC842" w:rsidR="00C7718C" w:rsidRPr="000870B4" w:rsidRDefault="00C7718C" w:rsidP="009359BC">
      <w:pPr>
        <w:pStyle w:val="Pargrafdellista"/>
        <w:ind w:left="284"/>
      </w:pPr>
      <w:r w:rsidRPr="000870B4">
        <w:t>a) Para municipios o agrupaciones de municipios de más de 50.000 habitantes, la financiación del Fondo será del 50% del presupuesto del programa.</w:t>
      </w:r>
    </w:p>
    <w:p w14:paraId="1F002955" w14:textId="60ABDF32" w:rsidR="00C7718C" w:rsidRPr="000870B4" w:rsidRDefault="00C7718C" w:rsidP="009359BC">
      <w:pPr>
        <w:pStyle w:val="Pargrafdellista"/>
        <w:ind w:left="284"/>
      </w:pPr>
      <w:r w:rsidRPr="000870B4">
        <w:t>b) Para municipios o agrupaciones de municipios entre 50.000 y 20.000 habitantes, la financiación del Fondo es del 60% del presupuesto del programa.</w:t>
      </w:r>
    </w:p>
    <w:p w14:paraId="643E6636" w14:textId="45CAE6AC" w:rsidR="00C7718C" w:rsidRPr="000870B4" w:rsidRDefault="00C7718C" w:rsidP="009359BC">
      <w:pPr>
        <w:pStyle w:val="Pargrafdellista"/>
        <w:ind w:left="284"/>
      </w:pPr>
      <w:r w:rsidRPr="000870B4">
        <w:t xml:space="preserve">c) Para municipios o agrupaciones de municipios entre 19.999 y 5.000 habitantes, la financiación del Fondo es del 70 </w:t>
      </w:r>
      <w:r w:rsidR="005420DA">
        <w:t>% del presupuesto del programa.</w:t>
      </w:r>
    </w:p>
    <w:p w14:paraId="48E418A2" w14:textId="6305D87E" w:rsidR="00C7718C" w:rsidRPr="000870B4" w:rsidRDefault="00C7718C" w:rsidP="009359BC">
      <w:pPr>
        <w:pStyle w:val="Pargrafdellista"/>
        <w:ind w:left="284"/>
      </w:pPr>
      <w:r w:rsidRPr="000870B4">
        <w:t>d) Para municipios o agrupaciones de municipios de menos de 5.000 habitantes, la financiación del Fondo será del 75% del presupuesto del programa.</w:t>
      </w:r>
    </w:p>
    <w:p w14:paraId="0C8FD2A5" w14:textId="0183EFBD" w:rsidR="00631C48" w:rsidRDefault="00C7718C" w:rsidP="00631C48">
      <w:pPr>
        <w:pStyle w:val="Pargrafdellista"/>
        <w:ind w:left="284"/>
      </w:pPr>
      <w:bookmarkStart w:id="9" w:name="_Hlk229485389"/>
      <w:r w:rsidRPr="000870B4">
        <w:t xml:space="preserve">e) </w:t>
      </w:r>
      <w:bookmarkStart w:id="10" w:name="_Hlk205469530"/>
      <w:r w:rsidRPr="000870B4">
        <w:t>Para municipios o agrupaciones de municipios de menos de 5.000 habitantes que argumenten dificultades para asumir su parte de la financiación, o que tengan la consideración de municipio rural, excepcionalmente puede solicitarse que la financiación del Fondo sea del 90% del presupuesto del programa.</w:t>
      </w:r>
    </w:p>
    <w:p w14:paraId="7BC81043" w14:textId="030C5E71" w:rsidR="00D241D1" w:rsidRPr="00631C48" w:rsidRDefault="00B222C3" w:rsidP="00631C48">
      <w:pPr>
        <w:pStyle w:val="Pargrafdellista"/>
        <w:ind w:left="284"/>
      </w:pPr>
      <w:r w:rsidRPr="00631C48">
        <w:t xml:space="preserve">En el caso de los municipios de menos de 5.000 habitantes a que se refiere el párrafo anterior, deberá justificarse la dificultad para asumir la parte que les corresponde, mediante la presentación de un certificado de la secretaría o de la intervención de la entidad solicitante que acredite esta circunstancia </w:t>
      </w:r>
      <w:bookmarkEnd w:id="10"/>
      <w:r w:rsidR="001A16B6" w:rsidRPr="00631C48">
        <w:t>.</w:t>
      </w:r>
    </w:p>
    <w:p w14:paraId="409F981A" w14:textId="42BD45E9" w:rsidR="00631C48" w:rsidRPr="00631C48" w:rsidRDefault="00631C48" w:rsidP="00631C48">
      <w:pPr>
        <w:pStyle w:val="Pargrafdellista"/>
        <w:ind w:left="284"/>
      </w:pPr>
      <w:r w:rsidRPr="00631C48">
        <w:t>Por lo que respecta a los municipios rurales, se considera que tienen esta condición los incluidos en la lista anexa a la Resolución PRE/415/2026, de 18 de febrero, por la que se da publicidad a la lista inicial de municipios rurales, o cualquier otra que la modifique o sustituya</w:t>
      </w:r>
    </w:p>
    <w:bookmarkEnd w:id="9"/>
    <w:p w14:paraId="6B33B733" w14:textId="6986A999" w:rsidR="00E76FAD" w:rsidRPr="000870B4" w:rsidRDefault="00E76FAD" w:rsidP="009359BC">
      <w:pPr>
        <w:pStyle w:val="Textindependent"/>
        <w:spacing w:line="253" w:lineRule="exact"/>
      </w:pPr>
      <w:r w:rsidRPr="000870B4">
        <w:t>El porcentaje de financiación del programa memoria de intervención integral, especificado en la resolución de concesión de la subvención, debe aplicarse a cada una de las actuaciones que forman parte.</w:t>
      </w:r>
    </w:p>
    <w:p w14:paraId="3325A98E" w14:textId="5506F244" w:rsidR="00D241D1" w:rsidRPr="000870B4" w:rsidRDefault="009359BC" w:rsidP="009359BC">
      <w:pPr>
        <w:spacing w:before="1"/>
        <w:jc w:val="both"/>
      </w:pPr>
      <w:r w:rsidRPr="000870B4">
        <w:t>6.2. El importe de la subvención en ningún caso podrá ser de tal cuantía que, aisladamente o en concurrencia con otras subvenciones, ayudas, ingresos o recursos, supere el coste de la actividad subvencionada.</w:t>
      </w:r>
    </w:p>
    <w:p w14:paraId="3B3E4F83" w14:textId="17F71702" w:rsidR="00D241D1" w:rsidRPr="000870B4" w:rsidRDefault="00D241D1" w:rsidP="009359BC">
      <w:pPr>
        <w:pStyle w:val="Ttol2"/>
        <w:numPr>
          <w:ilvl w:val="0"/>
          <w:numId w:val="7"/>
        </w:numPr>
        <w:ind w:left="284" w:hanging="284"/>
      </w:pPr>
      <w:bookmarkStart w:id="11" w:name="_Hlk205469658"/>
      <w:bookmarkStart w:id="12" w:name="_Hlk205469738"/>
      <w:r w:rsidRPr="000870B4">
        <w:t>Documentación a adjuntar con la</w:t>
      </w:r>
      <w:r w:rsidRPr="000870B4">
        <w:rPr>
          <w:spacing w:val="-6"/>
        </w:rPr>
        <w:t xml:space="preserve"> </w:t>
      </w:r>
      <w:r w:rsidRPr="000870B4">
        <w:t>solicitud</w:t>
      </w:r>
    </w:p>
    <w:bookmarkEnd w:id="11"/>
    <w:p w14:paraId="0D6B6D88" w14:textId="7F83300D" w:rsidR="00D63621" w:rsidRPr="000870B4" w:rsidRDefault="00D63621" w:rsidP="009359BC">
      <w:pPr>
        <w:pStyle w:val="Textindependent"/>
      </w:pPr>
      <w:r w:rsidRPr="000870B4">
        <w:t>La documentación que debe adjuntarse a la solicitud es la que prevé el artículo 9 del Decreto 163/2025, de 29 de julio.</w:t>
      </w:r>
    </w:p>
    <w:p w14:paraId="42369673" w14:textId="39A7742C" w:rsidR="00B17C28" w:rsidRDefault="005D49E5" w:rsidP="00631C48">
      <w:pPr>
        <w:pStyle w:val="Textindependent"/>
      </w:pPr>
      <w:r>
        <w:t xml:space="preserve">Para el caso de los municipios o agrupaciones de municipios de menos de 5.000 habitantes que argumenten dificultades para asumir su parte de la financiación que soliciten la financiación excepcional del 90%, debe adjuntarse a la solicitud el certificado de la secretaría o de la intervención a que se refiere </w:t>
      </w:r>
      <w:bookmarkStart w:id="13" w:name="_Hlk205469888"/>
      <w:r w:rsidR="00174BDC" w:rsidRPr="00174BDC">
        <w:t xml:space="preserve">el apartado 6.1 </w:t>
      </w:r>
      <w:r w:rsidR="00174BDC" w:rsidRPr="00EF4C55">
        <w:rPr>
          <w:i/>
          <w:iCs/>
        </w:rPr>
        <w:t xml:space="preserve">e </w:t>
      </w:r>
      <w:r w:rsidR="00174BDC" w:rsidRPr="00174BDC">
        <w:t xml:space="preserve">de este Anexo </w:t>
      </w:r>
      <w:bookmarkEnd w:id="12"/>
      <w:bookmarkEnd w:id="13"/>
      <w:r w:rsidR="00174BDC">
        <w:t>.</w:t>
      </w:r>
    </w:p>
    <w:p w14:paraId="636BDB8A" w14:textId="77777777" w:rsidR="00D241D1" w:rsidRPr="000870B4" w:rsidRDefault="00D241D1" w:rsidP="009359BC">
      <w:pPr>
        <w:pStyle w:val="Ttol2"/>
        <w:numPr>
          <w:ilvl w:val="0"/>
          <w:numId w:val="7"/>
        </w:numPr>
        <w:ind w:left="284" w:hanging="284"/>
      </w:pPr>
      <w:r w:rsidRPr="000870B4">
        <w:t>Actuaciones</w:t>
      </w:r>
      <w:r w:rsidRPr="000870B4">
        <w:rPr>
          <w:spacing w:val="-1"/>
        </w:rPr>
        <w:t xml:space="preserve"> </w:t>
      </w:r>
      <w:r w:rsidRPr="000870B4">
        <w:t>subvencionables</w:t>
      </w:r>
    </w:p>
    <w:p w14:paraId="70C3A44F" w14:textId="0BECF38F" w:rsidR="00D241D1" w:rsidRPr="000870B4" w:rsidRDefault="00D241D1" w:rsidP="009359BC">
      <w:pPr>
        <w:pStyle w:val="Textindependent"/>
        <w:rPr>
          <w:sz w:val="21"/>
        </w:rPr>
      </w:pPr>
      <w:r w:rsidRPr="000870B4">
        <w:t>Las actuaciones subvencionables consisten en las que se indican en el artículo 2 del Decreto 163/2025, de 29 de julio, correspondientes a los tres ámbitos de intervención fijados por la Ley 11/2022 (transformaciones físicas, transición ecológica, acción sociocomunitaria). En el Anexo II del citado Decreto, en el bloque II (Contenido del Programa-Memoria), se detallan los diferentes subámbitos y campos de actuación incluidos en cada uno de estos tres ámbitos de intervención.</w:t>
      </w:r>
    </w:p>
    <w:p w14:paraId="7C1F74F6" w14:textId="77777777" w:rsidR="00D241D1" w:rsidRPr="000870B4" w:rsidRDefault="00D241D1" w:rsidP="009359BC">
      <w:pPr>
        <w:pStyle w:val="Ttol2"/>
        <w:numPr>
          <w:ilvl w:val="0"/>
          <w:numId w:val="7"/>
        </w:numPr>
        <w:ind w:left="284" w:hanging="284"/>
      </w:pPr>
      <w:r w:rsidRPr="000870B4">
        <w:t>Gastos</w:t>
      </w:r>
      <w:r w:rsidRPr="000870B4">
        <w:rPr>
          <w:spacing w:val="-3"/>
        </w:rPr>
        <w:t xml:space="preserve"> </w:t>
      </w:r>
      <w:r w:rsidRPr="000870B4">
        <w:t>subvencionables</w:t>
      </w:r>
    </w:p>
    <w:p w14:paraId="14DECC7A" w14:textId="31137E28" w:rsidR="00D241D1" w:rsidRPr="000870B4" w:rsidRDefault="00D241D1" w:rsidP="009359BC">
      <w:pPr>
        <w:pStyle w:val="Textindependent"/>
        <w:spacing w:line="252" w:lineRule="exact"/>
      </w:pPr>
      <w:r w:rsidRPr="000870B4">
        <w:t xml:space="preserve">Los gastos subvencionables son los que establece el artículo 7 del Decreto 163/2025, de </w:t>
      </w:r>
      <w:r w:rsidR="00646DC8" w:rsidRPr="00646DC8">
        <w:t>29 de julio</w:t>
      </w:r>
      <w:r w:rsidR="0038488E" w:rsidRPr="000870B4">
        <w:t>, y que se concretan a continuación:</w:t>
      </w:r>
    </w:p>
    <w:p w14:paraId="68418D79" w14:textId="6ABF03F8" w:rsidR="00BE0F84" w:rsidRPr="000870B4" w:rsidRDefault="00BE0F84" w:rsidP="009359BC">
      <w:pPr>
        <w:pStyle w:val="Textindependent"/>
        <w:numPr>
          <w:ilvl w:val="0"/>
          <w:numId w:val="2"/>
        </w:numPr>
        <w:spacing w:line="252" w:lineRule="exact"/>
        <w:ind w:left="851" w:hanging="284"/>
      </w:pPr>
      <w:r w:rsidRPr="000870B4">
        <w:t>Gastos corrientes vinculados directamente a la realización de las actuaciones de los programas memoria de intervención integral (PMII):</w:t>
      </w:r>
    </w:p>
    <w:p w14:paraId="35DD5B63" w14:textId="2698FF5B" w:rsidR="00BE0F84" w:rsidRPr="000870B4" w:rsidRDefault="00BE0F84" w:rsidP="009359BC">
      <w:pPr>
        <w:pStyle w:val="Textindependent"/>
        <w:numPr>
          <w:ilvl w:val="0"/>
          <w:numId w:val="3"/>
        </w:numPr>
        <w:spacing w:line="252" w:lineRule="exact"/>
        <w:ind w:left="1068"/>
      </w:pPr>
      <w:r w:rsidRPr="000870B4">
        <w:t>Capítulo 1. Gastos salariales del personal de la oficina local del Plan de barrios dedicado directamente a la gestión y ejecución de los PMII.</w:t>
      </w:r>
    </w:p>
    <w:p w14:paraId="0807B392" w14:textId="0CA734B0" w:rsidR="00BE0F84" w:rsidRPr="000870B4" w:rsidRDefault="00BE0F84" w:rsidP="009359BC">
      <w:pPr>
        <w:pStyle w:val="Textindependent"/>
        <w:numPr>
          <w:ilvl w:val="0"/>
          <w:numId w:val="3"/>
        </w:numPr>
        <w:spacing w:line="252" w:lineRule="exact"/>
        <w:ind w:left="1068"/>
      </w:pPr>
      <w:r w:rsidRPr="000870B4">
        <w:t>Capítulo 2. Gastos corrientes en la compra de bienes o la contratación de servicios, necesarios para la correcta implementación y desarrollo de las actuaciones concretas de los PMII.</w:t>
      </w:r>
    </w:p>
    <w:p w14:paraId="2A8089E9" w14:textId="35732A76" w:rsidR="00BE0F84" w:rsidRPr="000870B4" w:rsidRDefault="00BE0F84" w:rsidP="009359BC">
      <w:pPr>
        <w:pStyle w:val="Textindependent"/>
        <w:numPr>
          <w:ilvl w:val="0"/>
          <w:numId w:val="3"/>
        </w:numPr>
        <w:spacing w:line="252" w:lineRule="exact"/>
        <w:ind w:left="1068"/>
      </w:pPr>
      <w:r w:rsidRPr="000870B4">
        <w:t xml:space="preserve">Capítulo 4. Subvenciones y ayudas de carácter corriente concedidas por los entes locales a personas físicas y jurídicas. Se incluyen las subvenciones de los entes locales para financiar acciones desarrolladas por entidades sin ánimo de lucro, asociaciones y cooperativas, que incidan en la consecución de los objetivos de los PMII, especialmente en </w:t>
      </w:r>
      <w:bookmarkStart w:id="14" w:name="_Hlk201487100"/>
      <w:r w:rsidR="00ED7149" w:rsidRPr="000870B4">
        <w:t xml:space="preserve">el ámbito de la acción sociocomunitaria </w:t>
      </w:r>
      <w:bookmarkEnd w:id="14"/>
      <w:r w:rsidRPr="000870B4">
        <w:t>.</w:t>
      </w:r>
    </w:p>
    <w:p w14:paraId="20376705" w14:textId="727CB016" w:rsidR="00BE0F84" w:rsidRPr="000870B4" w:rsidRDefault="00BE0F84" w:rsidP="009359BC">
      <w:pPr>
        <w:pStyle w:val="Textindependent"/>
        <w:numPr>
          <w:ilvl w:val="0"/>
          <w:numId w:val="2"/>
        </w:numPr>
        <w:spacing w:line="252" w:lineRule="exact"/>
        <w:ind w:left="851" w:hanging="284"/>
      </w:pPr>
      <w:r w:rsidRPr="000870B4">
        <w:t>Gastos de capital para desarrollar las actuaciones de los PMII:</w:t>
      </w:r>
    </w:p>
    <w:p w14:paraId="0877E736" w14:textId="04E61ECD" w:rsidR="00BE0F84" w:rsidRPr="000870B4" w:rsidRDefault="00BE0F84" w:rsidP="009359BC">
      <w:pPr>
        <w:pStyle w:val="Textindependent"/>
        <w:numPr>
          <w:ilvl w:val="0"/>
          <w:numId w:val="4"/>
        </w:numPr>
        <w:spacing w:line="252" w:lineRule="exact"/>
        <w:ind w:left="1068"/>
      </w:pPr>
      <w:r w:rsidRPr="000870B4">
        <w:t>Capítulo 6. Gastos derivados de la adquisición, rehabilitación y/o mejora de bienes inventariables. Se incluye la construcción, adecuación o reforma de equipamientos públicos y espacios urbanos, así como la adquisición de inmuebles, suelo u otros bienes duraderos teniendo en cuenta las actuaciones excluidas de financiación establecidas en el artículo 2.3 del Decreto 163/2025, de 29 de julio. También son subvencionables otros gastos de capital como los derivados de la redacción de los proyectos de obras.</w:t>
      </w:r>
    </w:p>
    <w:p w14:paraId="7AEDC586" w14:textId="3EF029EC" w:rsidR="00BE0F84" w:rsidRPr="000870B4" w:rsidRDefault="00BE0F84" w:rsidP="009359BC">
      <w:pPr>
        <w:pStyle w:val="Textindependent"/>
        <w:numPr>
          <w:ilvl w:val="0"/>
          <w:numId w:val="4"/>
        </w:numPr>
        <w:spacing w:line="252" w:lineRule="exact"/>
        <w:ind w:left="1068"/>
      </w:pPr>
      <w:r w:rsidRPr="000870B4">
        <w:t>Capítulo 7. Subvenciones y ayudas de carácter de capital concedidas por los entes locales a personas físicas y jurídicas. Se incluyen las convocatorias de subvenciones de los entes locales destinadas a los particulares para financiar la rehabilitación de edificios, viviendas y locales.</w:t>
      </w:r>
    </w:p>
    <w:p w14:paraId="0EBFADC1" w14:textId="7E98C50F" w:rsidR="00BE0F84" w:rsidRPr="000870B4" w:rsidRDefault="00BE0F84" w:rsidP="009359BC">
      <w:pPr>
        <w:pStyle w:val="Textindependent"/>
        <w:numPr>
          <w:ilvl w:val="0"/>
          <w:numId w:val="2"/>
        </w:numPr>
        <w:spacing w:line="252" w:lineRule="exact"/>
        <w:ind w:left="851" w:hanging="284"/>
      </w:pPr>
      <w:r w:rsidRPr="000870B4">
        <w:t>Gastos de la actuación “oficina local del Pla de Barris” a la que hace referencia el artículo 7.3 del Decreto 163/2025, de 29 de julio, que no podrán superar el 8 % del presupuesto total del PMII. Esta actuación se incluye dentro del PMII junto con los tres ámbitos de intervención de los PMII y, por tanto, puede ser financiable por el Fondo como el resto de actuaciones, en el porcentaje que se establezca en la resolución de concesión de las subvenciones:</w:t>
      </w:r>
    </w:p>
    <w:p w14:paraId="18D5861D" w14:textId="7891B7F6" w:rsidR="00282952" w:rsidRDefault="009E2450" w:rsidP="00282952">
      <w:pPr>
        <w:pStyle w:val="Pargrafdellista"/>
        <w:numPr>
          <w:ilvl w:val="0"/>
          <w:numId w:val="13"/>
        </w:numPr>
        <w:jc w:val="both"/>
      </w:pPr>
      <w:r w:rsidRPr="000870B4">
        <w:t>Gastos salariales generales de administración, gestión, coordinación y ejecución del conjunto del PMII.</w:t>
      </w:r>
    </w:p>
    <w:p w14:paraId="15055D7D" w14:textId="77777777" w:rsidR="00282952" w:rsidRDefault="009E2450" w:rsidP="00282952">
      <w:pPr>
        <w:pStyle w:val="Pargrafdellista"/>
        <w:numPr>
          <w:ilvl w:val="0"/>
          <w:numId w:val="13"/>
        </w:numPr>
        <w:jc w:val="both"/>
      </w:pPr>
      <w:r w:rsidRPr="000870B4">
        <w:t>Gastos de publicidad, comunicación y difusión del PMII.</w:t>
      </w:r>
    </w:p>
    <w:p w14:paraId="7D19EB1D" w14:textId="77777777" w:rsidR="00282952" w:rsidRDefault="00282952" w:rsidP="00282952">
      <w:pPr>
        <w:pStyle w:val="Pargrafdellista"/>
        <w:numPr>
          <w:ilvl w:val="0"/>
          <w:numId w:val="13"/>
        </w:numPr>
        <w:jc w:val="both"/>
      </w:pPr>
      <w:r>
        <w:t>Gastos de alquiler, material de oficina, suministros de agua, luz, calefacción, limpieza, mantenimientos y otros de similar naturaleza.</w:t>
      </w:r>
    </w:p>
    <w:p w14:paraId="30F4C6B9" w14:textId="77777777" w:rsidR="00282952" w:rsidRDefault="001E4381" w:rsidP="00282952">
      <w:pPr>
        <w:pStyle w:val="Pargrafdellista"/>
        <w:numPr>
          <w:ilvl w:val="0"/>
          <w:numId w:val="13"/>
        </w:numPr>
        <w:jc w:val="both"/>
      </w:pPr>
      <w:r>
        <w:t>Otros gastos corrientes necesarios para el correcto funcionamiento de la oficina.</w:t>
      </w:r>
    </w:p>
    <w:p w14:paraId="728F6F1F" w14:textId="44B53EBC" w:rsidR="00112EF5" w:rsidRPr="000870B4" w:rsidRDefault="00BE0F84" w:rsidP="00282952">
      <w:pPr>
        <w:pStyle w:val="Pargrafdellista"/>
        <w:numPr>
          <w:ilvl w:val="0"/>
          <w:numId w:val="13"/>
        </w:numPr>
        <w:jc w:val="both"/>
      </w:pPr>
      <w:r w:rsidRPr="000870B4">
        <w:t xml:space="preserve">Gastos de capital asociados a las posibles reformas o rehabilitación del espacio destinado a oficina; así como gastos de adquisición del equipo informático, mobiliario y otros enseres necesarios para el correcto funcionamiento de </w:t>
      </w:r>
      <w:r w:rsidR="009B18EB" w:rsidRPr="000870B4">
        <w:t>la oficina local.</w:t>
      </w:r>
    </w:p>
    <w:p w14:paraId="61359AFE" w14:textId="6C4E780C" w:rsidR="009E2450" w:rsidRPr="000177EA" w:rsidRDefault="00AE53EA" w:rsidP="009359BC">
      <w:pPr>
        <w:pStyle w:val="Ttol2"/>
        <w:numPr>
          <w:ilvl w:val="0"/>
          <w:numId w:val="7"/>
        </w:numPr>
        <w:ind w:left="284" w:hanging="284"/>
        <w:rPr>
          <w:b w:val="0"/>
        </w:rPr>
      </w:pPr>
      <w:bookmarkStart w:id="15" w:name="_Hlk205468669"/>
      <w:r w:rsidRPr="000177EA">
        <w:t>Comisión de valoración</w:t>
      </w:r>
    </w:p>
    <w:p w14:paraId="44624227" w14:textId="30633812" w:rsidR="001446D2" w:rsidRPr="000870B4" w:rsidRDefault="008A479B" w:rsidP="009359BC">
      <w:pPr>
        <w:pStyle w:val="Textindependent"/>
        <w:spacing w:line="252" w:lineRule="exact"/>
      </w:pPr>
      <w:r w:rsidRPr="000870B4">
        <w:t>10.1. La Comisión de Gestión del Fondo de Recuperación Urbana, Ambiental y Social de Barrios y Villas de Atención Especial (Comisión de Gestión del Fondo) está integrada por las personas miembros que establece el artículo 19 del Decreto 163/2025, de 29 de julio.</w:t>
      </w:r>
    </w:p>
    <w:p w14:paraId="4F47A2B7" w14:textId="04C777AC" w:rsidR="00A84520" w:rsidRDefault="008A479B" w:rsidP="009359BC">
      <w:pPr>
        <w:pStyle w:val="Textindependent"/>
        <w:spacing w:line="252" w:lineRule="exact"/>
      </w:pPr>
      <w:r w:rsidRPr="000870B4">
        <w:t xml:space="preserve">10.2. El órgano instructor debe designar a la persona que ocupa la secretaría de la Comisión de Gestión del Fondo, de acuerdo con el artículo 19.3 del Decreto 163/2025, de 29 de julio. Las personas que ocupen las vocalías contenidas en las letras </w:t>
      </w:r>
      <w:r w:rsidR="00821BE3" w:rsidRPr="00CC5B25">
        <w:rPr>
          <w:i/>
          <w:iCs/>
        </w:rPr>
        <w:t xml:space="preserve">c </w:t>
      </w:r>
      <w:r w:rsidR="00821BE3">
        <w:t>hasta la j del artículo 19.3 del citado Decreto serán designadas por los órganos o entidades a las que representen.</w:t>
      </w:r>
    </w:p>
    <w:bookmarkEnd w:id="15"/>
    <w:p w14:paraId="4D2127DE" w14:textId="53D6A4AA" w:rsidR="00D241D1" w:rsidRPr="000870B4" w:rsidRDefault="00D241D1" w:rsidP="009359BC">
      <w:pPr>
        <w:pStyle w:val="Ttol2"/>
        <w:numPr>
          <w:ilvl w:val="0"/>
          <w:numId w:val="7"/>
        </w:numPr>
        <w:ind w:left="284" w:hanging="284"/>
        <w:rPr>
          <w:i/>
        </w:rPr>
      </w:pPr>
      <w:r w:rsidRPr="000870B4">
        <w:t>Criterios de valoración de las solicitudes</w:t>
      </w:r>
    </w:p>
    <w:p w14:paraId="0C03455F" w14:textId="33217732" w:rsidR="00D241D1" w:rsidRPr="000870B4" w:rsidRDefault="00CD223F" w:rsidP="009359BC">
      <w:pPr>
        <w:pStyle w:val="Textindependent"/>
        <w:spacing w:line="252" w:lineRule="exact"/>
      </w:pPr>
      <w:r w:rsidRPr="000870B4">
        <w:t>Los criterios de valoración de los programas memoria de intervención integral se establecen en el artículo 14 y el Anexo II del Decreto 163/2025, de 29 de julio.</w:t>
      </w:r>
    </w:p>
    <w:p w14:paraId="62EF1D70" w14:textId="77777777" w:rsidR="00D241D1" w:rsidRPr="000870B4" w:rsidRDefault="00D241D1" w:rsidP="009359BC">
      <w:pPr>
        <w:pStyle w:val="Ttol2"/>
        <w:numPr>
          <w:ilvl w:val="0"/>
          <w:numId w:val="7"/>
        </w:numPr>
        <w:ind w:left="284" w:hanging="284"/>
      </w:pPr>
      <w:r w:rsidRPr="000870B4">
        <w:t>Resolución del procedimiento y notificación a la persona</w:t>
      </w:r>
      <w:r w:rsidRPr="000870B4">
        <w:rPr>
          <w:spacing w:val="-14"/>
        </w:rPr>
        <w:t xml:space="preserve"> </w:t>
      </w:r>
      <w:r w:rsidRPr="000870B4">
        <w:t>interesada</w:t>
      </w:r>
    </w:p>
    <w:p w14:paraId="34B004DD" w14:textId="6F7AA894" w:rsidR="00D241D1" w:rsidRPr="000870B4" w:rsidRDefault="008A479B" w:rsidP="009359BC">
      <w:pPr>
        <w:pStyle w:val="Textindependent"/>
        <w:spacing w:line="252" w:lineRule="exact"/>
      </w:pPr>
      <w:r w:rsidRPr="000870B4">
        <w:t xml:space="preserve">12.1. Las propuestas provisionales de concesión, las resoluciones y los acuerdos resolutorios de subvenciones se publican en el tablón electrónico de la Administración de la Generalidad de Cataluña ( </w:t>
      </w:r>
      <w:hyperlink r:id="rId12">
        <w:r w:rsidR="00D241D1" w:rsidRPr="000870B4">
          <w:rPr>
            <w:u w:val="single" w:color="0000FF"/>
          </w:rPr>
          <w:t xml:space="preserve">https://tauler.seu.cat/inici.do?idens=1) </w:t>
        </w:r>
      </w:hyperlink>
      <w:r w:rsidR="00D241D1" w:rsidRPr="000870B4">
        <w:t>, sin perjuicio de que se puedan utilizar adicionalmente otros medios electrónicos. Esta publicación sustituye a la notificación individual y tiene los mismos</w:t>
      </w:r>
      <w:r w:rsidR="00D241D1" w:rsidRPr="000870B4">
        <w:rPr>
          <w:spacing w:val="-4"/>
        </w:rPr>
        <w:t xml:space="preserve"> </w:t>
      </w:r>
      <w:r w:rsidR="00D241D1" w:rsidRPr="000870B4">
        <w:t>efectos.</w:t>
      </w:r>
    </w:p>
    <w:p w14:paraId="046AFA97" w14:textId="3B86210B" w:rsidR="00D241D1" w:rsidRDefault="008A479B" w:rsidP="009359BC">
      <w:pPr>
        <w:pStyle w:val="Textindependent"/>
        <w:spacing w:line="252" w:lineRule="exact"/>
      </w:pPr>
      <w:r w:rsidRPr="000870B4">
        <w:t xml:space="preserve">12.2. </w:t>
      </w:r>
      <w:bookmarkStart w:id="16" w:name="_Hlk205477738"/>
      <w:r w:rsidR="00D241D1" w:rsidRPr="000870B4">
        <w:t xml:space="preserve">Corresponde a la persona titular del órgano instructor resolver sobre la inadmisión o desistimiento de la subvención. Corresponde a la persona titular del órgano concedente resolver sobre la concesión y denegación de la subvención. Estas </w:t>
      </w:r>
      <w:r w:rsidR="00D241D1" w:rsidRPr="00456EA4">
        <w:rPr>
          <w:shd w:val="clear" w:color="auto" w:fill="FFFFFF" w:themeFill="background1"/>
        </w:rPr>
        <w:t>resoluciones deben dictarse y publicarse en el plazo máximo de seis meses a contar desde el día siguiente de la fecha de publicación de la convocatoria.</w:t>
      </w:r>
      <w:bookmarkEnd w:id="16"/>
    </w:p>
    <w:p w14:paraId="2D0BA728" w14:textId="5B85B4E5" w:rsidR="00D241D1" w:rsidRPr="000870B4" w:rsidRDefault="008A479B" w:rsidP="009359BC">
      <w:pPr>
        <w:pStyle w:val="Textindependent"/>
        <w:spacing w:line="252" w:lineRule="exact"/>
      </w:pPr>
      <w:r w:rsidRPr="000870B4">
        <w:t xml:space="preserve">12.3. Transcurrido este plazo, si no se ha dictado y notificado una resolución expresa, la solicitud se entiende desestimada por silencio administrativo, de acuerdo con lo que establece el artículo 54.2 </w:t>
      </w:r>
      <w:r w:rsidR="00D241D1" w:rsidRPr="00B079FD">
        <w:rPr>
          <w:i/>
          <w:iCs/>
        </w:rPr>
        <w:t>a</w:t>
      </w:r>
      <w:r w:rsidR="009A462B">
        <w:rPr>
          <w:i/>
          <w:iCs/>
        </w:rPr>
        <w:t>)</w:t>
      </w:r>
      <w:r w:rsidR="00D241D1" w:rsidRPr="00B079FD">
        <w:rPr>
          <w:i/>
          <w:iCs/>
        </w:rPr>
        <w:t xml:space="preserve"> </w:t>
      </w:r>
      <w:r w:rsidR="00D241D1" w:rsidRPr="000870B4">
        <w:t xml:space="preserve">de la Ley 26/2010, de 3 de agosto, de régimen jurídico y de procedimiento de las administraciones públicas de Cataluña, y el artículo 25.5 de la Ley </w:t>
      </w:r>
      <w:r w:rsidR="009A462B" w:rsidRPr="009A462B">
        <w:rPr>
          <w:lang w:val="ca-ES"/>
        </w:rPr>
        <w:t>Ley 38/2003</w:t>
      </w:r>
      <w:r w:rsidR="009A462B">
        <w:t xml:space="preserve"> de </w:t>
      </w:r>
      <w:r w:rsidR="00D241D1" w:rsidRPr="000870B4">
        <w:t>subvenciones.</w:t>
      </w:r>
    </w:p>
    <w:p w14:paraId="4D49B2A2" w14:textId="77777777" w:rsidR="00D241D1" w:rsidRPr="000870B4" w:rsidRDefault="00D241D1" w:rsidP="009359BC">
      <w:pPr>
        <w:pStyle w:val="Ttol2"/>
        <w:numPr>
          <w:ilvl w:val="0"/>
          <w:numId w:val="7"/>
        </w:numPr>
        <w:ind w:left="284" w:hanging="284"/>
      </w:pPr>
      <w:r w:rsidRPr="000870B4">
        <w:t>Plazo de ejecución de</w:t>
      </w:r>
      <w:r w:rsidRPr="000870B4">
        <w:rPr>
          <w:spacing w:val="-4"/>
        </w:rPr>
        <w:t xml:space="preserve"> </w:t>
      </w:r>
      <w:r w:rsidRPr="000870B4">
        <w:t>la actividad</w:t>
      </w:r>
    </w:p>
    <w:p w14:paraId="53D14AD4" w14:textId="3B196F3A" w:rsidR="00CD223F" w:rsidRPr="000870B4" w:rsidRDefault="008A479B" w:rsidP="009359BC">
      <w:pPr>
        <w:pStyle w:val="Textindependent"/>
        <w:spacing w:line="252" w:lineRule="exact"/>
      </w:pPr>
      <w:r w:rsidRPr="000870B4">
        <w:t>13.1 Las actividades que se tengan que llevar a cabo para el cumplimiento del objeto de la subvención deben ejecutarse en el plazo de</w:t>
      </w:r>
      <w:r w:rsidR="00192B2A" w:rsidRPr="000870B4">
        <w:rPr>
          <w:i/>
        </w:rPr>
        <w:t xml:space="preserve"> </w:t>
      </w:r>
      <w:r w:rsidR="00C33B45" w:rsidRPr="000870B4">
        <w:rPr>
          <w:iCs/>
        </w:rPr>
        <w:t>5 años</w:t>
      </w:r>
      <w:r w:rsidR="00D241D1" w:rsidRPr="000870B4">
        <w:rPr>
          <w:i/>
        </w:rPr>
        <w:t xml:space="preserve"> </w:t>
      </w:r>
      <w:r w:rsidR="00D241D1" w:rsidRPr="000870B4">
        <w:t>a contar desde la fecha de la notificación de la resolución de concesión, de acuerdo con lo que prevé el artículo 3.1 del Decreto 163/2025, de 29 de julio.</w:t>
      </w:r>
    </w:p>
    <w:p w14:paraId="039F0533" w14:textId="5272B1C8" w:rsidR="00D241D1" w:rsidRPr="000870B4" w:rsidRDefault="008A479B" w:rsidP="009359BC">
      <w:pPr>
        <w:pStyle w:val="Textindependent"/>
        <w:spacing w:line="252" w:lineRule="exact"/>
      </w:pPr>
      <w:r w:rsidRPr="000870B4">
        <w:t>13.2. El artículo 3.2 establece que este plazo puede ampliarse a ocho años, siempre que, a los cuatro años desde la fecha de la resolución de concesión de la subvención, se haya ejecutado el 50% del presupuesto global incluido en el programa memoria de intervención integral.</w:t>
      </w:r>
    </w:p>
    <w:p w14:paraId="1B4DC5CD" w14:textId="77777777" w:rsidR="00D241D1" w:rsidRPr="000870B4" w:rsidRDefault="00D241D1" w:rsidP="009359BC">
      <w:pPr>
        <w:pStyle w:val="Ttol2"/>
        <w:numPr>
          <w:ilvl w:val="0"/>
          <w:numId w:val="7"/>
        </w:numPr>
        <w:ind w:left="284" w:hanging="284"/>
      </w:pPr>
      <w:r w:rsidRPr="000870B4">
        <w:t>Justificación</w:t>
      </w:r>
    </w:p>
    <w:p w14:paraId="07CEA9DF" w14:textId="64EC4FCE" w:rsidR="00555AB2" w:rsidRPr="009A462B" w:rsidRDefault="008A479B" w:rsidP="009359BC">
      <w:pPr>
        <w:pStyle w:val="Textindependent"/>
        <w:spacing w:line="252" w:lineRule="exact"/>
        <w:rPr>
          <w:lang w:val="ca-ES"/>
        </w:rPr>
      </w:pPr>
      <w:bookmarkStart w:id="17" w:name="_Hlk205478743"/>
      <w:r w:rsidRPr="000870B4">
        <w:t xml:space="preserve">14.1. La entidad beneficiaria debe presentar la justificación final de liquidación de la subvención en el </w:t>
      </w:r>
      <w:r w:rsidR="001F696E" w:rsidRPr="000870B4">
        <w:rPr>
          <w:iCs/>
        </w:rPr>
        <w:t>plazo</w:t>
      </w:r>
      <w:r w:rsidR="002D15A8" w:rsidRPr="002D15A8">
        <w:t xml:space="preserve"> </w:t>
      </w:r>
      <w:r w:rsidR="002D15A8" w:rsidRPr="002D15A8">
        <w:rPr>
          <w:iCs/>
        </w:rPr>
        <w:t xml:space="preserve">de tres meses desde la fecha de finalización del período de ejecución del programa memoria de intervención integral. </w:t>
      </w:r>
      <w:r w:rsidR="002D15A8" w:rsidRPr="000870B4">
        <w:t>La justificación de la subvención debe llevarse a cabo mediante</w:t>
      </w:r>
      <w:r w:rsidR="002D15A8" w:rsidRPr="000870B4">
        <w:rPr>
          <w:i/>
        </w:rPr>
        <w:t xml:space="preserve"> </w:t>
      </w:r>
      <w:r w:rsidR="002D15A8" w:rsidRPr="000870B4">
        <w:t xml:space="preserve">una cuenta justificativa sin aportación de justificantes de gasto, conforme el artículo 5.2 de la Orden ECO/172/2015, de 3 de junio, sobre las formas de justificación de subvenciones, acompañado de una declaración responsable de la persona titular de la Intervención o </w:t>
      </w:r>
      <w:r w:rsidR="002D15A8" w:rsidRPr="000870B4">
        <w:rPr>
          <w:spacing w:val="-12"/>
        </w:rPr>
        <w:t xml:space="preserve">Secretaría </w:t>
      </w:r>
      <w:r w:rsidR="002D15A8" w:rsidRPr="000870B4">
        <w:t>-Intervención, y de acuerdo con lo especificado en el artículo 27</w:t>
      </w:r>
      <w:r w:rsidR="009A462B">
        <w:t xml:space="preserve"> del</w:t>
      </w:r>
      <w:r w:rsidR="002D15A8" w:rsidRPr="000870B4">
        <w:t xml:space="preserve"> </w:t>
      </w:r>
      <w:bookmarkEnd w:id="17"/>
      <w:r w:rsidR="009A462B" w:rsidRPr="009A462B">
        <w:rPr>
          <w:lang w:val="ca-ES"/>
        </w:rPr>
        <w:t>Decreto 163/2025</w:t>
      </w:r>
      <w:r w:rsidR="009A462B">
        <w:rPr>
          <w:lang w:val="ca-ES"/>
        </w:rPr>
        <w:t>.</w:t>
      </w:r>
    </w:p>
    <w:p w14:paraId="7A85E973" w14:textId="71FE240A" w:rsidR="00D241D1" w:rsidRPr="000870B4" w:rsidRDefault="008A479B" w:rsidP="009359BC">
      <w:pPr>
        <w:pStyle w:val="Textindependent"/>
        <w:spacing w:line="252" w:lineRule="exact"/>
      </w:pPr>
      <w:r w:rsidRPr="000870B4">
        <w:t>14.2. El órgano concedente debe comprobar, mediante técnicas de muestreo, los justificantes que estime oportunos y que permitan obtener evidencias sobre la adecuada aplicación de la misma</w:t>
      </w:r>
      <w:r w:rsidR="00D241D1" w:rsidRPr="000870B4">
        <w:rPr>
          <w:spacing w:val="-35"/>
        </w:rPr>
        <w:t xml:space="preserve"> </w:t>
      </w:r>
      <w:r w:rsidR="00D241D1" w:rsidRPr="000870B4">
        <w:t>subvención. Para ello puede requerir que las entidades beneficiarias envíen los justificantes de gasto seleccionados.</w:t>
      </w:r>
    </w:p>
    <w:p w14:paraId="5569F959" w14:textId="6B6F3B6A" w:rsidR="00D241D1" w:rsidRPr="000870B4" w:rsidRDefault="008A479B" w:rsidP="009359BC">
      <w:pPr>
        <w:pStyle w:val="Textindependent"/>
        <w:spacing w:line="252" w:lineRule="exact"/>
      </w:pPr>
      <w:r w:rsidRPr="000870B4">
        <w:t>14.3. El plazo de justificación puede ampliarse a petición de la entidad beneficiaria antes del plazo fijado para presentar la justificación, por razones debidamente motivadas, mediante el trámite electrónico habilitado por el órgano concedente. Este nuevo plazo no podrá superar la mitad del plazo inicialmente establecido.</w:t>
      </w:r>
    </w:p>
    <w:p w14:paraId="29E8F52C" w14:textId="77777777" w:rsidR="00D241D1" w:rsidRPr="000870B4" w:rsidRDefault="00D241D1" w:rsidP="009359BC">
      <w:pPr>
        <w:pStyle w:val="Ttol2"/>
        <w:numPr>
          <w:ilvl w:val="0"/>
          <w:numId w:val="7"/>
        </w:numPr>
        <w:ind w:left="284" w:hanging="284"/>
      </w:pPr>
      <w:r w:rsidRPr="000870B4">
        <w:t>Pago</w:t>
      </w:r>
    </w:p>
    <w:p w14:paraId="000EA565" w14:textId="190E4C2A" w:rsidR="00D241D1" w:rsidRPr="000870B4" w:rsidRDefault="008A479B" w:rsidP="009359BC">
      <w:pPr>
        <w:pStyle w:val="Textindependent"/>
        <w:spacing w:line="252" w:lineRule="exact"/>
      </w:pPr>
      <w:r w:rsidRPr="000870B4">
        <w:t>15.1. El pago de la subvención se realiza previa justificación por parte de la entidad beneficiaria de la realización del programa memoria de intervención integral en los términos establecidos en las bases reguladoras.</w:t>
      </w:r>
    </w:p>
    <w:p w14:paraId="0F3BD9E7" w14:textId="7838EDFA" w:rsidR="00D214B3" w:rsidRPr="000870B4" w:rsidRDefault="008A479B" w:rsidP="009359BC">
      <w:pPr>
        <w:pStyle w:val="Textindependent"/>
        <w:spacing w:line="252" w:lineRule="exact"/>
      </w:pPr>
      <w:r w:rsidRPr="000870B4">
        <w:t>15.2. Se produce la pérdida del derecho al cobro total o parcial de la subvención en caso de falta de justificación o de concurrencia de alguna de las causas que prevé el artículo 37 de la Ley 38/2003, de 17 de noviembre, general de subvenciones y el artículo 98 del Decreto legislativo 3/2002, de 24 de diciembre, por el que se aprueba.</w:t>
      </w:r>
    </w:p>
    <w:p w14:paraId="42D2D95F" w14:textId="4300FB73" w:rsidR="009D3C53" w:rsidRPr="000870B4" w:rsidRDefault="008A479B" w:rsidP="009D3C53">
      <w:pPr>
        <w:pStyle w:val="Textindependent"/>
        <w:spacing w:line="252" w:lineRule="exact"/>
      </w:pPr>
      <w:r w:rsidRPr="000870B4">
        <w:t>15.3. Se puede realizar un pago anticipado o anticipo de hasta un 7,5 % del importe de la subvención, que se tramitará en el año 2027. En caso de que la entidad esté interesada en recibir el pago anticipado mencionado si resulta beneficiaria, debe marcar esta opción en el formulario de solicitud.</w:t>
      </w:r>
    </w:p>
    <w:p w14:paraId="7E6883BD" w14:textId="149542F5" w:rsidR="00B2653E" w:rsidRPr="000870B4" w:rsidRDefault="008A479B" w:rsidP="006C11D5">
      <w:pPr>
        <w:pStyle w:val="Textindependent"/>
        <w:spacing w:line="252" w:lineRule="exact"/>
      </w:pPr>
      <w:bookmarkStart w:id="18" w:name="_Hlk205479164"/>
      <w:r w:rsidRPr="000870B4">
        <w:t xml:space="preserve">15.4. De acuerdo con la naturaleza de la subvención se realizarán pagos parciales, equivalentes a los importes de las justificaciones parciales presentadas. Se pueden presentar una o dos justificaciones parciales cada año: </w:t>
      </w:r>
      <w:r w:rsidR="0053363A" w:rsidRPr="000870B4">
        <w:rPr>
          <w:iCs/>
        </w:rPr>
        <w:t xml:space="preserve">una antes del 15 de marzo y otra antes del 15 de septiembre. </w:t>
      </w:r>
      <w:r w:rsidR="009C7B5E">
        <w:t>En caso de que la entidad beneficiaria haya recibido el anticipo solicitado, el primer pago parcial no se hará hasta que la entidad beneficiaria haya justificado el destino de la totalidad del anticipo concedido con anterioridad.</w:t>
      </w:r>
    </w:p>
    <w:p w14:paraId="0B0DA457" w14:textId="0031C161" w:rsidR="007F3BEF" w:rsidRPr="006C11D5" w:rsidRDefault="004678A3" w:rsidP="006C11D5">
      <w:pPr>
        <w:pStyle w:val="Textindependent"/>
        <w:spacing w:line="252" w:lineRule="exact"/>
      </w:pPr>
      <w:r>
        <w:t>15.5. El pago final de la subvención corresponderá al importe de la justificación final de la liquidación de la subvención.</w:t>
      </w:r>
    </w:p>
    <w:bookmarkEnd w:id="18"/>
    <w:p w14:paraId="47F0E944" w14:textId="77777777" w:rsidR="006C11D5" w:rsidRPr="006C11D5" w:rsidRDefault="006C11D5" w:rsidP="006C11D5"/>
    <w:sectPr w:rsidR="006C11D5" w:rsidRPr="006C11D5" w:rsidSect="00340BC6">
      <w:headerReference w:type="default" r:id="rId13"/>
      <w:headerReference w:type="first" r:id="rId14"/>
      <w:footerReference w:type="first" r:id="rId15"/>
      <w:pgSz w:w="11910" w:h="16840"/>
      <w:pgMar w:top="1985" w:right="1701" w:bottom="1985" w:left="1701" w:header="567" w:footer="128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961EA" w14:textId="77777777" w:rsidR="00664F1A" w:rsidRDefault="00664F1A" w:rsidP="00B04AD2">
      <w:r>
        <w:separator/>
      </w:r>
    </w:p>
  </w:endnote>
  <w:endnote w:type="continuationSeparator" w:id="0">
    <w:p w14:paraId="6697EB17" w14:textId="77777777" w:rsidR="00664F1A" w:rsidRDefault="00664F1A" w:rsidP="00B0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0BD1" w14:textId="77777777" w:rsidR="003D58B4" w:rsidRPr="001C7390" w:rsidRDefault="000A2ACF" w:rsidP="001C7390">
    <w:pPr>
      <w:pStyle w:val="Peu"/>
    </w:pPr>
    <w:r>
      <w:rPr>
        <w:noProof/>
        <w:lang w:eastAsia="ca-ES"/>
      </w:rPr>
      <w:drawing>
        <wp:anchor distT="0" distB="0" distL="114300" distR="114300" simplePos="0" relativeHeight="251656192" behindDoc="0" locked="0" layoutInCell="1" allowOverlap="1" wp14:anchorId="321255A5" wp14:editId="13C7D0BC">
          <wp:simplePos x="0" y="0"/>
          <wp:positionH relativeFrom="column">
            <wp:posOffset>635</wp:posOffset>
          </wp:positionH>
          <wp:positionV relativeFrom="paragraph">
            <wp:posOffset>-360045</wp:posOffset>
          </wp:positionV>
          <wp:extent cx="1112400" cy="403200"/>
          <wp:effectExtent l="0" t="0" r="0" b="0"/>
          <wp:wrapNone/>
          <wp:docPr id="3" name="Imatge 3" descr="Contacte:&#10;Avinguda Josep Tarradellas 2-6&#10;08029 Barcelona&#10;Telèfon 93 495 80 00&#10;web: territori.gencat.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2" descr="Contacte:&#10;Avinguda Josep Tarradellas 2-6&#10;08029 Barcelona&#10;Telèfon 93 495 80 00&#10;web: territori.gencat.cat"/>
                  <pic:cNvPicPr/>
                </pic:nvPicPr>
                <pic:blipFill>
                  <a:blip r:embed="rId1">
                    <a:extLst>
                      <a:ext uri="{28A0092B-C50C-407E-A947-70E740481C1C}">
                        <a14:useLocalDpi xmlns:a14="http://schemas.microsoft.com/office/drawing/2010/main" val="0"/>
                      </a:ext>
                    </a:extLst>
                  </a:blip>
                  <a:stretch>
                    <a:fillRect/>
                  </a:stretch>
                </pic:blipFill>
                <pic:spPr>
                  <a:xfrm>
                    <a:off x="0" y="0"/>
                    <a:ext cx="1112400" cy="403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176BF" w14:textId="77777777" w:rsidR="00664F1A" w:rsidRDefault="00664F1A" w:rsidP="00B04AD2">
      <w:r>
        <w:separator/>
      </w:r>
    </w:p>
  </w:footnote>
  <w:footnote w:type="continuationSeparator" w:id="0">
    <w:p w14:paraId="7EE93394" w14:textId="77777777" w:rsidR="00664F1A" w:rsidRDefault="00664F1A" w:rsidP="00B04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5856" w14:textId="79DC2F5D" w:rsidR="001D6CEF" w:rsidRDefault="001D6CE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D8EDD" w14:textId="688B1FD8" w:rsidR="00F3451D" w:rsidRDefault="00B761BB" w:rsidP="001D6CEF">
    <w:pPr>
      <w:pStyle w:val="Capalera"/>
    </w:pPr>
    <w:r>
      <w:rPr>
        <w:noProof/>
        <w:lang w:eastAsia="ca-ES"/>
      </w:rPr>
      <w:drawing>
        <wp:anchor distT="0" distB="0" distL="114300" distR="114300" simplePos="0" relativeHeight="251658240" behindDoc="0" locked="0" layoutInCell="1" allowOverlap="1" wp14:anchorId="02BE3044" wp14:editId="48C61720">
          <wp:simplePos x="0" y="0"/>
          <wp:positionH relativeFrom="page">
            <wp:posOffset>745490</wp:posOffset>
          </wp:positionH>
          <wp:positionV relativeFrom="page">
            <wp:posOffset>360045</wp:posOffset>
          </wp:positionV>
          <wp:extent cx="2923200" cy="536400"/>
          <wp:effectExtent l="0" t="0" r="0" b="0"/>
          <wp:wrapNone/>
          <wp:docPr id="1" name="Imatge 1" descr="Generalitat de Catalunya&#10;Departament de Territori, Habitatge i Transició Ecològ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descr="Generalitat de Catalunya&#10;Departament de Territori, Habitatge i Transició Ecològica"/>
                  <pic:cNvPicPr/>
                </pic:nvPicPr>
                <pic:blipFill>
                  <a:blip r:embed="rId1"/>
                  <a:stretch>
                    <a:fillRect/>
                  </a:stretch>
                </pic:blipFill>
                <pic:spPr>
                  <a:xfrm>
                    <a:off x="0" y="0"/>
                    <a:ext cx="2923200" cy="536400"/>
                  </a:xfrm>
                  <a:prstGeom prst="rect">
                    <a:avLst/>
                  </a:prstGeom>
                </pic:spPr>
              </pic:pic>
            </a:graphicData>
          </a:graphic>
          <wp14:sizeRelH relativeFrom="margin">
            <wp14:pctWidth>0</wp14:pctWidth>
          </wp14:sizeRelH>
          <wp14:sizeRelV relativeFrom="margin">
            <wp14:pctHeight>0</wp14:pctHeight>
          </wp14:sizeRelV>
        </wp:anchor>
      </w:drawing>
    </w:r>
    <w:r w:rsidR="001A6964">
      <w:rPr>
        <w:noProof/>
      </w:rPr>
      <mc:AlternateContent>
        <mc:Choice Requires="wps">
          <w:drawing>
            <wp:anchor distT="4294967295" distB="4294967295" distL="114300" distR="114300" simplePos="0" relativeHeight="251659264" behindDoc="0" locked="0" layoutInCell="1" allowOverlap="1" wp14:anchorId="2E3BFE02" wp14:editId="4C1F519F">
              <wp:simplePos x="0" y="0"/>
              <wp:positionH relativeFrom="column">
                <wp:posOffset>-1080135</wp:posOffset>
              </wp:positionH>
              <wp:positionV relativeFrom="page">
                <wp:posOffset>3600449</wp:posOffset>
              </wp:positionV>
              <wp:extent cx="360045" cy="0"/>
              <wp:effectExtent l="0" t="0" r="0" b="0"/>
              <wp:wrapNone/>
              <wp:docPr id="2" name="Connector rect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0045" cy="0"/>
                      </a:xfrm>
                      <a:prstGeom prst="line">
                        <a:avLst/>
                      </a:prstGeom>
                      <a:ln w="9525"/>
                      <a:effectLst/>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4C53FB0" id="Connector rect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margin;mso-height-relative:page" from="-85.05pt,283.5pt" to="-56.7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" strokecolor="black [3200]">
              <o:lock v:ext="edit" shapetype="f"/>
              <w10:wrap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D0E"/>
    <w:multiLevelType w:val="hybridMultilevel"/>
    <w:tmpl w:val="C3A67050"/>
    <w:lvl w:ilvl="0" w:tplc="04030017">
      <w:start w:val="1"/>
      <w:numFmt w:val="lowerLetter"/>
      <w:lvlText w:val="%1)"/>
      <w:lvlJc w:val="left"/>
      <w:pPr>
        <w:ind w:left="1342" w:hanging="360"/>
      </w:pPr>
    </w:lvl>
    <w:lvl w:ilvl="1" w:tplc="04030019" w:tentative="1">
      <w:start w:val="1"/>
      <w:numFmt w:val="lowerLetter"/>
      <w:lvlText w:val="%2."/>
      <w:lvlJc w:val="left"/>
      <w:pPr>
        <w:ind w:left="2062" w:hanging="360"/>
      </w:pPr>
    </w:lvl>
    <w:lvl w:ilvl="2" w:tplc="0403001B" w:tentative="1">
      <w:start w:val="1"/>
      <w:numFmt w:val="lowerRoman"/>
      <w:lvlText w:val="%3."/>
      <w:lvlJc w:val="right"/>
      <w:pPr>
        <w:ind w:left="2782" w:hanging="180"/>
      </w:pPr>
    </w:lvl>
    <w:lvl w:ilvl="3" w:tplc="0403000F" w:tentative="1">
      <w:start w:val="1"/>
      <w:numFmt w:val="decimal"/>
      <w:lvlText w:val="%4."/>
      <w:lvlJc w:val="left"/>
      <w:pPr>
        <w:ind w:left="3502" w:hanging="360"/>
      </w:pPr>
    </w:lvl>
    <w:lvl w:ilvl="4" w:tplc="04030019" w:tentative="1">
      <w:start w:val="1"/>
      <w:numFmt w:val="lowerLetter"/>
      <w:lvlText w:val="%5."/>
      <w:lvlJc w:val="left"/>
      <w:pPr>
        <w:ind w:left="4222" w:hanging="360"/>
      </w:pPr>
    </w:lvl>
    <w:lvl w:ilvl="5" w:tplc="0403001B" w:tentative="1">
      <w:start w:val="1"/>
      <w:numFmt w:val="lowerRoman"/>
      <w:lvlText w:val="%6."/>
      <w:lvlJc w:val="right"/>
      <w:pPr>
        <w:ind w:left="4942" w:hanging="180"/>
      </w:pPr>
    </w:lvl>
    <w:lvl w:ilvl="6" w:tplc="0403000F" w:tentative="1">
      <w:start w:val="1"/>
      <w:numFmt w:val="decimal"/>
      <w:lvlText w:val="%7."/>
      <w:lvlJc w:val="left"/>
      <w:pPr>
        <w:ind w:left="5662" w:hanging="360"/>
      </w:pPr>
    </w:lvl>
    <w:lvl w:ilvl="7" w:tplc="04030019" w:tentative="1">
      <w:start w:val="1"/>
      <w:numFmt w:val="lowerLetter"/>
      <w:lvlText w:val="%8."/>
      <w:lvlJc w:val="left"/>
      <w:pPr>
        <w:ind w:left="6382" w:hanging="360"/>
      </w:pPr>
    </w:lvl>
    <w:lvl w:ilvl="8" w:tplc="0403001B" w:tentative="1">
      <w:start w:val="1"/>
      <w:numFmt w:val="lowerRoman"/>
      <w:lvlText w:val="%9."/>
      <w:lvlJc w:val="right"/>
      <w:pPr>
        <w:ind w:left="7102" w:hanging="180"/>
      </w:pPr>
    </w:lvl>
  </w:abstractNum>
  <w:abstractNum w:abstractNumId="1" w15:restartNumberingAfterBreak="0">
    <w:nsid w:val="11076056"/>
    <w:multiLevelType w:val="hybridMultilevel"/>
    <w:tmpl w:val="F14CA292"/>
    <w:lvl w:ilvl="0" w:tplc="A2FE940C">
      <w:numFmt w:val="bullet"/>
      <w:lvlText w:val="-"/>
      <w:lvlJc w:val="left"/>
      <w:pPr>
        <w:ind w:left="1342"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2062" w:hanging="360"/>
      </w:pPr>
      <w:rPr>
        <w:rFonts w:ascii="Courier New" w:hAnsi="Courier New" w:cs="Courier New" w:hint="default"/>
      </w:rPr>
    </w:lvl>
    <w:lvl w:ilvl="2" w:tplc="04030005" w:tentative="1">
      <w:start w:val="1"/>
      <w:numFmt w:val="bullet"/>
      <w:lvlText w:val=""/>
      <w:lvlJc w:val="left"/>
      <w:pPr>
        <w:ind w:left="2782" w:hanging="360"/>
      </w:pPr>
      <w:rPr>
        <w:rFonts w:ascii="Wingdings" w:hAnsi="Wingdings" w:hint="default"/>
      </w:rPr>
    </w:lvl>
    <w:lvl w:ilvl="3" w:tplc="04030001" w:tentative="1">
      <w:start w:val="1"/>
      <w:numFmt w:val="bullet"/>
      <w:lvlText w:val=""/>
      <w:lvlJc w:val="left"/>
      <w:pPr>
        <w:ind w:left="3502" w:hanging="360"/>
      </w:pPr>
      <w:rPr>
        <w:rFonts w:ascii="Symbol" w:hAnsi="Symbol" w:hint="default"/>
      </w:rPr>
    </w:lvl>
    <w:lvl w:ilvl="4" w:tplc="04030003" w:tentative="1">
      <w:start w:val="1"/>
      <w:numFmt w:val="bullet"/>
      <w:lvlText w:val="o"/>
      <w:lvlJc w:val="left"/>
      <w:pPr>
        <w:ind w:left="4222" w:hanging="360"/>
      </w:pPr>
      <w:rPr>
        <w:rFonts w:ascii="Courier New" w:hAnsi="Courier New" w:cs="Courier New" w:hint="default"/>
      </w:rPr>
    </w:lvl>
    <w:lvl w:ilvl="5" w:tplc="04030005" w:tentative="1">
      <w:start w:val="1"/>
      <w:numFmt w:val="bullet"/>
      <w:lvlText w:val=""/>
      <w:lvlJc w:val="left"/>
      <w:pPr>
        <w:ind w:left="4942" w:hanging="360"/>
      </w:pPr>
      <w:rPr>
        <w:rFonts w:ascii="Wingdings" w:hAnsi="Wingdings" w:hint="default"/>
      </w:rPr>
    </w:lvl>
    <w:lvl w:ilvl="6" w:tplc="04030001" w:tentative="1">
      <w:start w:val="1"/>
      <w:numFmt w:val="bullet"/>
      <w:lvlText w:val=""/>
      <w:lvlJc w:val="left"/>
      <w:pPr>
        <w:ind w:left="5662" w:hanging="360"/>
      </w:pPr>
      <w:rPr>
        <w:rFonts w:ascii="Symbol" w:hAnsi="Symbol" w:hint="default"/>
      </w:rPr>
    </w:lvl>
    <w:lvl w:ilvl="7" w:tplc="04030003" w:tentative="1">
      <w:start w:val="1"/>
      <w:numFmt w:val="bullet"/>
      <w:lvlText w:val="o"/>
      <w:lvlJc w:val="left"/>
      <w:pPr>
        <w:ind w:left="6382" w:hanging="360"/>
      </w:pPr>
      <w:rPr>
        <w:rFonts w:ascii="Courier New" w:hAnsi="Courier New" w:cs="Courier New" w:hint="default"/>
      </w:rPr>
    </w:lvl>
    <w:lvl w:ilvl="8" w:tplc="04030005" w:tentative="1">
      <w:start w:val="1"/>
      <w:numFmt w:val="bullet"/>
      <w:lvlText w:val=""/>
      <w:lvlJc w:val="left"/>
      <w:pPr>
        <w:ind w:left="7102" w:hanging="360"/>
      </w:pPr>
      <w:rPr>
        <w:rFonts w:ascii="Wingdings" w:hAnsi="Wingdings" w:hint="default"/>
      </w:rPr>
    </w:lvl>
  </w:abstractNum>
  <w:abstractNum w:abstractNumId="2" w15:restartNumberingAfterBreak="0">
    <w:nsid w:val="11C5676E"/>
    <w:multiLevelType w:val="hybridMultilevel"/>
    <w:tmpl w:val="67664A12"/>
    <w:lvl w:ilvl="0" w:tplc="E1C27918">
      <w:start w:val="1"/>
      <w:numFmt w:val="bullet"/>
      <w:lvlText w:val="-"/>
      <w:lvlJc w:val="left"/>
      <w:pPr>
        <w:ind w:left="1211" w:hanging="360"/>
      </w:pPr>
      <w:rPr>
        <w:rFonts w:ascii="Times New Roman" w:hAnsi="Times New Roman" w:hint="default"/>
      </w:rPr>
    </w:lvl>
    <w:lvl w:ilvl="1" w:tplc="04030003" w:tentative="1">
      <w:start w:val="1"/>
      <w:numFmt w:val="bullet"/>
      <w:lvlText w:val="o"/>
      <w:lvlJc w:val="left"/>
      <w:pPr>
        <w:ind w:left="1931" w:hanging="360"/>
      </w:pPr>
      <w:rPr>
        <w:rFonts w:ascii="Courier New" w:hAnsi="Courier New" w:cs="Courier New" w:hint="default"/>
      </w:rPr>
    </w:lvl>
    <w:lvl w:ilvl="2" w:tplc="04030005" w:tentative="1">
      <w:start w:val="1"/>
      <w:numFmt w:val="bullet"/>
      <w:lvlText w:val=""/>
      <w:lvlJc w:val="left"/>
      <w:pPr>
        <w:ind w:left="2651" w:hanging="360"/>
      </w:pPr>
      <w:rPr>
        <w:rFonts w:ascii="Wingdings" w:hAnsi="Wingdings" w:hint="default"/>
      </w:rPr>
    </w:lvl>
    <w:lvl w:ilvl="3" w:tplc="04030001" w:tentative="1">
      <w:start w:val="1"/>
      <w:numFmt w:val="bullet"/>
      <w:lvlText w:val=""/>
      <w:lvlJc w:val="left"/>
      <w:pPr>
        <w:ind w:left="3371" w:hanging="360"/>
      </w:pPr>
      <w:rPr>
        <w:rFonts w:ascii="Symbol" w:hAnsi="Symbol" w:hint="default"/>
      </w:rPr>
    </w:lvl>
    <w:lvl w:ilvl="4" w:tplc="04030003" w:tentative="1">
      <w:start w:val="1"/>
      <w:numFmt w:val="bullet"/>
      <w:lvlText w:val="o"/>
      <w:lvlJc w:val="left"/>
      <w:pPr>
        <w:ind w:left="4091" w:hanging="360"/>
      </w:pPr>
      <w:rPr>
        <w:rFonts w:ascii="Courier New" w:hAnsi="Courier New" w:cs="Courier New" w:hint="default"/>
      </w:rPr>
    </w:lvl>
    <w:lvl w:ilvl="5" w:tplc="04030005" w:tentative="1">
      <w:start w:val="1"/>
      <w:numFmt w:val="bullet"/>
      <w:lvlText w:val=""/>
      <w:lvlJc w:val="left"/>
      <w:pPr>
        <w:ind w:left="4811" w:hanging="360"/>
      </w:pPr>
      <w:rPr>
        <w:rFonts w:ascii="Wingdings" w:hAnsi="Wingdings" w:hint="default"/>
      </w:rPr>
    </w:lvl>
    <w:lvl w:ilvl="6" w:tplc="04030001" w:tentative="1">
      <w:start w:val="1"/>
      <w:numFmt w:val="bullet"/>
      <w:lvlText w:val=""/>
      <w:lvlJc w:val="left"/>
      <w:pPr>
        <w:ind w:left="5531" w:hanging="360"/>
      </w:pPr>
      <w:rPr>
        <w:rFonts w:ascii="Symbol" w:hAnsi="Symbol" w:hint="default"/>
      </w:rPr>
    </w:lvl>
    <w:lvl w:ilvl="7" w:tplc="04030003" w:tentative="1">
      <w:start w:val="1"/>
      <w:numFmt w:val="bullet"/>
      <w:lvlText w:val="o"/>
      <w:lvlJc w:val="left"/>
      <w:pPr>
        <w:ind w:left="6251" w:hanging="360"/>
      </w:pPr>
      <w:rPr>
        <w:rFonts w:ascii="Courier New" w:hAnsi="Courier New" w:cs="Courier New" w:hint="default"/>
      </w:rPr>
    </w:lvl>
    <w:lvl w:ilvl="8" w:tplc="04030005" w:tentative="1">
      <w:start w:val="1"/>
      <w:numFmt w:val="bullet"/>
      <w:lvlText w:val=""/>
      <w:lvlJc w:val="left"/>
      <w:pPr>
        <w:ind w:left="6971" w:hanging="360"/>
      </w:pPr>
      <w:rPr>
        <w:rFonts w:ascii="Wingdings" w:hAnsi="Wingdings" w:hint="default"/>
      </w:rPr>
    </w:lvl>
  </w:abstractNum>
  <w:abstractNum w:abstractNumId="3" w15:restartNumberingAfterBreak="0">
    <w:nsid w:val="24A04B4B"/>
    <w:multiLevelType w:val="hybridMultilevel"/>
    <w:tmpl w:val="7B6A1E5C"/>
    <w:lvl w:ilvl="0" w:tplc="177EB8D0">
      <w:start w:val="1"/>
      <w:numFmt w:val="decimal"/>
      <w:pStyle w:val="Ttol2"/>
      <w:lvlText w:val="%1."/>
      <w:lvlJc w:val="left"/>
      <w:pPr>
        <w:ind w:left="1805" w:hanging="245"/>
      </w:pPr>
      <w:rPr>
        <w:rFonts w:ascii="Arial" w:eastAsia="Arial" w:hAnsi="Arial" w:cs="Arial" w:hint="default"/>
        <w:b/>
        <w:bCs/>
        <w:i w:val="0"/>
        <w:iCs/>
        <w:spacing w:val="-1"/>
        <w:w w:val="100"/>
        <w:sz w:val="22"/>
        <w:szCs w:val="22"/>
        <w:lang w:val="ca-ES" w:eastAsia="ca-ES" w:bidi="ca-ES"/>
      </w:rPr>
    </w:lvl>
    <w:lvl w:ilvl="1" w:tplc="CEB0EE10">
      <w:numFmt w:val="bullet"/>
      <w:lvlText w:val="•"/>
      <w:lvlJc w:val="left"/>
      <w:pPr>
        <w:ind w:left="1754" w:hanging="245"/>
      </w:pPr>
      <w:rPr>
        <w:rFonts w:hint="default"/>
        <w:lang w:val="ca-ES" w:eastAsia="ca-ES" w:bidi="ca-ES"/>
      </w:rPr>
    </w:lvl>
    <w:lvl w:ilvl="2" w:tplc="9E54A2EE">
      <w:numFmt w:val="bullet"/>
      <w:lvlText w:val="•"/>
      <w:lvlJc w:val="left"/>
      <w:pPr>
        <w:ind w:left="2649" w:hanging="245"/>
      </w:pPr>
      <w:rPr>
        <w:rFonts w:hint="default"/>
        <w:lang w:val="ca-ES" w:eastAsia="ca-ES" w:bidi="ca-ES"/>
      </w:rPr>
    </w:lvl>
    <w:lvl w:ilvl="3" w:tplc="1298987E">
      <w:numFmt w:val="bullet"/>
      <w:lvlText w:val="•"/>
      <w:lvlJc w:val="left"/>
      <w:pPr>
        <w:ind w:left="3543" w:hanging="245"/>
      </w:pPr>
      <w:rPr>
        <w:rFonts w:hint="default"/>
        <w:lang w:val="ca-ES" w:eastAsia="ca-ES" w:bidi="ca-ES"/>
      </w:rPr>
    </w:lvl>
    <w:lvl w:ilvl="4" w:tplc="9008ED50">
      <w:numFmt w:val="bullet"/>
      <w:lvlText w:val="•"/>
      <w:lvlJc w:val="left"/>
      <w:pPr>
        <w:ind w:left="4438" w:hanging="245"/>
      </w:pPr>
      <w:rPr>
        <w:rFonts w:hint="default"/>
        <w:lang w:val="ca-ES" w:eastAsia="ca-ES" w:bidi="ca-ES"/>
      </w:rPr>
    </w:lvl>
    <w:lvl w:ilvl="5" w:tplc="BA7257BE">
      <w:numFmt w:val="bullet"/>
      <w:lvlText w:val="•"/>
      <w:lvlJc w:val="left"/>
      <w:pPr>
        <w:ind w:left="5333" w:hanging="245"/>
      </w:pPr>
      <w:rPr>
        <w:rFonts w:hint="default"/>
        <w:lang w:val="ca-ES" w:eastAsia="ca-ES" w:bidi="ca-ES"/>
      </w:rPr>
    </w:lvl>
    <w:lvl w:ilvl="6" w:tplc="B0D6B302">
      <w:numFmt w:val="bullet"/>
      <w:lvlText w:val="•"/>
      <w:lvlJc w:val="left"/>
      <w:pPr>
        <w:ind w:left="6227" w:hanging="245"/>
      </w:pPr>
      <w:rPr>
        <w:rFonts w:hint="default"/>
        <w:lang w:val="ca-ES" w:eastAsia="ca-ES" w:bidi="ca-ES"/>
      </w:rPr>
    </w:lvl>
    <w:lvl w:ilvl="7" w:tplc="EE12C1BA">
      <w:numFmt w:val="bullet"/>
      <w:lvlText w:val="•"/>
      <w:lvlJc w:val="left"/>
      <w:pPr>
        <w:ind w:left="7122" w:hanging="245"/>
      </w:pPr>
      <w:rPr>
        <w:rFonts w:hint="default"/>
        <w:lang w:val="ca-ES" w:eastAsia="ca-ES" w:bidi="ca-ES"/>
      </w:rPr>
    </w:lvl>
    <w:lvl w:ilvl="8" w:tplc="80606ACC">
      <w:numFmt w:val="bullet"/>
      <w:lvlText w:val="•"/>
      <w:lvlJc w:val="left"/>
      <w:pPr>
        <w:ind w:left="8017" w:hanging="245"/>
      </w:pPr>
      <w:rPr>
        <w:rFonts w:hint="default"/>
        <w:lang w:val="ca-ES" w:eastAsia="ca-ES" w:bidi="ca-ES"/>
      </w:rPr>
    </w:lvl>
  </w:abstractNum>
  <w:abstractNum w:abstractNumId="4" w15:restartNumberingAfterBreak="0">
    <w:nsid w:val="2A400C54"/>
    <w:multiLevelType w:val="hybridMultilevel"/>
    <w:tmpl w:val="A1D0172C"/>
    <w:lvl w:ilvl="0" w:tplc="A2FE940C">
      <w:numFmt w:val="bullet"/>
      <w:lvlText w:val="-"/>
      <w:lvlJc w:val="left"/>
      <w:pPr>
        <w:ind w:left="1342"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2062" w:hanging="360"/>
      </w:pPr>
      <w:rPr>
        <w:rFonts w:ascii="Courier New" w:hAnsi="Courier New" w:cs="Courier New" w:hint="default"/>
      </w:rPr>
    </w:lvl>
    <w:lvl w:ilvl="2" w:tplc="04030005" w:tentative="1">
      <w:start w:val="1"/>
      <w:numFmt w:val="bullet"/>
      <w:lvlText w:val=""/>
      <w:lvlJc w:val="left"/>
      <w:pPr>
        <w:ind w:left="2782" w:hanging="360"/>
      </w:pPr>
      <w:rPr>
        <w:rFonts w:ascii="Wingdings" w:hAnsi="Wingdings" w:hint="default"/>
      </w:rPr>
    </w:lvl>
    <w:lvl w:ilvl="3" w:tplc="04030001" w:tentative="1">
      <w:start w:val="1"/>
      <w:numFmt w:val="bullet"/>
      <w:lvlText w:val=""/>
      <w:lvlJc w:val="left"/>
      <w:pPr>
        <w:ind w:left="3502" w:hanging="360"/>
      </w:pPr>
      <w:rPr>
        <w:rFonts w:ascii="Symbol" w:hAnsi="Symbol" w:hint="default"/>
      </w:rPr>
    </w:lvl>
    <w:lvl w:ilvl="4" w:tplc="04030003" w:tentative="1">
      <w:start w:val="1"/>
      <w:numFmt w:val="bullet"/>
      <w:lvlText w:val="o"/>
      <w:lvlJc w:val="left"/>
      <w:pPr>
        <w:ind w:left="4222" w:hanging="360"/>
      </w:pPr>
      <w:rPr>
        <w:rFonts w:ascii="Courier New" w:hAnsi="Courier New" w:cs="Courier New" w:hint="default"/>
      </w:rPr>
    </w:lvl>
    <w:lvl w:ilvl="5" w:tplc="04030005" w:tentative="1">
      <w:start w:val="1"/>
      <w:numFmt w:val="bullet"/>
      <w:lvlText w:val=""/>
      <w:lvlJc w:val="left"/>
      <w:pPr>
        <w:ind w:left="4942" w:hanging="360"/>
      </w:pPr>
      <w:rPr>
        <w:rFonts w:ascii="Wingdings" w:hAnsi="Wingdings" w:hint="default"/>
      </w:rPr>
    </w:lvl>
    <w:lvl w:ilvl="6" w:tplc="04030001" w:tentative="1">
      <w:start w:val="1"/>
      <w:numFmt w:val="bullet"/>
      <w:lvlText w:val=""/>
      <w:lvlJc w:val="left"/>
      <w:pPr>
        <w:ind w:left="5662" w:hanging="360"/>
      </w:pPr>
      <w:rPr>
        <w:rFonts w:ascii="Symbol" w:hAnsi="Symbol" w:hint="default"/>
      </w:rPr>
    </w:lvl>
    <w:lvl w:ilvl="7" w:tplc="04030003" w:tentative="1">
      <w:start w:val="1"/>
      <w:numFmt w:val="bullet"/>
      <w:lvlText w:val="o"/>
      <w:lvlJc w:val="left"/>
      <w:pPr>
        <w:ind w:left="6382" w:hanging="360"/>
      </w:pPr>
      <w:rPr>
        <w:rFonts w:ascii="Courier New" w:hAnsi="Courier New" w:cs="Courier New" w:hint="default"/>
      </w:rPr>
    </w:lvl>
    <w:lvl w:ilvl="8" w:tplc="04030005" w:tentative="1">
      <w:start w:val="1"/>
      <w:numFmt w:val="bullet"/>
      <w:lvlText w:val=""/>
      <w:lvlJc w:val="left"/>
      <w:pPr>
        <w:ind w:left="7102" w:hanging="360"/>
      </w:pPr>
      <w:rPr>
        <w:rFonts w:ascii="Wingdings" w:hAnsi="Wingdings" w:hint="default"/>
      </w:rPr>
    </w:lvl>
  </w:abstractNum>
  <w:abstractNum w:abstractNumId="5" w15:restartNumberingAfterBreak="0">
    <w:nsid w:val="38DB5CB1"/>
    <w:multiLevelType w:val="hybridMultilevel"/>
    <w:tmpl w:val="9B2ED9EE"/>
    <w:lvl w:ilvl="0" w:tplc="24ECDB30">
      <w:numFmt w:val="bullet"/>
      <w:lvlText w:val="-"/>
      <w:lvlJc w:val="left"/>
      <w:pPr>
        <w:ind w:left="1154" w:hanging="360"/>
      </w:pPr>
      <w:rPr>
        <w:rFonts w:ascii="Calibri" w:eastAsiaTheme="minorHAnsi" w:hAnsi="Calibri" w:cs="Calibri"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6" w15:restartNumberingAfterBreak="0">
    <w:nsid w:val="44D55DA1"/>
    <w:multiLevelType w:val="hybridMultilevel"/>
    <w:tmpl w:val="4A54D9E6"/>
    <w:lvl w:ilvl="0" w:tplc="04030017">
      <w:start w:val="5"/>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BB47A44"/>
    <w:multiLevelType w:val="multilevel"/>
    <w:tmpl w:val="BA82BD2E"/>
    <w:lvl w:ilvl="0">
      <w:start w:val="7"/>
      <w:numFmt w:val="decimal"/>
      <w:lvlText w:val="%1"/>
      <w:lvlJc w:val="left"/>
      <w:pPr>
        <w:ind w:left="360" w:hanging="360"/>
      </w:pPr>
      <w:rPr>
        <w:rFonts w:hint="default"/>
        <w:color w:val="984806" w:themeColor="accent6" w:themeShade="80"/>
      </w:rPr>
    </w:lvl>
    <w:lvl w:ilvl="1">
      <w:start w:val="3"/>
      <w:numFmt w:val="decimal"/>
      <w:lvlText w:val="%1.%2"/>
      <w:lvlJc w:val="left"/>
      <w:pPr>
        <w:ind w:left="360" w:hanging="360"/>
      </w:pPr>
      <w:rPr>
        <w:rFonts w:hint="default"/>
        <w:color w:val="984806" w:themeColor="accent6" w:themeShade="80"/>
      </w:rPr>
    </w:lvl>
    <w:lvl w:ilvl="2">
      <w:start w:val="1"/>
      <w:numFmt w:val="decimal"/>
      <w:lvlText w:val="%1.%2.%3"/>
      <w:lvlJc w:val="left"/>
      <w:pPr>
        <w:ind w:left="720" w:hanging="720"/>
      </w:pPr>
      <w:rPr>
        <w:rFonts w:hint="default"/>
        <w:color w:val="984806" w:themeColor="accent6" w:themeShade="80"/>
      </w:rPr>
    </w:lvl>
    <w:lvl w:ilvl="3">
      <w:start w:val="1"/>
      <w:numFmt w:val="decimal"/>
      <w:lvlText w:val="%1.%2.%3.%4"/>
      <w:lvlJc w:val="left"/>
      <w:pPr>
        <w:ind w:left="720" w:hanging="720"/>
      </w:pPr>
      <w:rPr>
        <w:rFonts w:hint="default"/>
        <w:color w:val="984806" w:themeColor="accent6" w:themeShade="80"/>
      </w:rPr>
    </w:lvl>
    <w:lvl w:ilvl="4">
      <w:start w:val="1"/>
      <w:numFmt w:val="decimal"/>
      <w:lvlText w:val="%1.%2.%3.%4.%5"/>
      <w:lvlJc w:val="left"/>
      <w:pPr>
        <w:ind w:left="1080" w:hanging="1080"/>
      </w:pPr>
      <w:rPr>
        <w:rFonts w:hint="default"/>
        <w:color w:val="984806" w:themeColor="accent6" w:themeShade="80"/>
      </w:rPr>
    </w:lvl>
    <w:lvl w:ilvl="5">
      <w:start w:val="1"/>
      <w:numFmt w:val="decimal"/>
      <w:lvlText w:val="%1.%2.%3.%4.%5.%6"/>
      <w:lvlJc w:val="left"/>
      <w:pPr>
        <w:ind w:left="1080" w:hanging="1080"/>
      </w:pPr>
      <w:rPr>
        <w:rFonts w:hint="default"/>
        <w:color w:val="984806" w:themeColor="accent6" w:themeShade="80"/>
      </w:rPr>
    </w:lvl>
    <w:lvl w:ilvl="6">
      <w:start w:val="1"/>
      <w:numFmt w:val="decimal"/>
      <w:lvlText w:val="%1.%2.%3.%4.%5.%6.%7"/>
      <w:lvlJc w:val="left"/>
      <w:pPr>
        <w:ind w:left="1440" w:hanging="1440"/>
      </w:pPr>
      <w:rPr>
        <w:rFonts w:hint="default"/>
        <w:color w:val="984806" w:themeColor="accent6" w:themeShade="80"/>
      </w:rPr>
    </w:lvl>
    <w:lvl w:ilvl="7">
      <w:start w:val="1"/>
      <w:numFmt w:val="decimal"/>
      <w:lvlText w:val="%1.%2.%3.%4.%5.%6.%7.%8"/>
      <w:lvlJc w:val="left"/>
      <w:pPr>
        <w:ind w:left="1440" w:hanging="1440"/>
      </w:pPr>
      <w:rPr>
        <w:rFonts w:hint="default"/>
        <w:color w:val="984806" w:themeColor="accent6" w:themeShade="80"/>
      </w:rPr>
    </w:lvl>
    <w:lvl w:ilvl="8">
      <w:start w:val="1"/>
      <w:numFmt w:val="decimal"/>
      <w:lvlText w:val="%1.%2.%3.%4.%5.%6.%7.%8.%9"/>
      <w:lvlJc w:val="left"/>
      <w:pPr>
        <w:ind w:left="1800" w:hanging="1800"/>
      </w:pPr>
      <w:rPr>
        <w:rFonts w:hint="default"/>
        <w:color w:val="984806" w:themeColor="accent6" w:themeShade="80"/>
      </w:rPr>
    </w:lvl>
  </w:abstractNum>
  <w:abstractNum w:abstractNumId="8" w15:restartNumberingAfterBreak="0">
    <w:nsid w:val="53C454E5"/>
    <w:multiLevelType w:val="multilevel"/>
    <w:tmpl w:val="19DC6C60"/>
    <w:lvl w:ilvl="0">
      <w:start w:val="2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FA336F5"/>
    <w:multiLevelType w:val="multilevel"/>
    <w:tmpl w:val="7060AAE8"/>
    <w:lvl w:ilvl="0">
      <w:start w:val="1"/>
      <w:numFmt w:val="decimal"/>
      <w:pStyle w:val="Titol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8444B3E"/>
    <w:multiLevelType w:val="hybridMultilevel"/>
    <w:tmpl w:val="96746B6C"/>
    <w:lvl w:ilvl="0" w:tplc="24ECDB30">
      <w:numFmt w:val="bullet"/>
      <w:lvlText w:val="-"/>
      <w:lvlJc w:val="left"/>
      <w:pPr>
        <w:ind w:left="1068" w:hanging="360"/>
      </w:pPr>
      <w:rPr>
        <w:rFonts w:ascii="Calibri" w:eastAsiaTheme="minorHAnsi" w:hAnsi="Calibri" w:cs="Calibri"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16cid:durableId="1378553806">
    <w:abstractNumId w:val="3"/>
  </w:num>
  <w:num w:numId="2" w16cid:durableId="229779154">
    <w:abstractNumId w:val="0"/>
  </w:num>
  <w:num w:numId="3" w16cid:durableId="1037386279">
    <w:abstractNumId w:val="1"/>
  </w:num>
  <w:num w:numId="4" w16cid:durableId="922497434">
    <w:abstractNumId w:val="4"/>
  </w:num>
  <w:num w:numId="5" w16cid:durableId="1299870773">
    <w:abstractNumId w:val="10"/>
  </w:num>
  <w:num w:numId="6" w16cid:durableId="1001472502">
    <w:abstractNumId w:val="5"/>
  </w:num>
  <w:num w:numId="7" w16cid:durableId="1386561795">
    <w:abstractNumId w:val="3"/>
    <w:lvlOverride w:ilvl="0">
      <w:startOverride w:val="1"/>
    </w:lvlOverride>
  </w:num>
  <w:num w:numId="8" w16cid:durableId="1860772133">
    <w:abstractNumId w:val="9"/>
  </w:num>
  <w:num w:numId="9" w16cid:durableId="1414012737">
    <w:abstractNumId w:val="6"/>
  </w:num>
  <w:num w:numId="10" w16cid:durableId="278604699">
    <w:abstractNumId w:val="7"/>
  </w:num>
  <w:num w:numId="11" w16cid:durableId="452596608">
    <w:abstractNumId w:val="8"/>
  </w:num>
  <w:num w:numId="12" w16cid:durableId="535124715">
    <w:abstractNumId w:val="9"/>
  </w:num>
  <w:num w:numId="13" w16cid:durableId="156166939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cumentProtection w:edit="readOnly" w:formatting="1" w:enforcement="0"/>
  <w:styleLockTheme/>
  <w:styleLockQFSet/>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21"/>
    <w:rsid w:val="00010145"/>
    <w:rsid w:val="00013A33"/>
    <w:rsid w:val="000177EA"/>
    <w:rsid w:val="00017E9F"/>
    <w:rsid w:val="00026BDC"/>
    <w:rsid w:val="00030099"/>
    <w:rsid w:val="00040397"/>
    <w:rsid w:val="00040602"/>
    <w:rsid w:val="00041C1C"/>
    <w:rsid w:val="00045FAA"/>
    <w:rsid w:val="00046472"/>
    <w:rsid w:val="0005758E"/>
    <w:rsid w:val="0006111E"/>
    <w:rsid w:val="0007161A"/>
    <w:rsid w:val="000765E1"/>
    <w:rsid w:val="00081A24"/>
    <w:rsid w:val="000827BB"/>
    <w:rsid w:val="000834E2"/>
    <w:rsid w:val="000870B4"/>
    <w:rsid w:val="00096F34"/>
    <w:rsid w:val="000974F5"/>
    <w:rsid w:val="000A2ACF"/>
    <w:rsid w:val="000B32F4"/>
    <w:rsid w:val="000B33C1"/>
    <w:rsid w:val="000B7E98"/>
    <w:rsid w:val="000C083B"/>
    <w:rsid w:val="000C68EE"/>
    <w:rsid w:val="000D5F89"/>
    <w:rsid w:val="000E5F19"/>
    <w:rsid w:val="000E77F1"/>
    <w:rsid w:val="000F0559"/>
    <w:rsid w:val="000F6363"/>
    <w:rsid w:val="001031BB"/>
    <w:rsid w:val="0011012E"/>
    <w:rsid w:val="00112EF5"/>
    <w:rsid w:val="001155E9"/>
    <w:rsid w:val="00117B28"/>
    <w:rsid w:val="001333FA"/>
    <w:rsid w:val="001348F3"/>
    <w:rsid w:val="00136027"/>
    <w:rsid w:val="00143E96"/>
    <w:rsid w:val="001446D2"/>
    <w:rsid w:val="00144777"/>
    <w:rsid w:val="0015296D"/>
    <w:rsid w:val="001547E3"/>
    <w:rsid w:val="00155E54"/>
    <w:rsid w:val="001574A5"/>
    <w:rsid w:val="00160CBF"/>
    <w:rsid w:val="00160E84"/>
    <w:rsid w:val="0016322A"/>
    <w:rsid w:val="001645E8"/>
    <w:rsid w:val="00174BDC"/>
    <w:rsid w:val="001767D3"/>
    <w:rsid w:val="00185B81"/>
    <w:rsid w:val="00191C48"/>
    <w:rsid w:val="0019221B"/>
    <w:rsid w:val="00192B2A"/>
    <w:rsid w:val="00192E7A"/>
    <w:rsid w:val="00193014"/>
    <w:rsid w:val="00195C0B"/>
    <w:rsid w:val="00196004"/>
    <w:rsid w:val="001965ED"/>
    <w:rsid w:val="001972B6"/>
    <w:rsid w:val="001A0CE7"/>
    <w:rsid w:val="001A16B6"/>
    <w:rsid w:val="001A5974"/>
    <w:rsid w:val="001A661D"/>
    <w:rsid w:val="001A6964"/>
    <w:rsid w:val="001A7B7E"/>
    <w:rsid w:val="001C068F"/>
    <w:rsid w:val="001C4BB2"/>
    <w:rsid w:val="001C61D7"/>
    <w:rsid w:val="001C6F8A"/>
    <w:rsid w:val="001C7390"/>
    <w:rsid w:val="001C7796"/>
    <w:rsid w:val="001D1EB4"/>
    <w:rsid w:val="001D6CEF"/>
    <w:rsid w:val="001D6FE4"/>
    <w:rsid w:val="001D75A6"/>
    <w:rsid w:val="001E2013"/>
    <w:rsid w:val="001E4381"/>
    <w:rsid w:val="001E5EAC"/>
    <w:rsid w:val="001F4AB7"/>
    <w:rsid w:val="001F696E"/>
    <w:rsid w:val="00210DF7"/>
    <w:rsid w:val="0021479F"/>
    <w:rsid w:val="00215213"/>
    <w:rsid w:val="002158AF"/>
    <w:rsid w:val="0022678A"/>
    <w:rsid w:val="00230B69"/>
    <w:rsid w:val="00234398"/>
    <w:rsid w:val="00242D23"/>
    <w:rsid w:val="0024585A"/>
    <w:rsid w:val="002610C3"/>
    <w:rsid w:val="00273344"/>
    <w:rsid w:val="0027722F"/>
    <w:rsid w:val="00282952"/>
    <w:rsid w:val="00284837"/>
    <w:rsid w:val="00284B97"/>
    <w:rsid w:val="00287BF3"/>
    <w:rsid w:val="00294872"/>
    <w:rsid w:val="00296636"/>
    <w:rsid w:val="002B0207"/>
    <w:rsid w:val="002B05D9"/>
    <w:rsid w:val="002B7758"/>
    <w:rsid w:val="002C3029"/>
    <w:rsid w:val="002D15A8"/>
    <w:rsid w:val="002D56F6"/>
    <w:rsid w:val="002D689E"/>
    <w:rsid w:val="002E0853"/>
    <w:rsid w:val="002E1994"/>
    <w:rsid w:val="002E5C89"/>
    <w:rsid w:val="002E7868"/>
    <w:rsid w:val="002F4778"/>
    <w:rsid w:val="002F55BD"/>
    <w:rsid w:val="003131BB"/>
    <w:rsid w:val="00315865"/>
    <w:rsid w:val="00316420"/>
    <w:rsid w:val="00316C94"/>
    <w:rsid w:val="00333228"/>
    <w:rsid w:val="00340BC6"/>
    <w:rsid w:val="003420E6"/>
    <w:rsid w:val="0034445C"/>
    <w:rsid w:val="003444D8"/>
    <w:rsid w:val="00344760"/>
    <w:rsid w:val="00345050"/>
    <w:rsid w:val="00346816"/>
    <w:rsid w:val="003556CA"/>
    <w:rsid w:val="003615B4"/>
    <w:rsid w:val="003616BA"/>
    <w:rsid w:val="00370521"/>
    <w:rsid w:val="003773F0"/>
    <w:rsid w:val="00381ADC"/>
    <w:rsid w:val="0038488E"/>
    <w:rsid w:val="003A1010"/>
    <w:rsid w:val="003A137F"/>
    <w:rsid w:val="003C49BA"/>
    <w:rsid w:val="003C7FD5"/>
    <w:rsid w:val="003D06F9"/>
    <w:rsid w:val="003D148E"/>
    <w:rsid w:val="003D4589"/>
    <w:rsid w:val="003D58B4"/>
    <w:rsid w:val="003E2D0B"/>
    <w:rsid w:val="003E590C"/>
    <w:rsid w:val="003F25F5"/>
    <w:rsid w:val="003F42D6"/>
    <w:rsid w:val="003F4BB6"/>
    <w:rsid w:val="003F7014"/>
    <w:rsid w:val="004000EF"/>
    <w:rsid w:val="0040462B"/>
    <w:rsid w:val="00411703"/>
    <w:rsid w:val="00421D53"/>
    <w:rsid w:val="00422308"/>
    <w:rsid w:val="00425EE7"/>
    <w:rsid w:val="004302FE"/>
    <w:rsid w:val="0043679B"/>
    <w:rsid w:val="00440DF0"/>
    <w:rsid w:val="00441317"/>
    <w:rsid w:val="0044267B"/>
    <w:rsid w:val="00447919"/>
    <w:rsid w:val="00447B76"/>
    <w:rsid w:val="0045641A"/>
    <w:rsid w:val="00456EA4"/>
    <w:rsid w:val="00465194"/>
    <w:rsid w:val="004678A3"/>
    <w:rsid w:val="00471F01"/>
    <w:rsid w:val="0047335C"/>
    <w:rsid w:val="00481300"/>
    <w:rsid w:val="00495A41"/>
    <w:rsid w:val="00497E12"/>
    <w:rsid w:val="004A2CD0"/>
    <w:rsid w:val="004A3CD6"/>
    <w:rsid w:val="004A43E7"/>
    <w:rsid w:val="004A4DA6"/>
    <w:rsid w:val="004B1833"/>
    <w:rsid w:val="004B1FA6"/>
    <w:rsid w:val="004B3DCE"/>
    <w:rsid w:val="004C616C"/>
    <w:rsid w:val="004F0964"/>
    <w:rsid w:val="004F0B85"/>
    <w:rsid w:val="004F22B7"/>
    <w:rsid w:val="004F5A45"/>
    <w:rsid w:val="00501759"/>
    <w:rsid w:val="00507E60"/>
    <w:rsid w:val="0051087D"/>
    <w:rsid w:val="005140D1"/>
    <w:rsid w:val="0051607A"/>
    <w:rsid w:val="00520235"/>
    <w:rsid w:val="00526E8F"/>
    <w:rsid w:val="00526F45"/>
    <w:rsid w:val="0053363A"/>
    <w:rsid w:val="00535213"/>
    <w:rsid w:val="005361EA"/>
    <w:rsid w:val="005373F6"/>
    <w:rsid w:val="0054040F"/>
    <w:rsid w:val="005420DA"/>
    <w:rsid w:val="00542806"/>
    <w:rsid w:val="005453F8"/>
    <w:rsid w:val="00546DDD"/>
    <w:rsid w:val="00555AB2"/>
    <w:rsid w:val="00557721"/>
    <w:rsid w:val="005630A1"/>
    <w:rsid w:val="005716AC"/>
    <w:rsid w:val="00571A62"/>
    <w:rsid w:val="00574BAA"/>
    <w:rsid w:val="005772B2"/>
    <w:rsid w:val="0058333B"/>
    <w:rsid w:val="00584194"/>
    <w:rsid w:val="005876DE"/>
    <w:rsid w:val="005911DC"/>
    <w:rsid w:val="005A039F"/>
    <w:rsid w:val="005A41A9"/>
    <w:rsid w:val="005A5B53"/>
    <w:rsid w:val="005A658C"/>
    <w:rsid w:val="005A7BE5"/>
    <w:rsid w:val="005B2550"/>
    <w:rsid w:val="005B50AC"/>
    <w:rsid w:val="005C0D96"/>
    <w:rsid w:val="005C347E"/>
    <w:rsid w:val="005D49E5"/>
    <w:rsid w:val="005D78F7"/>
    <w:rsid w:val="005E18E9"/>
    <w:rsid w:val="005E5BFC"/>
    <w:rsid w:val="005E5D60"/>
    <w:rsid w:val="005F1A30"/>
    <w:rsid w:val="005F3A4B"/>
    <w:rsid w:val="005F703C"/>
    <w:rsid w:val="0060153E"/>
    <w:rsid w:val="00610B62"/>
    <w:rsid w:val="006164A9"/>
    <w:rsid w:val="00617564"/>
    <w:rsid w:val="006265F8"/>
    <w:rsid w:val="00631C48"/>
    <w:rsid w:val="006327B4"/>
    <w:rsid w:val="00646DC8"/>
    <w:rsid w:val="00650A28"/>
    <w:rsid w:val="006528F5"/>
    <w:rsid w:val="00654285"/>
    <w:rsid w:val="00654BFC"/>
    <w:rsid w:val="00656653"/>
    <w:rsid w:val="00664F1A"/>
    <w:rsid w:val="00672C1C"/>
    <w:rsid w:val="0067541A"/>
    <w:rsid w:val="006826B8"/>
    <w:rsid w:val="00697F1B"/>
    <w:rsid w:val="006A02FC"/>
    <w:rsid w:val="006A21D5"/>
    <w:rsid w:val="006A250E"/>
    <w:rsid w:val="006A2C9A"/>
    <w:rsid w:val="006A56F3"/>
    <w:rsid w:val="006A673A"/>
    <w:rsid w:val="006B16DE"/>
    <w:rsid w:val="006B3567"/>
    <w:rsid w:val="006C11D5"/>
    <w:rsid w:val="006C1B18"/>
    <w:rsid w:val="006C29D2"/>
    <w:rsid w:val="006D01C4"/>
    <w:rsid w:val="006D1B85"/>
    <w:rsid w:val="006E25E2"/>
    <w:rsid w:val="006E52FF"/>
    <w:rsid w:val="006E6AE0"/>
    <w:rsid w:val="006E709E"/>
    <w:rsid w:val="006F15A5"/>
    <w:rsid w:val="006F167D"/>
    <w:rsid w:val="006F250F"/>
    <w:rsid w:val="006F299F"/>
    <w:rsid w:val="0070319D"/>
    <w:rsid w:val="007032B4"/>
    <w:rsid w:val="00712CE5"/>
    <w:rsid w:val="00714785"/>
    <w:rsid w:val="00717641"/>
    <w:rsid w:val="00724D30"/>
    <w:rsid w:val="00744082"/>
    <w:rsid w:val="00752EC3"/>
    <w:rsid w:val="007557F5"/>
    <w:rsid w:val="007626C7"/>
    <w:rsid w:val="007641CC"/>
    <w:rsid w:val="00782637"/>
    <w:rsid w:val="0078672A"/>
    <w:rsid w:val="007910A4"/>
    <w:rsid w:val="00793944"/>
    <w:rsid w:val="00793D00"/>
    <w:rsid w:val="007A5775"/>
    <w:rsid w:val="007C166A"/>
    <w:rsid w:val="007C4D7E"/>
    <w:rsid w:val="007D1A14"/>
    <w:rsid w:val="007D2C42"/>
    <w:rsid w:val="007D30FA"/>
    <w:rsid w:val="007D5D6F"/>
    <w:rsid w:val="007E0A6B"/>
    <w:rsid w:val="007E3300"/>
    <w:rsid w:val="007E4562"/>
    <w:rsid w:val="007E5DD9"/>
    <w:rsid w:val="007F3BEF"/>
    <w:rsid w:val="007F65E0"/>
    <w:rsid w:val="007F6610"/>
    <w:rsid w:val="00804E17"/>
    <w:rsid w:val="00807B90"/>
    <w:rsid w:val="00815C81"/>
    <w:rsid w:val="00816073"/>
    <w:rsid w:val="00821324"/>
    <w:rsid w:val="00821BE3"/>
    <w:rsid w:val="00833270"/>
    <w:rsid w:val="008337EA"/>
    <w:rsid w:val="00836B38"/>
    <w:rsid w:val="00840095"/>
    <w:rsid w:val="00841D6B"/>
    <w:rsid w:val="00844FC4"/>
    <w:rsid w:val="00850B88"/>
    <w:rsid w:val="008547AC"/>
    <w:rsid w:val="00856B4E"/>
    <w:rsid w:val="008634B0"/>
    <w:rsid w:val="00867118"/>
    <w:rsid w:val="00871B55"/>
    <w:rsid w:val="00880093"/>
    <w:rsid w:val="00886FA3"/>
    <w:rsid w:val="00890240"/>
    <w:rsid w:val="008976DA"/>
    <w:rsid w:val="008A22B8"/>
    <w:rsid w:val="008A3918"/>
    <w:rsid w:val="008A479B"/>
    <w:rsid w:val="008B211C"/>
    <w:rsid w:val="008B711D"/>
    <w:rsid w:val="008C0D1D"/>
    <w:rsid w:val="008C3523"/>
    <w:rsid w:val="008C523A"/>
    <w:rsid w:val="008C5F29"/>
    <w:rsid w:val="008C68C2"/>
    <w:rsid w:val="008D033E"/>
    <w:rsid w:val="008D1B1C"/>
    <w:rsid w:val="008D51C1"/>
    <w:rsid w:val="008D55E3"/>
    <w:rsid w:val="008E45BE"/>
    <w:rsid w:val="008E5FFA"/>
    <w:rsid w:val="008F380C"/>
    <w:rsid w:val="008F4E8B"/>
    <w:rsid w:val="008F51BA"/>
    <w:rsid w:val="00914ADA"/>
    <w:rsid w:val="0092058E"/>
    <w:rsid w:val="00921906"/>
    <w:rsid w:val="009220FD"/>
    <w:rsid w:val="00927584"/>
    <w:rsid w:val="009307C3"/>
    <w:rsid w:val="009359BC"/>
    <w:rsid w:val="00937DFC"/>
    <w:rsid w:val="009434AA"/>
    <w:rsid w:val="00947A2D"/>
    <w:rsid w:val="00965633"/>
    <w:rsid w:val="009705BE"/>
    <w:rsid w:val="00982453"/>
    <w:rsid w:val="009856C8"/>
    <w:rsid w:val="009A0905"/>
    <w:rsid w:val="009A1474"/>
    <w:rsid w:val="009A15CF"/>
    <w:rsid w:val="009A2A13"/>
    <w:rsid w:val="009A3E77"/>
    <w:rsid w:val="009A462B"/>
    <w:rsid w:val="009A56D9"/>
    <w:rsid w:val="009A779B"/>
    <w:rsid w:val="009B11E9"/>
    <w:rsid w:val="009B131E"/>
    <w:rsid w:val="009B18EB"/>
    <w:rsid w:val="009B33F9"/>
    <w:rsid w:val="009B3EF1"/>
    <w:rsid w:val="009B58D9"/>
    <w:rsid w:val="009B69AC"/>
    <w:rsid w:val="009B7B22"/>
    <w:rsid w:val="009C03BB"/>
    <w:rsid w:val="009C15A3"/>
    <w:rsid w:val="009C7B5E"/>
    <w:rsid w:val="009D2749"/>
    <w:rsid w:val="009D3C53"/>
    <w:rsid w:val="009D5356"/>
    <w:rsid w:val="009D6D14"/>
    <w:rsid w:val="009E0154"/>
    <w:rsid w:val="009E2450"/>
    <w:rsid w:val="009E6B47"/>
    <w:rsid w:val="009F08B5"/>
    <w:rsid w:val="009F319F"/>
    <w:rsid w:val="009F7349"/>
    <w:rsid w:val="00A01399"/>
    <w:rsid w:val="00A03EAF"/>
    <w:rsid w:val="00A05E3D"/>
    <w:rsid w:val="00A10318"/>
    <w:rsid w:val="00A10484"/>
    <w:rsid w:val="00A138BC"/>
    <w:rsid w:val="00A1434F"/>
    <w:rsid w:val="00A34DD9"/>
    <w:rsid w:val="00A36A99"/>
    <w:rsid w:val="00A36F0F"/>
    <w:rsid w:val="00A37750"/>
    <w:rsid w:val="00A454C1"/>
    <w:rsid w:val="00A46810"/>
    <w:rsid w:val="00A57648"/>
    <w:rsid w:val="00A66CDB"/>
    <w:rsid w:val="00A7067B"/>
    <w:rsid w:val="00A71396"/>
    <w:rsid w:val="00A80F71"/>
    <w:rsid w:val="00A81612"/>
    <w:rsid w:val="00A84520"/>
    <w:rsid w:val="00A85B12"/>
    <w:rsid w:val="00A871F1"/>
    <w:rsid w:val="00A90514"/>
    <w:rsid w:val="00A947AD"/>
    <w:rsid w:val="00AA0CA5"/>
    <w:rsid w:val="00AA25D0"/>
    <w:rsid w:val="00AA28DF"/>
    <w:rsid w:val="00AB3E68"/>
    <w:rsid w:val="00AC2D25"/>
    <w:rsid w:val="00AC5224"/>
    <w:rsid w:val="00AC666E"/>
    <w:rsid w:val="00AD562A"/>
    <w:rsid w:val="00AE0126"/>
    <w:rsid w:val="00AE53EA"/>
    <w:rsid w:val="00AE63D0"/>
    <w:rsid w:val="00AF51D1"/>
    <w:rsid w:val="00AF6ADA"/>
    <w:rsid w:val="00B039D8"/>
    <w:rsid w:val="00B04AD2"/>
    <w:rsid w:val="00B05F48"/>
    <w:rsid w:val="00B079FD"/>
    <w:rsid w:val="00B13645"/>
    <w:rsid w:val="00B16E29"/>
    <w:rsid w:val="00B17C28"/>
    <w:rsid w:val="00B20646"/>
    <w:rsid w:val="00B222C3"/>
    <w:rsid w:val="00B2653E"/>
    <w:rsid w:val="00B26E0E"/>
    <w:rsid w:val="00B3018B"/>
    <w:rsid w:val="00B45939"/>
    <w:rsid w:val="00B459A6"/>
    <w:rsid w:val="00B4697C"/>
    <w:rsid w:val="00B53BFA"/>
    <w:rsid w:val="00B541F5"/>
    <w:rsid w:val="00B5695B"/>
    <w:rsid w:val="00B6212E"/>
    <w:rsid w:val="00B62F2F"/>
    <w:rsid w:val="00B64FAB"/>
    <w:rsid w:val="00B761BB"/>
    <w:rsid w:val="00B935F7"/>
    <w:rsid w:val="00B979CD"/>
    <w:rsid w:val="00BA75E1"/>
    <w:rsid w:val="00BB21B8"/>
    <w:rsid w:val="00BB70B3"/>
    <w:rsid w:val="00BC2E3F"/>
    <w:rsid w:val="00BC3E27"/>
    <w:rsid w:val="00BD144C"/>
    <w:rsid w:val="00BE0F84"/>
    <w:rsid w:val="00BE4333"/>
    <w:rsid w:val="00BF267C"/>
    <w:rsid w:val="00BF5FA7"/>
    <w:rsid w:val="00C116B3"/>
    <w:rsid w:val="00C165BF"/>
    <w:rsid w:val="00C22332"/>
    <w:rsid w:val="00C2448A"/>
    <w:rsid w:val="00C2746F"/>
    <w:rsid w:val="00C30C88"/>
    <w:rsid w:val="00C33B45"/>
    <w:rsid w:val="00C40D15"/>
    <w:rsid w:val="00C46C8A"/>
    <w:rsid w:val="00C54A24"/>
    <w:rsid w:val="00C63475"/>
    <w:rsid w:val="00C634A7"/>
    <w:rsid w:val="00C63DD6"/>
    <w:rsid w:val="00C648B0"/>
    <w:rsid w:val="00C6502B"/>
    <w:rsid w:val="00C7718C"/>
    <w:rsid w:val="00C87E6E"/>
    <w:rsid w:val="00C87FCC"/>
    <w:rsid w:val="00C9129E"/>
    <w:rsid w:val="00C9432C"/>
    <w:rsid w:val="00C959B2"/>
    <w:rsid w:val="00CA5129"/>
    <w:rsid w:val="00CB3A73"/>
    <w:rsid w:val="00CB5EB9"/>
    <w:rsid w:val="00CC07E4"/>
    <w:rsid w:val="00CC1F21"/>
    <w:rsid w:val="00CC2EB7"/>
    <w:rsid w:val="00CC5B25"/>
    <w:rsid w:val="00CD223F"/>
    <w:rsid w:val="00CD3114"/>
    <w:rsid w:val="00CD45B6"/>
    <w:rsid w:val="00CD4868"/>
    <w:rsid w:val="00CE054A"/>
    <w:rsid w:val="00CE7445"/>
    <w:rsid w:val="00CF5CCE"/>
    <w:rsid w:val="00D0013E"/>
    <w:rsid w:val="00D00353"/>
    <w:rsid w:val="00D10DC1"/>
    <w:rsid w:val="00D12CF6"/>
    <w:rsid w:val="00D12E50"/>
    <w:rsid w:val="00D16011"/>
    <w:rsid w:val="00D1655D"/>
    <w:rsid w:val="00D16F72"/>
    <w:rsid w:val="00D214B3"/>
    <w:rsid w:val="00D21A83"/>
    <w:rsid w:val="00D241D1"/>
    <w:rsid w:val="00D32F9B"/>
    <w:rsid w:val="00D33510"/>
    <w:rsid w:val="00D372BF"/>
    <w:rsid w:val="00D37523"/>
    <w:rsid w:val="00D6019F"/>
    <w:rsid w:val="00D63621"/>
    <w:rsid w:val="00D63A2E"/>
    <w:rsid w:val="00D66631"/>
    <w:rsid w:val="00D724C0"/>
    <w:rsid w:val="00D82B06"/>
    <w:rsid w:val="00D83F3E"/>
    <w:rsid w:val="00D86317"/>
    <w:rsid w:val="00D94CFF"/>
    <w:rsid w:val="00DA6238"/>
    <w:rsid w:val="00DA6B9E"/>
    <w:rsid w:val="00DA6FCF"/>
    <w:rsid w:val="00DC2295"/>
    <w:rsid w:val="00DC27EF"/>
    <w:rsid w:val="00DC492C"/>
    <w:rsid w:val="00DC5A06"/>
    <w:rsid w:val="00DC6085"/>
    <w:rsid w:val="00DC6535"/>
    <w:rsid w:val="00DD4629"/>
    <w:rsid w:val="00DE00E3"/>
    <w:rsid w:val="00DE14FA"/>
    <w:rsid w:val="00DF147C"/>
    <w:rsid w:val="00E10897"/>
    <w:rsid w:val="00E211B3"/>
    <w:rsid w:val="00E22951"/>
    <w:rsid w:val="00E24615"/>
    <w:rsid w:val="00E2589B"/>
    <w:rsid w:val="00E266E0"/>
    <w:rsid w:val="00E35E4C"/>
    <w:rsid w:val="00E45FA8"/>
    <w:rsid w:val="00E47BEF"/>
    <w:rsid w:val="00E50C3E"/>
    <w:rsid w:val="00E62636"/>
    <w:rsid w:val="00E638FA"/>
    <w:rsid w:val="00E65D3D"/>
    <w:rsid w:val="00E7157D"/>
    <w:rsid w:val="00E7384F"/>
    <w:rsid w:val="00E76FAD"/>
    <w:rsid w:val="00E86D52"/>
    <w:rsid w:val="00E900EF"/>
    <w:rsid w:val="00E91494"/>
    <w:rsid w:val="00E97074"/>
    <w:rsid w:val="00EA67F2"/>
    <w:rsid w:val="00EB216B"/>
    <w:rsid w:val="00EC203E"/>
    <w:rsid w:val="00EC4C38"/>
    <w:rsid w:val="00ED0A64"/>
    <w:rsid w:val="00ED40A2"/>
    <w:rsid w:val="00ED7149"/>
    <w:rsid w:val="00EE024A"/>
    <w:rsid w:val="00EE396E"/>
    <w:rsid w:val="00EE6C2B"/>
    <w:rsid w:val="00EF4C55"/>
    <w:rsid w:val="00F01685"/>
    <w:rsid w:val="00F1031A"/>
    <w:rsid w:val="00F1107C"/>
    <w:rsid w:val="00F142A8"/>
    <w:rsid w:val="00F170AF"/>
    <w:rsid w:val="00F174B5"/>
    <w:rsid w:val="00F17E90"/>
    <w:rsid w:val="00F244FD"/>
    <w:rsid w:val="00F30AF1"/>
    <w:rsid w:val="00F3451D"/>
    <w:rsid w:val="00F36579"/>
    <w:rsid w:val="00F440DE"/>
    <w:rsid w:val="00F46B93"/>
    <w:rsid w:val="00F50387"/>
    <w:rsid w:val="00F513B4"/>
    <w:rsid w:val="00F5728D"/>
    <w:rsid w:val="00F6246B"/>
    <w:rsid w:val="00F62C16"/>
    <w:rsid w:val="00F6382B"/>
    <w:rsid w:val="00F66CDD"/>
    <w:rsid w:val="00F83DD8"/>
    <w:rsid w:val="00F854F1"/>
    <w:rsid w:val="00F87F32"/>
    <w:rsid w:val="00F96690"/>
    <w:rsid w:val="00F96A49"/>
    <w:rsid w:val="00FA1B0D"/>
    <w:rsid w:val="00FA3B0A"/>
    <w:rsid w:val="00FA6BCB"/>
    <w:rsid w:val="00FB0B48"/>
    <w:rsid w:val="00FB28C7"/>
    <w:rsid w:val="00FB424A"/>
    <w:rsid w:val="00FB5BF0"/>
    <w:rsid w:val="00FB6226"/>
    <w:rsid w:val="00FC1669"/>
    <w:rsid w:val="00FC2C17"/>
    <w:rsid w:val="00FC4FF8"/>
    <w:rsid w:val="00FC615A"/>
    <w:rsid w:val="00FD52E1"/>
    <w:rsid w:val="00FD74BE"/>
    <w:rsid w:val="00FF7F25"/>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E02AA7"/>
  <w15:docId w15:val="{F6A21534-1666-47BF-9F46-2BAE7E416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 w:eastAsia="es-ES"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A57648"/>
    <w:rPr>
      <w:rFonts w:ascii="Arial" w:hAnsi="Arial"/>
      <w:sz w:val="22"/>
    </w:rPr>
  </w:style>
  <w:style w:type="paragraph" w:styleId="Ttol1">
    <w:name w:val="heading 1"/>
    <w:basedOn w:val="Ttol2"/>
    <w:next w:val="Normal"/>
    <w:link w:val="Ttol1Car"/>
    <w:uiPriority w:val="9"/>
    <w:qFormat/>
    <w:locked/>
    <w:rsid w:val="001574A5"/>
    <w:pPr>
      <w:ind w:left="866" w:hanging="245"/>
      <w:outlineLvl w:val="0"/>
    </w:pPr>
  </w:style>
  <w:style w:type="paragraph" w:styleId="Ttol2">
    <w:name w:val="heading 2"/>
    <w:basedOn w:val="Normal"/>
    <w:next w:val="Normal"/>
    <w:link w:val="Ttol2Car"/>
    <w:uiPriority w:val="9"/>
    <w:unhideWhenUsed/>
    <w:qFormat/>
    <w:locked/>
    <w:rsid w:val="00CA5129"/>
    <w:pPr>
      <w:widowControl w:val="0"/>
      <w:numPr>
        <w:numId w:val="1"/>
      </w:numPr>
      <w:autoSpaceDE w:val="0"/>
      <w:autoSpaceDN w:val="0"/>
      <w:spacing w:before="400" w:after="200"/>
      <w:ind w:left="868" w:hanging="244"/>
      <w:jc w:val="both"/>
      <w:outlineLvl w:val="1"/>
    </w:pPr>
    <w:rPr>
      <w:rFonts w:eastAsiaTheme="majorEastAsia" w:cstheme="majorBidi"/>
      <w:b/>
      <w:szCs w:val="2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locked/>
    <w:rsid w:val="006C1B18"/>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6C1B18"/>
    <w:rPr>
      <w:rFonts w:ascii="Lucida Grande" w:hAnsi="Lucida Grande" w:cs="Lucida Grande"/>
      <w:sz w:val="18"/>
      <w:szCs w:val="18"/>
      <w:lang w:val="es"/>
    </w:rPr>
  </w:style>
  <w:style w:type="paragraph" w:styleId="Capalera">
    <w:name w:val="header"/>
    <w:basedOn w:val="Normal"/>
    <w:link w:val="CapaleraCar"/>
    <w:uiPriority w:val="99"/>
    <w:unhideWhenUsed/>
    <w:rsid w:val="00B04AD2"/>
    <w:pPr>
      <w:tabs>
        <w:tab w:val="center" w:pos="4252"/>
        <w:tab w:val="right" w:pos="8504"/>
      </w:tabs>
    </w:pPr>
  </w:style>
  <w:style w:type="character" w:customStyle="1" w:styleId="CapaleraCar">
    <w:name w:val="Capçalera Car"/>
    <w:basedOn w:val="Lletraperdefectedelpargraf"/>
    <w:link w:val="Capalera"/>
    <w:uiPriority w:val="99"/>
    <w:rsid w:val="00B04AD2"/>
    <w:rPr>
      <w:lang w:val="es"/>
    </w:rPr>
  </w:style>
  <w:style w:type="paragraph" w:styleId="Peu">
    <w:name w:val="footer"/>
    <w:basedOn w:val="Normal"/>
    <w:link w:val="PeuCar"/>
    <w:uiPriority w:val="99"/>
    <w:unhideWhenUsed/>
    <w:rsid w:val="00B04AD2"/>
    <w:pPr>
      <w:tabs>
        <w:tab w:val="center" w:pos="4252"/>
        <w:tab w:val="right" w:pos="8504"/>
      </w:tabs>
    </w:pPr>
  </w:style>
  <w:style w:type="character" w:customStyle="1" w:styleId="PeuCar">
    <w:name w:val="Peu Car"/>
    <w:basedOn w:val="Lletraperdefectedelpargraf"/>
    <w:link w:val="Peu"/>
    <w:uiPriority w:val="99"/>
    <w:rsid w:val="00B04AD2"/>
    <w:rPr>
      <w:lang w:val="es"/>
    </w:rPr>
  </w:style>
  <w:style w:type="paragraph" w:styleId="Senseespaiat">
    <w:name w:val="No Spacing"/>
    <w:uiPriority w:val="1"/>
    <w:locked/>
    <w:rsid w:val="00A57648"/>
    <w:rPr>
      <w:rFonts w:ascii="Arial" w:hAnsi="Arial"/>
      <w:sz w:val="22"/>
    </w:rPr>
  </w:style>
  <w:style w:type="character" w:customStyle="1" w:styleId="Ttol1Car">
    <w:name w:val="Títol 1 Car"/>
    <w:basedOn w:val="Lletraperdefectedelpargraf"/>
    <w:link w:val="Ttol1"/>
    <w:uiPriority w:val="9"/>
    <w:rsid w:val="001574A5"/>
    <w:rPr>
      <w:rFonts w:ascii="Arial" w:eastAsiaTheme="majorEastAsia" w:hAnsi="Arial" w:cstheme="majorBidi"/>
      <w:b/>
      <w:sz w:val="22"/>
      <w:szCs w:val="26"/>
      <w:lang w:val="es"/>
    </w:rPr>
  </w:style>
  <w:style w:type="character" w:customStyle="1" w:styleId="Ttol2Car">
    <w:name w:val="Títol 2 Car"/>
    <w:basedOn w:val="Lletraperdefectedelpargraf"/>
    <w:link w:val="Ttol2"/>
    <w:uiPriority w:val="9"/>
    <w:rsid w:val="00CA5129"/>
    <w:rPr>
      <w:rFonts w:ascii="Arial" w:eastAsiaTheme="majorEastAsia" w:hAnsi="Arial" w:cstheme="majorBidi"/>
      <w:b/>
      <w:sz w:val="22"/>
      <w:szCs w:val="26"/>
      <w:lang w:val="es"/>
    </w:rPr>
  </w:style>
  <w:style w:type="paragraph" w:styleId="NormalWeb">
    <w:name w:val="Normal (Web)"/>
    <w:basedOn w:val="Normal"/>
    <w:uiPriority w:val="99"/>
    <w:semiHidden/>
    <w:unhideWhenUsed/>
    <w:locked/>
    <w:rsid w:val="00B3018B"/>
    <w:pPr>
      <w:spacing w:before="100" w:beforeAutospacing="1" w:after="100" w:afterAutospacing="1"/>
    </w:pPr>
    <w:rPr>
      <w:rFonts w:ascii="Times New Roman" w:eastAsia="Times New Roman" w:hAnsi="Times New Roman" w:cs="Times New Roman"/>
      <w:sz w:val="24"/>
      <w:lang w:eastAsia="ca-ES"/>
    </w:rPr>
  </w:style>
  <w:style w:type="paragraph" w:customStyle="1" w:styleId="card-wrappertitle">
    <w:name w:val="card-wrapper_title"/>
    <w:basedOn w:val="Normal"/>
    <w:rsid w:val="00B3018B"/>
    <w:pPr>
      <w:spacing w:before="100" w:beforeAutospacing="1" w:after="100" w:afterAutospacing="1"/>
    </w:pPr>
    <w:rPr>
      <w:rFonts w:ascii="Times New Roman" w:eastAsia="Times New Roman" w:hAnsi="Times New Roman" w:cs="Times New Roman"/>
      <w:sz w:val="24"/>
      <w:lang w:eastAsia="ca-ES"/>
    </w:rPr>
  </w:style>
  <w:style w:type="character" w:styleId="Enlla">
    <w:name w:val="Hyperlink"/>
    <w:basedOn w:val="Lletraperdefectedelpargraf"/>
    <w:uiPriority w:val="99"/>
    <w:unhideWhenUsed/>
    <w:locked/>
    <w:rsid w:val="00B3018B"/>
    <w:rPr>
      <w:color w:val="0000FF"/>
      <w:u w:val="single"/>
    </w:rPr>
  </w:style>
  <w:style w:type="character" w:customStyle="1" w:styleId="list-group-item-wrapper-content">
    <w:name w:val="list-group-item-wrapper-content"/>
    <w:basedOn w:val="Lletraperdefectedelpargraf"/>
    <w:rsid w:val="00B3018B"/>
  </w:style>
  <w:style w:type="character" w:customStyle="1" w:styleId="sr-only">
    <w:name w:val="sr-only"/>
    <w:basedOn w:val="Lletraperdefectedelpargraf"/>
    <w:rsid w:val="00B3018B"/>
  </w:style>
  <w:style w:type="paragraph" w:customStyle="1" w:styleId="list-group-item">
    <w:name w:val="list-group-item"/>
    <w:basedOn w:val="Normal"/>
    <w:rsid w:val="00B3018B"/>
    <w:pPr>
      <w:spacing w:before="100" w:beforeAutospacing="1" w:after="100" w:afterAutospacing="1"/>
    </w:pPr>
    <w:rPr>
      <w:rFonts w:ascii="Times New Roman" w:eastAsia="Times New Roman" w:hAnsi="Times New Roman" w:cs="Times New Roman"/>
      <w:sz w:val="24"/>
      <w:lang w:eastAsia="ca-ES"/>
    </w:rPr>
  </w:style>
  <w:style w:type="paragraph" w:customStyle="1" w:styleId="ancores">
    <w:name w:val="ancores"/>
    <w:basedOn w:val="Normal"/>
    <w:rsid w:val="00B3018B"/>
    <w:pPr>
      <w:spacing w:before="100" w:beforeAutospacing="1" w:after="100" w:afterAutospacing="1"/>
    </w:pPr>
    <w:rPr>
      <w:rFonts w:ascii="Times New Roman" w:eastAsia="Times New Roman" w:hAnsi="Times New Roman" w:cs="Times New Roman"/>
      <w:sz w:val="24"/>
      <w:lang w:eastAsia="ca-ES"/>
    </w:rPr>
  </w:style>
  <w:style w:type="character" w:styleId="Textennegreta">
    <w:name w:val="Strong"/>
    <w:basedOn w:val="Lletraperdefectedelpargraf"/>
    <w:uiPriority w:val="22"/>
    <w:qFormat/>
    <w:locked/>
    <w:rsid w:val="00B3018B"/>
    <w:rPr>
      <w:b/>
      <w:bCs/>
    </w:rPr>
  </w:style>
  <w:style w:type="paragraph" w:styleId="Revisi">
    <w:name w:val="Revision"/>
    <w:hidden/>
    <w:uiPriority w:val="99"/>
    <w:semiHidden/>
    <w:rsid w:val="00B3018B"/>
    <w:rPr>
      <w:rFonts w:ascii="Arial" w:hAnsi="Arial"/>
      <w:sz w:val="22"/>
    </w:rPr>
  </w:style>
  <w:style w:type="character" w:styleId="Refernciadecomentari">
    <w:name w:val="annotation reference"/>
    <w:basedOn w:val="Lletraperdefectedelpargraf"/>
    <w:uiPriority w:val="99"/>
    <w:semiHidden/>
    <w:unhideWhenUsed/>
    <w:locked/>
    <w:rsid w:val="008976DA"/>
    <w:rPr>
      <w:sz w:val="16"/>
      <w:szCs w:val="16"/>
    </w:rPr>
  </w:style>
  <w:style w:type="paragraph" w:styleId="Textdecomentari">
    <w:name w:val="annotation text"/>
    <w:basedOn w:val="Normal"/>
    <w:link w:val="TextdecomentariCar"/>
    <w:uiPriority w:val="99"/>
    <w:unhideWhenUsed/>
    <w:locked/>
    <w:rsid w:val="008976DA"/>
    <w:rPr>
      <w:sz w:val="20"/>
      <w:szCs w:val="20"/>
    </w:rPr>
  </w:style>
  <w:style w:type="character" w:customStyle="1" w:styleId="TextdecomentariCar">
    <w:name w:val="Text de comentari Car"/>
    <w:basedOn w:val="Lletraperdefectedelpargraf"/>
    <w:link w:val="Textdecomentari"/>
    <w:uiPriority w:val="99"/>
    <w:rsid w:val="008976DA"/>
    <w:rPr>
      <w:rFonts w:ascii="Arial" w:hAnsi="Arial"/>
      <w:sz w:val="20"/>
      <w:szCs w:val="20"/>
      <w:lang w:val="es"/>
    </w:rPr>
  </w:style>
  <w:style w:type="paragraph" w:styleId="Temadelcomentari">
    <w:name w:val="annotation subject"/>
    <w:basedOn w:val="Textdecomentari"/>
    <w:next w:val="Textdecomentari"/>
    <w:link w:val="TemadelcomentariCar"/>
    <w:uiPriority w:val="99"/>
    <w:semiHidden/>
    <w:unhideWhenUsed/>
    <w:locked/>
    <w:rsid w:val="008976DA"/>
    <w:rPr>
      <w:b/>
      <w:bCs/>
    </w:rPr>
  </w:style>
  <w:style w:type="character" w:customStyle="1" w:styleId="TemadelcomentariCar">
    <w:name w:val="Tema del comentari Car"/>
    <w:basedOn w:val="TextdecomentariCar"/>
    <w:link w:val="Temadelcomentari"/>
    <w:uiPriority w:val="99"/>
    <w:semiHidden/>
    <w:rsid w:val="008976DA"/>
    <w:rPr>
      <w:rFonts w:ascii="Arial" w:hAnsi="Arial"/>
      <w:b/>
      <w:bCs/>
      <w:sz w:val="20"/>
      <w:szCs w:val="20"/>
      <w:lang w:val="es"/>
    </w:rPr>
  </w:style>
  <w:style w:type="table" w:customStyle="1" w:styleId="TableNormal">
    <w:name w:val="Table Normal"/>
    <w:uiPriority w:val="2"/>
    <w:semiHidden/>
    <w:unhideWhenUsed/>
    <w:qFormat/>
    <w:rsid w:val="00346816"/>
    <w:pPr>
      <w:widowControl w:val="0"/>
      <w:autoSpaceDE w:val="0"/>
      <w:autoSpaceDN w:val="0"/>
    </w:pPr>
    <w:rPr>
      <w:rFonts w:eastAsiaTheme="minorHAnsi"/>
      <w:sz w:val="22"/>
      <w:szCs w:val="22"/>
      <w:lang w:eastAsia="en-US"/>
    </w:rPr>
    <w:tblPr>
      <w:tblInd w:w="0" w:type="dxa"/>
      <w:tblCellMar>
        <w:top w:w="0" w:type="dxa"/>
        <w:left w:w="0" w:type="dxa"/>
        <w:bottom w:w="0" w:type="dxa"/>
        <w:right w:w="0" w:type="dxa"/>
      </w:tblCellMar>
    </w:tblPr>
  </w:style>
  <w:style w:type="paragraph" w:styleId="IDC1">
    <w:name w:val="toc 1"/>
    <w:basedOn w:val="Normal"/>
    <w:uiPriority w:val="1"/>
    <w:qFormat/>
    <w:locked/>
    <w:rsid w:val="00346816"/>
    <w:pPr>
      <w:widowControl w:val="0"/>
      <w:autoSpaceDE w:val="0"/>
      <w:autoSpaceDN w:val="0"/>
      <w:spacing w:before="100"/>
      <w:ind w:left="1049" w:hanging="428"/>
    </w:pPr>
    <w:rPr>
      <w:rFonts w:eastAsia="Arial" w:cs="Arial"/>
      <w:szCs w:val="22"/>
      <w:lang w:eastAsia="ca-ES" w:bidi="ca-ES"/>
    </w:rPr>
  </w:style>
  <w:style w:type="paragraph" w:styleId="Textindependent">
    <w:name w:val="Body Text"/>
    <w:basedOn w:val="Normal"/>
    <w:link w:val="TextindependentCar"/>
    <w:uiPriority w:val="1"/>
    <w:qFormat/>
    <w:locked/>
    <w:rsid w:val="004A43E7"/>
    <w:pPr>
      <w:widowControl w:val="0"/>
      <w:autoSpaceDE w:val="0"/>
      <w:autoSpaceDN w:val="0"/>
      <w:spacing w:after="200"/>
      <w:jc w:val="both"/>
    </w:pPr>
    <w:rPr>
      <w:rFonts w:eastAsia="Arial" w:cs="Arial"/>
      <w:szCs w:val="22"/>
      <w:lang w:eastAsia="ca-ES" w:bidi="ca-ES"/>
    </w:rPr>
  </w:style>
  <w:style w:type="character" w:customStyle="1" w:styleId="TextindependentCar">
    <w:name w:val="Text independent Car"/>
    <w:basedOn w:val="Lletraperdefectedelpargraf"/>
    <w:link w:val="Textindependent"/>
    <w:uiPriority w:val="1"/>
    <w:rsid w:val="004A43E7"/>
    <w:rPr>
      <w:rFonts w:ascii="Arial" w:eastAsia="Arial" w:hAnsi="Arial" w:cs="Arial"/>
      <w:sz w:val="22"/>
      <w:szCs w:val="22"/>
      <w:lang w:val="es" w:eastAsia="ca-ES" w:bidi="ca-ES"/>
    </w:rPr>
  </w:style>
  <w:style w:type="paragraph" w:styleId="Pargrafdellista">
    <w:name w:val="List Paragraph"/>
    <w:basedOn w:val="Normal"/>
    <w:uiPriority w:val="1"/>
    <w:qFormat/>
    <w:locked/>
    <w:rsid w:val="00CA5129"/>
    <w:pPr>
      <w:widowControl w:val="0"/>
      <w:autoSpaceDE w:val="0"/>
      <w:autoSpaceDN w:val="0"/>
      <w:spacing w:after="200"/>
      <w:ind w:left="624"/>
    </w:pPr>
    <w:rPr>
      <w:rFonts w:eastAsia="Arial" w:cs="Arial"/>
      <w:szCs w:val="22"/>
      <w:lang w:eastAsia="ca-ES" w:bidi="ca-ES"/>
    </w:rPr>
  </w:style>
  <w:style w:type="paragraph" w:customStyle="1" w:styleId="TableParagraph">
    <w:name w:val="Table Paragraph"/>
    <w:basedOn w:val="Normal"/>
    <w:uiPriority w:val="1"/>
    <w:qFormat/>
    <w:rsid w:val="00346816"/>
    <w:pPr>
      <w:widowControl w:val="0"/>
      <w:autoSpaceDE w:val="0"/>
      <w:autoSpaceDN w:val="0"/>
      <w:spacing w:before="24"/>
    </w:pPr>
    <w:rPr>
      <w:rFonts w:eastAsia="Arial" w:cs="Arial"/>
      <w:szCs w:val="22"/>
      <w:lang w:eastAsia="ca-ES" w:bidi="ca-ES"/>
    </w:rPr>
  </w:style>
  <w:style w:type="character" w:styleId="Mencisenseresoldre">
    <w:name w:val="Unresolved Mention"/>
    <w:basedOn w:val="Lletraperdefectedelpargraf"/>
    <w:uiPriority w:val="99"/>
    <w:semiHidden/>
    <w:unhideWhenUsed/>
    <w:rsid w:val="006A250E"/>
    <w:rPr>
      <w:color w:val="605E5C"/>
      <w:shd w:val="clear" w:color="auto" w:fill="E1DFDD"/>
    </w:rPr>
  </w:style>
  <w:style w:type="paragraph" w:customStyle="1" w:styleId="Titol2">
    <w:name w:val="Titol 2"/>
    <w:basedOn w:val="Pargrafdellista"/>
    <w:link w:val="Titol2Char"/>
    <w:rsid w:val="00F96A49"/>
    <w:pPr>
      <w:widowControl/>
      <w:numPr>
        <w:numId w:val="8"/>
      </w:numPr>
      <w:tabs>
        <w:tab w:val="left" w:pos="5400"/>
      </w:tabs>
      <w:autoSpaceDE/>
      <w:autoSpaceDN/>
      <w:spacing w:before="300" w:after="100" w:line="276" w:lineRule="auto"/>
      <w:contextualSpacing/>
    </w:pPr>
    <w:rPr>
      <w:rFonts w:eastAsia="Calibri"/>
      <w:color w:val="984806" w:themeColor="accent6" w:themeShade="80"/>
      <w:lang w:eastAsia="en-US" w:bidi="ar-SA"/>
    </w:rPr>
  </w:style>
  <w:style w:type="character" w:customStyle="1" w:styleId="Titol2Char">
    <w:name w:val="Titol 2 Char"/>
    <w:basedOn w:val="Lletraperdefectedelpargraf"/>
    <w:link w:val="Titol2"/>
    <w:rsid w:val="00F96A49"/>
    <w:rPr>
      <w:rFonts w:ascii="Arial" w:eastAsia="Calibri" w:hAnsi="Arial" w:cs="Arial"/>
      <w:color w:val="984806" w:themeColor="accent6" w:themeShade="80"/>
      <w:sz w:val="22"/>
      <w:szCs w:val="22"/>
      <w:lang w:val="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27199">
      <w:bodyDiv w:val="1"/>
      <w:marLeft w:val="0"/>
      <w:marRight w:val="0"/>
      <w:marTop w:val="0"/>
      <w:marBottom w:val="0"/>
      <w:divBdr>
        <w:top w:val="none" w:sz="0" w:space="0" w:color="auto"/>
        <w:left w:val="none" w:sz="0" w:space="0" w:color="auto"/>
        <w:bottom w:val="none" w:sz="0" w:space="0" w:color="auto"/>
        <w:right w:val="none" w:sz="0" w:space="0" w:color="auto"/>
      </w:divBdr>
      <w:divsChild>
        <w:div w:id="2027167446">
          <w:marLeft w:val="0"/>
          <w:marRight w:val="0"/>
          <w:marTop w:val="0"/>
          <w:marBottom w:val="0"/>
          <w:divBdr>
            <w:top w:val="none" w:sz="0" w:space="0" w:color="auto"/>
            <w:left w:val="none" w:sz="0" w:space="0" w:color="auto"/>
            <w:bottom w:val="none" w:sz="0" w:space="0" w:color="auto"/>
            <w:right w:val="none" w:sz="0" w:space="0" w:color="auto"/>
          </w:divBdr>
        </w:div>
      </w:divsChild>
    </w:div>
    <w:div w:id="472599313">
      <w:bodyDiv w:val="1"/>
      <w:marLeft w:val="0"/>
      <w:marRight w:val="0"/>
      <w:marTop w:val="0"/>
      <w:marBottom w:val="0"/>
      <w:divBdr>
        <w:top w:val="none" w:sz="0" w:space="0" w:color="auto"/>
        <w:left w:val="none" w:sz="0" w:space="0" w:color="auto"/>
        <w:bottom w:val="none" w:sz="0" w:space="0" w:color="auto"/>
        <w:right w:val="none" w:sz="0" w:space="0" w:color="auto"/>
      </w:divBdr>
      <w:divsChild>
        <w:div w:id="149180362">
          <w:marLeft w:val="-225"/>
          <w:marRight w:val="-225"/>
          <w:marTop w:val="0"/>
          <w:marBottom w:val="0"/>
          <w:divBdr>
            <w:top w:val="none" w:sz="0" w:space="0" w:color="auto"/>
            <w:left w:val="none" w:sz="0" w:space="0" w:color="auto"/>
            <w:bottom w:val="none" w:sz="0" w:space="0" w:color="auto"/>
            <w:right w:val="none" w:sz="0" w:space="0" w:color="auto"/>
          </w:divBdr>
          <w:divsChild>
            <w:div w:id="124782339">
              <w:marLeft w:val="0"/>
              <w:marRight w:val="0"/>
              <w:marTop w:val="0"/>
              <w:marBottom w:val="0"/>
              <w:divBdr>
                <w:top w:val="none" w:sz="0" w:space="0" w:color="auto"/>
                <w:left w:val="none" w:sz="0" w:space="0" w:color="auto"/>
                <w:bottom w:val="none" w:sz="0" w:space="0" w:color="auto"/>
                <w:right w:val="none" w:sz="0" w:space="0" w:color="auto"/>
              </w:divBdr>
              <w:divsChild>
                <w:div w:id="2090345451">
                  <w:marLeft w:val="0"/>
                  <w:marRight w:val="0"/>
                  <w:marTop w:val="0"/>
                  <w:marBottom w:val="0"/>
                  <w:divBdr>
                    <w:top w:val="none" w:sz="0" w:space="0" w:color="auto"/>
                    <w:left w:val="none" w:sz="0" w:space="0" w:color="auto"/>
                    <w:bottom w:val="none" w:sz="0" w:space="0" w:color="auto"/>
                    <w:right w:val="none" w:sz="0" w:space="0" w:color="auto"/>
                  </w:divBdr>
                  <w:divsChild>
                    <w:div w:id="1702900306">
                      <w:marLeft w:val="0"/>
                      <w:marRight w:val="0"/>
                      <w:marTop w:val="0"/>
                      <w:marBottom w:val="0"/>
                      <w:divBdr>
                        <w:top w:val="none" w:sz="0" w:space="0" w:color="auto"/>
                        <w:left w:val="none" w:sz="0" w:space="0" w:color="auto"/>
                        <w:bottom w:val="none" w:sz="0" w:space="0" w:color="auto"/>
                        <w:right w:val="none" w:sz="0" w:space="0" w:color="auto"/>
                      </w:divBdr>
                      <w:divsChild>
                        <w:div w:id="135532503">
                          <w:marLeft w:val="0"/>
                          <w:marRight w:val="0"/>
                          <w:marTop w:val="0"/>
                          <w:marBottom w:val="0"/>
                          <w:divBdr>
                            <w:top w:val="none" w:sz="0" w:space="0" w:color="auto"/>
                            <w:left w:val="none" w:sz="0" w:space="0" w:color="auto"/>
                            <w:bottom w:val="none" w:sz="0" w:space="0" w:color="auto"/>
                            <w:right w:val="none" w:sz="0" w:space="0" w:color="auto"/>
                          </w:divBdr>
                          <w:divsChild>
                            <w:div w:id="1553273370">
                              <w:marLeft w:val="0"/>
                              <w:marRight w:val="0"/>
                              <w:marTop w:val="0"/>
                              <w:marBottom w:val="0"/>
                              <w:divBdr>
                                <w:top w:val="none" w:sz="0" w:space="0" w:color="auto"/>
                                <w:left w:val="none" w:sz="0" w:space="0" w:color="auto"/>
                                <w:bottom w:val="none" w:sz="0" w:space="0" w:color="auto"/>
                                <w:right w:val="none" w:sz="0" w:space="0" w:color="auto"/>
                              </w:divBdr>
                              <w:divsChild>
                                <w:div w:id="197875501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377122173">
                          <w:marLeft w:val="0"/>
                          <w:marRight w:val="0"/>
                          <w:marTop w:val="0"/>
                          <w:marBottom w:val="0"/>
                          <w:divBdr>
                            <w:top w:val="none" w:sz="0" w:space="0" w:color="auto"/>
                            <w:left w:val="none" w:sz="0" w:space="0" w:color="auto"/>
                            <w:bottom w:val="none" w:sz="0" w:space="0" w:color="auto"/>
                            <w:right w:val="none" w:sz="0" w:space="0" w:color="auto"/>
                          </w:divBdr>
                          <w:divsChild>
                            <w:div w:id="759639914">
                              <w:marLeft w:val="0"/>
                              <w:marRight w:val="0"/>
                              <w:marTop w:val="0"/>
                              <w:marBottom w:val="0"/>
                              <w:divBdr>
                                <w:top w:val="none" w:sz="0" w:space="0" w:color="auto"/>
                                <w:left w:val="none" w:sz="0" w:space="0" w:color="auto"/>
                                <w:bottom w:val="none" w:sz="0" w:space="0" w:color="auto"/>
                                <w:right w:val="none" w:sz="0" w:space="0" w:color="auto"/>
                              </w:divBdr>
                              <w:divsChild>
                                <w:div w:id="193201049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839151028">
                          <w:marLeft w:val="0"/>
                          <w:marRight w:val="0"/>
                          <w:marTop w:val="0"/>
                          <w:marBottom w:val="0"/>
                          <w:divBdr>
                            <w:top w:val="none" w:sz="0" w:space="0" w:color="auto"/>
                            <w:left w:val="none" w:sz="0" w:space="0" w:color="auto"/>
                            <w:bottom w:val="none" w:sz="0" w:space="0" w:color="auto"/>
                            <w:right w:val="none" w:sz="0" w:space="0" w:color="auto"/>
                          </w:divBdr>
                          <w:divsChild>
                            <w:div w:id="529223783">
                              <w:marLeft w:val="0"/>
                              <w:marRight w:val="0"/>
                              <w:marTop w:val="0"/>
                              <w:marBottom w:val="0"/>
                              <w:divBdr>
                                <w:top w:val="none" w:sz="0" w:space="0" w:color="auto"/>
                                <w:left w:val="none" w:sz="0" w:space="0" w:color="auto"/>
                                <w:bottom w:val="none" w:sz="0" w:space="0" w:color="auto"/>
                                <w:right w:val="none" w:sz="0" w:space="0" w:color="auto"/>
                              </w:divBdr>
                              <w:divsChild>
                                <w:div w:id="987124456">
                                  <w:marLeft w:val="-225"/>
                                  <w:marRight w:val="-225"/>
                                  <w:marTop w:val="0"/>
                                  <w:marBottom w:val="0"/>
                                  <w:divBdr>
                                    <w:top w:val="none" w:sz="0" w:space="0" w:color="auto"/>
                                    <w:left w:val="none" w:sz="0" w:space="0" w:color="auto"/>
                                    <w:bottom w:val="none" w:sz="0" w:space="0" w:color="auto"/>
                                    <w:right w:val="none" w:sz="0" w:space="0" w:color="auto"/>
                                  </w:divBdr>
                                  <w:divsChild>
                                    <w:div w:id="819270677">
                                      <w:marLeft w:val="0"/>
                                      <w:marRight w:val="0"/>
                                      <w:marTop w:val="0"/>
                                      <w:marBottom w:val="0"/>
                                      <w:divBdr>
                                        <w:top w:val="none" w:sz="0" w:space="0" w:color="auto"/>
                                        <w:left w:val="none" w:sz="0" w:space="0" w:color="auto"/>
                                        <w:bottom w:val="none" w:sz="0" w:space="0" w:color="auto"/>
                                        <w:right w:val="none" w:sz="0" w:space="0" w:color="auto"/>
                                      </w:divBdr>
                                      <w:divsChild>
                                        <w:div w:id="270548936">
                                          <w:marLeft w:val="0"/>
                                          <w:marRight w:val="300"/>
                                          <w:marTop w:val="75"/>
                                          <w:marBottom w:val="225"/>
                                          <w:divBdr>
                                            <w:top w:val="none" w:sz="0" w:space="0" w:color="auto"/>
                                            <w:left w:val="none" w:sz="0" w:space="0" w:color="auto"/>
                                            <w:bottom w:val="none" w:sz="0" w:space="0" w:color="auto"/>
                                            <w:right w:val="none" w:sz="0" w:space="0" w:color="auto"/>
                                          </w:divBdr>
                                        </w:div>
                                        <w:div w:id="1376928147">
                                          <w:marLeft w:val="0"/>
                                          <w:marRight w:val="0"/>
                                          <w:marTop w:val="0"/>
                                          <w:marBottom w:val="0"/>
                                          <w:divBdr>
                                            <w:top w:val="none" w:sz="0" w:space="0" w:color="auto"/>
                                            <w:left w:val="none" w:sz="0" w:space="0" w:color="auto"/>
                                            <w:bottom w:val="none" w:sz="0" w:space="0" w:color="auto"/>
                                            <w:right w:val="none" w:sz="0" w:space="0" w:color="auto"/>
                                          </w:divBdr>
                                        </w:div>
                                      </w:divsChild>
                                    </w:div>
                                    <w:div w:id="989139580">
                                      <w:marLeft w:val="0"/>
                                      <w:marRight w:val="0"/>
                                      <w:marTop w:val="0"/>
                                      <w:marBottom w:val="0"/>
                                      <w:divBdr>
                                        <w:top w:val="none" w:sz="0" w:space="0" w:color="auto"/>
                                        <w:left w:val="none" w:sz="0" w:space="0" w:color="auto"/>
                                        <w:bottom w:val="none" w:sz="0" w:space="0" w:color="auto"/>
                                        <w:right w:val="none" w:sz="0" w:space="0" w:color="auto"/>
                                      </w:divBdr>
                                      <w:divsChild>
                                        <w:div w:id="456535472">
                                          <w:marLeft w:val="0"/>
                                          <w:marRight w:val="0"/>
                                          <w:marTop w:val="0"/>
                                          <w:marBottom w:val="0"/>
                                          <w:divBdr>
                                            <w:top w:val="none" w:sz="0" w:space="0" w:color="auto"/>
                                            <w:left w:val="none" w:sz="0" w:space="0" w:color="auto"/>
                                            <w:bottom w:val="none" w:sz="0" w:space="0" w:color="auto"/>
                                            <w:right w:val="none" w:sz="0" w:space="0" w:color="auto"/>
                                          </w:divBdr>
                                          <w:divsChild>
                                            <w:div w:id="918950991">
                                              <w:marLeft w:val="0"/>
                                              <w:marRight w:val="0"/>
                                              <w:marTop w:val="0"/>
                                              <w:marBottom w:val="375"/>
                                              <w:divBdr>
                                                <w:top w:val="none" w:sz="0" w:space="0" w:color="auto"/>
                                                <w:left w:val="none" w:sz="0" w:space="0" w:color="auto"/>
                                                <w:bottom w:val="none" w:sz="0" w:space="0" w:color="auto"/>
                                                <w:right w:val="none" w:sz="0" w:space="0" w:color="auto"/>
                                              </w:divBdr>
                                              <w:divsChild>
                                                <w:div w:id="1774939795">
                                                  <w:marLeft w:val="0"/>
                                                  <w:marRight w:val="0"/>
                                                  <w:marTop w:val="0"/>
                                                  <w:marBottom w:val="0"/>
                                                  <w:divBdr>
                                                    <w:top w:val="none" w:sz="0" w:space="0" w:color="auto"/>
                                                    <w:left w:val="none" w:sz="0" w:space="0" w:color="auto"/>
                                                    <w:bottom w:val="none" w:sz="0" w:space="0" w:color="auto"/>
                                                    <w:right w:val="none" w:sz="0" w:space="0" w:color="auto"/>
                                                  </w:divBdr>
                                                  <w:divsChild>
                                                    <w:div w:id="51565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156658">
                                          <w:marLeft w:val="0"/>
                                          <w:marRight w:val="0"/>
                                          <w:marTop w:val="0"/>
                                          <w:marBottom w:val="312"/>
                                          <w:divBdr>
                                            <w:top w:val="none" w:sz="0" w:space="0" w:color="auto"/>
                                            <w:left w:val="none" w:sz="0" w:space="0" w:color="auto"/>
                                            <w:bottom w:val="none" w:sz="0" w:space="0" w:color="auto"/>
                                            <w:right w:val="none" w:sz="0" w:space="0" w:color="auto"/>
                                          </w:divBdr>
                                        </w:div>
                                        <w:div w:id="1930188304">
                                          <w:marLeft w:val="0"/>
                                          <w:marRight w:val="0"/>
                                          <w:marTop w:val="0"/>
                                          <w:marBottom w:val="0"/>
                                          <w:divBdr>
                                            <w:top w:val="single" w:sz="36" w:space="18" w:color="CC0000"/>
                                            <w:left w:val="none" w:sz="0" w:space="0" w:color="auto"/>
                                            <w:bottom w:val="none" w:sz="0" w:space="0" w:color="auto"/>
                                            <w:right w:val="none" w:sz="0" w:space="0" w:color="auto"/>
                                          </w:divBdr>
                                        </w:div>
                                        <w:div w:id="2099978897">
                                          <w:marLeft w:val="0"/>
                                          <w:marRight w:val="0"/>
                                          <w:marTop w:val="0"/>
                                          <w:marBottom w:val="312"/>
                                          <w:divBdr>
                                            <w:top w:val="none" w:sz="0" w:space="0" w:color="auto"/>
                                            <w:left w:val="single" w:sz="36" w:space="14" w:color="DDDDDD"/>
                                            <w:bottom w:val="none" w:sz="0" w:space="0" w:color="auto"/>
                                            <w:right w:val="none" w:sz="0" w:space="0" w:color="auto"/>
                                          </w:divBdr>
                                        </w:div>
                                      </w:divsChild>
                                    </w:div>
                                    <w:div w:id="1518999681">
                                      <w:marLeft w:val="0"/>
                                      <w:marRight w:val="0"/>
                                      <w:marTop w:val="0"/>
                                      <w:marBottom w:val="450"/>
                                      <w:divBdr>
                                        <w:top w:val="none" w:sz="0" w:space="0" w:color="auto"/>
                                        <w:left w:val="none" w:sz="0" w:space="0" w:color="auto"/>
                                        <w:bottom w:val="none" w:sz="0" w:space="0" w:color="auto"/>
                                        <w:right w:val="none" w:sz="0" w:space="0" w:color="auto"/>
                                      </w:divBdr>
                                      <w:divsChild>
                                        <w:div w:id="3105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283406">
                          <w:marLeft w:val="0"/>
                          <w:marRight w:val="0"/>
                          <w:marTop w:val="0"/>
                          <w:marBottom w:val="0"/>
                          <w:divBdr>
                            <w:top w:val="none" w:sz="0" w:space="0" w:color="auto"/>
                            <w:left w:val="none" w:sz="0" w:space="0" w:color="auto"/>
                            <w:bottom w:val="none" w:sz="0" w:space="0" w:color="auto"/>
                            <w:right w:val="none" w:sz="0" w:space="0" w:color="auto"/>
                          </w:divBdr>
                          <w:divsChild>
                            <w:div w:id="1602646202">
                              <w:marLeft w:val="0"/>
                              <w:marRight w:val="0"/>
                              <w:marTop w:val="0"/>
                              <w:marBottom w:val="0"/>
                              <w:divBdr>
                                <w:top w:val="none" w:sz="0" w:space="0" w:color="auto"/>
                                <w:left w:val="none" w:sz="0" w:space="0" w:color="auto"/>
                                <w:bottom w:val="none" w:sz="0" w:space="0" w:color="auto"/>
                                <w:right w:val="none" w:sz="0" w:space="0" w:color="auto"/>
                              </w:divBdr>
                              <w:divsChild>
                                <w:div w:id="90199103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059861394">
                          <w:marLeft w:val="0"/>
                          <w:marRight w:val="0"/>
                          <w:marTop w:val="0"/>
                          <w:marBottom w:val="0"/>
                          <w:divBdr>
                            <w:top w:val="none" w:sz="0" w:space="0" w:color="auto"/>
                            <w:left w:val="none" w:sz="0" w:space="0" w:color="auto"/>
                            <w:bottom w:val="none" w:sz="0" w:space="0" w:color="auto"/>
                            <w:right w:val="none" w:sz="0" w:space="0" w:color="auto"/>
                          </w:divBdr>
                          <w:divsChild>
                            <w:div w:id="383066900">
                              <w:marLeft w:val="-225"/>
                              <w:marRight w:val="-225"/>
                              <w:marTop w:val="0"/>
                              <w:marBottom w:val="0"/>
                              <w:divBdr>
                                <w:top w:val="none" w:sz="0" w:space="0" w:color="auto"/>
                                <w:left w:val="none" w:sz="0" w:space="0" w:color="auto"/>
                                <w:bottom w:val="none" w:sz="0" w:space="0" w:color="auto"/>
                                <w:right w:val="none" w:sz="0" w:space="0" w:color="auto"/>
                              </w:divBdr>
                              <w:divsChild>
                                <w:div w:id="700479607">
                                  <w:marLeft w:val="0"/>
                                  <w:marRight w:val="0"/>
                                  <w:marTop w:val="0"/>
                                  <w:marBottom w:val="0"/>
                                  <w:divBdr>
                                    <w:top w:val="none" w:sz="0" w:space="0" w:color="auto"/>
                                    <w:left w:val="none" w:sz="0" w:space="0" w:color="auto"/>
                                    <w:bottom w:val="none" w:sz="0" w:space="0" w:color="auto"/>
                                    <w:right w:val="none" w:sz="0" w:space="0" w:color="auto"/>
                                  </w:divBdr>
                                  <w:divsChild>
                                    <w:div w:id="5154205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12631442">
                          <w:marLeft w:val="0"/>
                          <w:marRight w:val="0"/>
                          <w:marTop w:val="0"/>
                          <w:marBottom w:val="0"/>
                          <w:divBdr>
                            <w:top w:val="none" w:sz="0" w:space="0" w:color="auto"/>
                            <w:left w:val="none" w:sz="0" w:space="0" w:color="auto"/>
                            <w:bottom w:val="none" w:sz="0" w:space="0" w:color="auto"/>
                            <w:right w:val="none" w:sz="0" w:space="0" w:color="auto"/>
                          </w:divBdr>
                          <w:divsChild>
                            <w:div w:id="91820999">
                              <w:marLeft w:val="-225"/>
                              <w:marRight w:val="-225"/>
                              <w:marTop w:val="0"/>
                              <w:marBottom w:val="0"/>
                              <w:divBdr>
                                <w:top w:val="none" w:sz="0" w:space="0" w:color="auto"/>
                                <w:left w:val="none" w:sz="0" w:space="0" w:color="auto"/>
                                <w:bottom w:val="none" w:sz="0" w:space="0" w:color="auto"/>
                                <w:right w:val="none" w:sz="0" w:space="0" w:color="auto"/>
                              </w:divBdr>
                              <w:divsChild>
                                <w:div w:id="1706517851">
                                  <w:marLeft w:val="0"/>
                                  <w:marRight w:val="0"/>
                                  <w:marTop w:val="0"/>
                                  <w:marBottom w:val="0"/>
                                  <w:divBdr>
                                    <w:top w:val="none" w:sz="0" w:space="0" w:color="auto"/>
                                    <w:left w:val="none" w:sz="0" w:space="0" w:color="auto"/>
                                    <w:bottom w:val="none" w:sz="0" w:space="0" w:color="auto"/>
                                    <w:right w:val="none" w:sz="0" w:space="0" w:color="auto"/>
                                  </w:divBdr>
                                  <w:divsChild>
                                    <w:div w:id="57802822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421217558">
                          <w:marLeft w:val="0"/>
                          <w:marRight w:val="0"/>
                          <w:marTop w:val="720"/>
                          <w:marBottom w:val="0"/>
                          <w:divBdr>
                            <w:top w:val="none" w:sz="0" w:space="0" w:color="auto"/>
                            <w:left w:val="none" w:sz="0" w:space="0" w:color="auto"/>
                            <w:bottom w:val="none" w:sz="0" w:space="0" w:color="auto"/>
                            <w:right w:val="none" w:sz="0" w:space="0" w:color="auto"/>
                          </w:divBdr>
                          <w:divsChild>
                            <w:div w:id="1874492974">
                              <w:marLeft w:val="0"/>
                              <w:marRight w:val="0"/>
                              <w:marTop w:val="0"/>
                              <w:marBottom w:val="0"/>
                              <w:divBdr>
                                <w:top w:val="none" w:sz="0" w:space="0" w:color="auto"/>
                                <w:left w:val="none" w:sz="0" w:space="0" w:color="auto"/>
                                <w:bottom w:val="none" w:sz="0" w:space="0" w:color="auto"/>
                                <w:right w:val="none" w:sz="0" w:space="0" w:color="auto"/>
                              </w:divBdr>
                              <w:divsChild>
                                <w:div w:id="862859781">
                                  <w:marLeft w:val="0"/>
                                  <w:marRight w:val="0"/>
                                  <w:marTop w:val="0"/>
                                  <w:marBottom w:val="0"/>
                                  <w:divBdr>
                                    <w:top w:val="none" w:sz="0" w:space="0" w:color="auto"/>
                                    <w:left w:val="none" w:sz="0" w:space="0" w:color="auto"/>
                                    <w:bottom w:val="none" w:sz="0" w:space="0" w:color="auto"/>
                                    <w:right w:val="none" w:sz="0" w:space="0" w:color="auto"/>
                                  </w:divBdr>
                                  <w:divsChild>
                                    <w:div w:id="679429143">
                                      <w:marLeft w:val="-225"/>
                                      <w:marRight w:val="-225"/>
                                      <w:marTop w:val="0"/>
                                      <w:marBottom w:val="0"/>
                                      <w:divBdr>
                                        <w:top w:val="none" w:sz="0" w:space="0" w:color="auto"/>
                                        <w:left w:val="none" w:sz="0" w:space="0" w:color="auto"/>
                                        <w:bottom w:val="none" w:sz="0" w:space="0" w:color="auto"/>
                                        <w:right w:val="none" w:sz="0" w:space="0" w:color="auto"/>
                                      </w:divBdr>
                                      <w:divsChild>
                                        <w:div w:id="1095519298">
                                          <w:marLeft w:val="0"/>
                                          <w:marRight w:val="0"/>
                                          <w:marTop w:val="0"/>
                                          <w:marBottom w:val="0"/>
                                          <w:divBdr>
                                            <w:top w:val="none" w:sz="0" w:space="0" w:color="auto"/>
                                            <w:left w:val="none" w:sz="0" w:space="0" w:color="auto"/>
                                            <w:bottom w:val="none" w:sz="0" w:space="0" w:color="auto"/>
                                            <w:right w:val="none" w:sz="0" w:space="0" w:color="auto"/>
                                          </w:divBdr>
                                          <w:divsChild>
                                            <w:div w:id="10147703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489439444">
                          <w:marLeft w:val="0"/>
                          <w:marRight w:val="0"/>
                          <w:marTop w:val="0"/>
                          <w:marBottom w:val="0"/>
                          <w:divBdr>
                            <w:top w:val="none" w:sz="0" w:space="0" w:color="auto"/>
                            <w:left w:val="none" w:sz="0" w:space="0" w:color="auto"/>
                            <w:bottom w:val="none" w:sz="0" w:space="0" w:color="auto"/>
                            <w:right w:val="none" w:sz="0" w:space="0" w:color="auto"/>
                          </w:divBdr>
                          <w:divsChild>
                            <w:div w:id="1876959507">
                              <w:marLeft w:val="-225"/>
                              <w:marRight w:val="-225"/>
                              <w:marTop w:val="0"/>
                              <w:marBottom w:val="0"/>
                              <w:divBdr>
                                <w:top w:val="none" w:sz="0" w:space="0" w:color="auto"/>
                                <w:left w:val="none" w:sz="0" w:space="0" w:color="auto"/>
                                <w:bottom w:val="none" w:sz="0" w:space="0" w:color="auto"/>
                                <w:right w:val="none" w:sz="0" w:space="0" w:color="auto"/>
                              </w:divBdr>
                              <w:divsChild>
                                <w:div w:id="236091837">
                                  <w:marLeft w:val="0"/>
                                  <w:marRight w:val="0"/>
                                  <w:marTop w:val="0"/>
                                  <w:marBottom w:val="0"/>
                                  <w:divBdr>
                                    <w:top w:val="none" w:sz="0" w:space="0" w:color="auto"/>
                                    <w:left w:val="none" w:sz="0" w:space="0" w:color="auto"/>
                                    <w:bottom w:val="none" w:sz="0" w:space="0" w:color="auto"/>
                                    <w:right w:val="none" w:sz="0" w:space="0" w:color="auto"/>
                                  </w:divBdr>
                                  <w:divsChild>
                                    <w:div w:id="8356523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512842607">
                          <w:marLeft w:val="0"/>
                          <w:marRight w:val="0"/>
                          <w:marTop w:val="0"/>
                          <w:marBottom w:val="0"/>
                          <w:divBdr>
                            <w:top w:val="none" w:sz="0" w:space="0" w:color="auto"/>
                            <w:left w:val="none" w:sz="0" w:space="0" w:color="auto"/>
                            <w:bottom w:val="none" w:sz="0" w:space="0" w:color="auto"/>
                            <w:right w:val="none" w:sz="0" w:space="0" w:color="auto"/>
                          </w:divBdr>
                          <w:divsChild>
                            <w:div w:id="1503814705">
                              <w:marLeft w:val="-225"/>
                              <w:marRight w:val="-225"/>
                              <w:marTop w:val="0"/>
                              <w:marBottom w:val="0"/>
                              <w:divBdr>
                                <w:top w:val="none" w:sz="0" w:space="0" w:color="auto"/>
                                <w:left w:val="none" w:sz="0" w:space="0" w:color="auto"/>
                                <w:bottom w:val="none" w:sz="0" w:space="0" w:color="auto"/>
                                <w:right w:val="none" w:sz="0" w:space="0" w:color="auto"/>
                              </w:divBdr>
                              <w:divsChild>
                                <w:div w:id="1531992746">
                                  <w:marLeft w:val="0"/>
                                  <w:marRight w:val="0"/>
                                  <w:marTop w:val="0"/>
                                  <w:marBottom w:val="0"/>
                                  <w:divBdr>
                                    <w:top w:val="none" w:sz="0" w:space="0" w:color="auto"/>
                                    <w:left w:val="none" w:sz="0" w:space="0" w:color="auto"/>
                                    <w:bottom w:val="none" w:sz="0" w:space="0" w:color="auto"/>
                                    <w:right w:val="none" w:sz="0" w:space="0" w:color="auto"/>
                                  </w:divBdr>
                                  <w:divsChild>
                                    <w:div w:id="155118771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531603588">
                          <w:marLeft w:val="0"/>
                          <w:marRight w:val="0"/>
                          <w:marTop w:val="0"/>
                          <w:marBottom w:val="0"/>
                          <w:divBdr>
                            <w:top w:val="none" w:sz="0" w:space="0" w:color="auto"/>
                            <w:left w:val="none" w:sz="0" w:space="0" w:color="auto"/>
                            <w:bottom w:val="none" w:sz="0" w:space="0" w:color="auto"/>
                            <w:right w:val="none" w:sz="0" w:space="0" w:color="auto"/>
                          </w:divBdr>
                          <w:divsChild>
                            <w:div w:id="1548494923">
                              <w:marLeft w:val="-225"/>
                              <w:marRight w:val="-225"/>
                              <w:marTop w:val="0"/>
                              <w:marBottom w:val="0"/>
                              <w:divBdr>
                                <w:top w:val="none" w:sz="0" w:space="0" w:color="auto"/>
                                <w:left w:val="none" w:sz="0" w:space="0" w:color="auto"/>
                                <w:bottom w:val="none" w:sz="0" w:space="0" w:color="auto"/>
                                <w:right w:val="none" w:sz="0" w:space="0" w:color="auto"/>
                              </w:divBdr>
                              <w:divsChild>
                                <w:div w:id="959216234">
                                  <w:marLeft w:val="0"/>
                                  <w:marRight w:val="0"/>
                                  <w:marTop w:val="0"/>
                                  <w:marBottom w:val="0"/>
                                  <w:divBdr>
                                    <w:top w:val="none" w:sz="0" w:space="0" w:color="auto"/>
                                    <w:left w:val="none" w:sz="0" w:space="0" w:color="auto"/>
                                    <w:bottom w:val="none" w:sz="0" w:space="0" w:color="auto"/>
                                    <w:right w:val="none" w:sz="0" w:space="0" w:color="auto"/>
                                  </w:divBdr>
                                  <w:divsChild>
                                    <w:div w:id="17650183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554537350">
                          <w:marLeft w:val="0"/>
                          <w:marRight w:val="0"/>
                          <w:marTop w:val="0"/>
                          <w:marBottom w:val="0"/>
                          <w:divBdr>
                            <w:top w:val="none" w:sz="0" w:space="0" w:color="auto"/>
                            <w:left w:val="none" w:sz="0" w:space="0" w:color="auto"/>
                            <w:bottom w:val="none" w:sz="0" w:space="0" w:color="auto"/>
                            <w:right w:val="none" w:sz="0" w:space="0" w:color="auto"/>
                          </w:divBdr>
                          <w:divsChild>
                            <w:div w:id="1290895248">
                              <w:marLeft w:val="0"/>
                              <w:marRight w:val="0"/>
                              <w:marTop w:val="0"/>
                              <w:marBottom w:val="0"/>
                              <w:divBdr>
                                <w:top w:val="none" w:sz="0" w:space="0" w:color="auto"/>
                                <w:left w:val="none" w:sz="0" w:space="0" w:color="auto"/>
                                <w:bottom w:val="none" w:sz="0" w:space="0" w:color="auto"/>
                                <w:right w:val="none" w:sz="0" w:space="0" w:color="auto"/>
                              </w:divBdr>
                              <w:divsChild>
                                <w:div w:id="125011435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592425255">
                          <w:marLeft w:val="0"/>
                          <w:marRight w:val="0"/>
                          <w:marTop w:val="0"/>
                          <w:marBottom w:val="0"/>
                          <w:divBdr>
                            <w:top w:val="none" w:sz="0" w:space="0" w:color="auto"/>
                            <w:left w:val="none" w:sz="0" w:space="0" w:color="auto"/>
                            <w:bottom w:val="none" w:sz="0" w:space="0" w:color="auto"/>
                            <w:right w:val="none" w:sz="0" w:space="0" w:color="auto"/>
                          </w:divBdr>
                          <w:divsChild>
                            <w:div w:id="819735811">
                              <w:marLeft w:val="0"/>
                              <w:marRight w:val="0"/>
                              <w:marTop w:val="0"/>
                              <w:marBottom w:val="0"/>
                              <w:divBdr>
                                <w:top w:val="none" w:sz="0" w:space="0" w:color="auto"/>
                                <w:left w:val="none" w:sz="0" w:space="0" w:color="auto"/>
                                <w:bottom w:val="none" w:sz="0" w:space="0" w:color="auto"/>
                                <w:right w:val="none" w:sz="0" w:space="0" w:color="auto"/>
                              </w:divBdr>
                              <w:divsChild>
                                <w:div w:id="175442579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655066025">
                          <w:marLeft w:val="0"/>
                          <w:marRight w:val="0"/>
                          <w:marTop w:val="0"/>
                          <w:marBottom w:val="0"/>
                          <w:divBdr>
                            <w:top w:val="none" w:sz="0" w:space="0" w:color="auto"/>
                            <w:left w:val="none" w:sz="0" w:space="0" w:color="auto"/>
                            <w:bottom w:val="none" w:sz="0" w:space="0" w:color="auto"/>
                            <w:right w:val="none" w:sz="0" w:space="0" w:color="auto"/>
                          </w:divBdr>
                          <w:divsChild>
                            <w:div w:id="1570463409">
                              <w:marLeft w:val="0"/>
                              <w:marRight w:val="0"/>
                              <w:marTop w:val="0"/>
                              <w:marBottom w:val="0"/>
                              <w:divBdr>
                                <w:top w:val="none" w:sz="0" w:space="0" w:color="auto"/>
                                <w:left w:val="none" w:sz="0" w:space="0" w:color="auto"/>
                                <w:bottom w:val="none" w:sz="0" w:space="0" w:color="auto"/>
                                <w:right w:val="none" w:sz="0" w:space="0" w:color="auto"/>
                              </w:divBdr>
                              <w:divsChild>
                                <w:div w:id="127188791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434391">
          <w:marLeft w:val="0"/>
          <w:marRight w:val="0"/>
          <w:marTop w:val="0"/>
          <w:marBottom w:val="0"/>
          <w:divBdr>
            <w:top w:val="single" w:sz="24" w:space="0" w:color="FFFFFF"/>
            <w:left w:val="none" w:sz="0" w:space="0" w:color="auto"/>
            <w:bottom w:val="none" w:sz="0" w:space="0" w:color="auto"/>
            <w:right w:val="none" w:sz="0" w:space="0" w:color="auto"/>
          </w:divBdr>
          <w:divsChild>
            <w:div w:id="2018117445">
              <w:marLeft w:val="0"/>
              <w:marRight w:val="0"/>
              <w:marTop w:val="0"/>
              <w:marBottom w:val="0"/>
              <w:divBdr>
                <w:top w:val="none" w:sz="0" w:space="0" w:color="auto"/>
                <w:left w:val="none" w:sz="0" w:space="0" w:color="auto"/>
                <w:bottom w:val="none" w:sz="0" w:space="0" w:color="auto"/>
                <w:right w:val="none" w:sz="0" w:space="0" w:color="auto"/>
              </w:divBdr>
              <w:divsChild>
                <w:div w:id="595751804">
                  <w:marLeft w:val="0"/>
                  <w:marRight w:val="0"/>
                  <w:marTop w:val="0"/>
                  <w:marBottom w:val="0"/>
                  <w:divBdr>
                    <w:top w:val="none" w:sz="0" w:space="0" w:color="auto"/>
                    <w:left w:val="none" w:sz="0" w:space="0" w:color="auto"/>
                    <w:bottom w:val="none" w:sz="0" w:space="0" w:color="auto"/>
                    <w:right w:val="none" w:sz="0" w:space="0" w:color="auto"/>
                  </w:divBdr>
                  <w:divsChild>
                    <w:div w:id="891421904">
                      <w:marLeft w:val="0"/>
                      <w:marRight w:val="0"/>
                      <w:marTop w:val="0"/>
                      <w:marBottom w:val="0"/>
                      <w:divBdr>
                        <w:top w:val="none" w:sz="0" w:space="0" w:color="auto"/>
                        <w:left w:val="none" w:sz="0" w:space="0" w:color="auto"/>
                        <w:bottom w:val="none" w:sz="0" w:space="0" w:color="auto"/>
                        <w:right w:val="none" w:sz="0" w:space="0" w:color="auto"/>
                      </w:divBdr>
                      <w:divsChild>
                        <w:div w:id="1796632388">
                          <w:marLeft w:val="0"/>
                          <w:marRight w:val="0"/>
                          <w:marTop w:val="0"/>
                          <w:marBottom w:val="0"/>
                          <w:divBdr>
                            <w:top w:val="none" w:sz="0" w:space="0" w:color="auto"/>
                            <w:left w:val="none" w:sz="0" w:space="0" w:color="auto"/>
                            <w:bottom w:val="none" w:sz="0" w:space="0" w:color="auto"/>
                            <w:right w:val="none" w:sz="0" w:space="0" w:color="auto"/>
                          </w:divBdr>
                          <w:divsChild>
                            <w:div w:id="1417045999">
                              <w:marLeft w:val="0"/>
                              <w:marRight w:val="0"/>
                              <w:marTop w:val="0"/>
                              <w:marBottom w:val="0"/>
                              <w:divBdr>
                                <w:top w:val="none" w:sz="0" w:space="0" w:color="auto"/>
                                <w:left w:val="none" w:sz="0" w:space="0" w:color="auto"/>
                                <w:bottom w:val="none" w:sz="0" w:space="0" w:color="auto"/>
                                <w:right w:val="none" w:sz="0" w:space="0" w:color="auto"/>
                              </w:divBdr>
                              <w:divsChild>
                                <w:div w:id="112481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502266">
      <w:bodyDiv w:val="1"/>
      <w:marLeft w:val="0"/>
      <w:marRight w:val="0"/>
      <w:marTop w:val="0"/>
      <w:marBottom w:val="0"/>
      <w:divBdr>
        <w:top w:val="none" w:sz="0" w:space="0" w:color="auto"/>
        <w:left w:val="none" w:sz="0" w:space="0" w:color="auto"/>
        <w:bottom w:val="none" w:sz="0" w:space="0" w:color="auto"/>
        <w:right w:val="none" w:sz="0" w:space="0" w:color="auto"/>
      </w:divBdr>
      <w:divsChild>
        <w:div w:id="1924794417">
          <w:marLeft w:val="0"/>
          <w:marRight w:val="0"/>
          <w:marTop w:val="0"/>
          <w:marBottom w:val="0"/>
          <w:divBdr>
            <w:top w:val="none" w:sz="0" w:space="0" w:color="auto"/>
            <w:left w:val="none" w:sz="0" w:space="0" w:color="auto"/>
            <w:bottom w:val="none" w:sz="0" w:space="0" w:color="auto"/>
            <w:right w:val="none" w:sz="0" w:space="0" w:color="auto"/>
          </w:divBdr>
        </w:div>
      </w:divsChild>
    </w:div>
    <w:div w:id="1393429978">
      <w:bodyDiv w:val="1"/>
      <w:marLeft w:val="0"/>
      <w:marRight w:val="0"/>
      <w:marTop w:val="0"/>
      <w:marBottom w:val="0"/>
      <w:divBdr>
        <w:top w:val="none" w:sz="0" w:space="0" w:color="auto"/>
        <w:left w:val="none" w:sz="0" w:space="0" w:color="auto"/>
        <w:bottom w:val="none" w:sz="0" w:space="0" w:color="auto"/>
        <w:right w:val="none" w:sz="0" w:space="0" w:color="auto"/>
      </w:divBdr>
      <w:divsChild>
        <w:div w:id="1526673594">
          <w:marLeft w:val="0"/>
          <w:marRight w:val="0"/>
          <w:marTop w:val="0"/>
          <w:marBottom w:val="0"/>
          <w:divBdr>
            <w:top w:val="none" w:sz="0" w:space="0" w:color="auto"/>
            <w:left w:val="none" w:sz="0" w:space="0" w:color="auto"/>
            <w:bottom w:val="none" w:sz="0" w:space="0" w:color="auto"/>
            <w:right w:val="none" w:sz="0" w:space="0" w:color="auto"/>
          </w:divBdr>
        </w:div>
      </w:divsChild>
    </w:div>
    <w:div w:id="1440682901">
      <w:bodyDiv w:val="1"/>
      <w:marLeft w:val="0"/>
      <w:marRight w:val="0"/>
      <w:marTop w:val="0"/>
      <w:marBottom w:val="0"/>
      <w:divBdr>
        <w:top w:val="none" w:sz="0" w:space="0" w:color="auto"/>
        <w:left w:val="none" w:sz="0" w:space="0" w:color="auto"/>
        <w:bottom w:val="none" w:sz="0" w:space="0" w:color="auto"/>
        <w:right w:val="none" w:sz="0" w:space="0" w:color="auto"/>
      </w:divBdr>
      <w:divsChild>
        <w:div w:id="928349792">
          <w:marLeft w:val="0"/>
          <w:marRight w:val="0"/>
          <w:marTop w:val="0"/>
          <w:marBottom w:val="0"/>
          <w:divBdr>
            <w:top w:val="none" w:sz="0" w:space="0" w:color="auto"/>
            <w:left w:val="none" w:sz="0" w:space="0" w:color="auto"/>
            <w:bottom w:val="none" w:sz="0" w:space="0" w:color="auto"/>
            <w:right w:val="none" w:sz="0" w:space="0" w:color="auto"/>
          </w:divBdr>
        </w:div>
      </w:divsChild>
    </w:div>
    <w:div w:id="1474103187">
      <w:bodyDiv w:val="1"/>
      <w:marLeft w:val="0"/>
      <w:marRight w:val="0"/>
      <w:marTop w:val="0"/>
      <w:marBottom w:val="0"/>
      <w:divBdr>
        <w:top w:val="none" w:sz="0" w:space="0" w:color="auto"/>
        <w:left w:val="none" w:sz="0" w:space="0" w:color="auto"/>
        <w:bottom w:val="none" w:sz="0" w:space="0" w:color="auto"/>
        <w:right w:val="none" w:sz="0" w:space="0" w:color="auto"/>
      </w:divBdr>
      <w:divsChild>
        <w:div w:id="2052414923">
          <w:marLeft w:val="0"/>
          <w:marRight w:val="0"/>
          <w:marTop w:val="0"/>
          <w:marBottom w:val="0"/>
          <w:divBdr>
            <w:top w:val="none" w:sz="0" w:space="0" w:color="auto"/>
            <w:left w:val="none" w:sz="0" w:space="0" w:color="auto"/>
            <w:bottom w:val="none" w:sz="0" w:space="0" w:color="auto"/>
            <w:right w:val="none" w:sz="0" w:space="0" w:color="auto"/>
          </w:divBdr>
        </w:div>
      </w:divsChild>
    </w:div>
    <w:div w:id="1546332259">
      <w:bodyDiv w:val="1"/>
      <w:marLeft w:val="0"/>
      <w:marRight w:val="0"/>
      <w:marTop w:val="0"/>
      <w:marBottom w:val="0"/>
      <w:divBdr>
        <w:top w:val="none" w:sz="0" w:space="0" w:color="auto"/>
        <w:left w:val="none" w:sz="0" w:space="0" w:color="auto"/>
        <w:bottom w:val="none" w:sz="0" w:space="0" w:color="auto"/>
        <w:right w:val="none" w:sz="0" w:space="0" w:color="auto"/>
      </w:divBdr>
      <w:divsChild>
        <w:div w:id="179859788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auler.seu.cat/inici.do?idens=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acat.c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3B19182DD8147438E11888AE5BFDC93" ma:contentTypeVersion="2" ma:contentTypeDescription="Crea un document nou" ma:contentTypeScope="" ma:versionID="2edfef62593172ef8d02107932090252">
  <xsd:schema xmlns:xsd="http://www.w3.org/2001/XMLSchema" xmlns:xs="http://www.w3.org/2001/XMLSchema" xmlns:p="http://schemas.microsoft.com/office/2006/metadata/properties" xmlns:ns1="http://schemas.microsoft.com/sharepoint/v3" xmlns:ns2="bb32321c-e981-4fc1-84e6-724110ed39cf" targetNamespace="http://schemas.microsoft.com/office/2006/metadata/properties" ma:root="true" ma:fieldsID="f8c8e443543baed0437d2850ce1f01df" ns1:_="" ns2:_="">
    <xsd:import namespace="http://schemas.microsoft.com/sharepoint/v3"/>
    <xsd:import namespace="bb32321c-e981-4fc1-84e6-724110ed39cf"/>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Data d'inici de la planificació" ma:description="Data d'inici de la planificació és una columna del lloc creada per la característica de publicació. S'utilitza per especificar la data i l'hora en què aquesta pàgina començarà a aparèixer als visitants del lloc." ma:hidden="true" ma:internalName="PublishingStartDate">
      <xsd:simpleType>
        <xsd:restriction base="dms:Unknown"/>
      </xsd:simpleType>
    </xsd:element>
    <xsd:element name="PublishingExpirationDate" ma:index="9" nillable="true" ma:displayName="Data de finalització de la planificació" ma:description="Data de finalització de la planificació és una columna del lloc creada per la característica de publicació. S'utilitza per especificar la data i l'hora en què aquesta pàgina deixarà d'aparèixer als visitants del lloc."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32321c-e981-4fc1-84e6-724110ed39cf"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F8CB3F-C042-40AC-8C9A-470A6CCE1D3D}">
  <ds:schemaRefs>
    <ds:schemaRef ds:uri="http://schemas.microsoft.com/sharepoint/v3/contenttype/forms"/>
  </ds:schemaRefs>
</ds:datastoreItem>
</file>

<file path=customXml/itemProps2.xml><?xml version="1.0" encoding="utf-8"?>
<ds:datastoreItem xmlns:ds="http://schemas.openxmlformats.org/officeDocument/2006/customXml" ds:itemID="{B4E79FD7-4669-4CA8-93F9-011B6E04DCB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60C1480-689C-4F24-8B54-D749DBD6CEA3}">
  <ds:schemaRefs>
    <ds:schemaRef ds:uri="http://schemas.openxmlformats.org/officeDocument/2006/bibliography"/>
  </ds:schemaRefs>
</ds:datastoreItem>
</file>

<file path=customXml/itemProps4.xml><?xml version="1.0" encoding="utf-8"?>
<ds:datastoreItem xmlns:ds="http://schemas.openxmlformats.org/officeDocument/2006/customXml" ds:itemID="{486EBF57-50B1-40A1-BCD6-4EFAA078F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b32321c-e981-4fc1-84e6-724110ed39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2994</Words>
  <Characters>17069</Characters>
  <Application>Microsoft Office Word</Application>
  <DocSecurity>0</DocSecurity>
  <Lines>142</Lines>
  <Paragraphs>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Generalitat de Catalunya</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Departament de Territori, Habitatge i Transició Ecològica de la Generalitat de Catalunya</dc:creator>
  <cp:keywords/>
  <dc:description/>
  <cp:lastModifiedBy>Grau Palau, Montserrat</cp:lastModifiedBy>
  <cp:revision>3</cp:revision>
  <cp:lastPrinted>2026-05-12T11:33:00Z</cp:lastPrinted>
  <dcterms:created xsi:type="dcterms:W3CDTF">2026-05-21T11:16:00Z</dcterms:created>
  <dcterms:modified xsi:type="dcterms:W3CDTF">2026-05-21T11:16:00Z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0x01010033B19182DD8147438E11888AE5BFDC93</vt:lpwstr>
  </property>
</Properties>
</file>