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C175D" w14:textId="7A791E2D" w:rsidR="00FD2D63" w:rsidRPr="006D1562" w:rsidRDefault="00FD2D63" w:rsidP="004929CA">
      <w:pPr>
        <w:rPr>
          <w:rFonts w:ascii="Calibri Light" w:hAnsi="Calibri Light" w:cs="Calibri Light"/>
          <w:sz w:val="24"/>
          <w:szCs w:val="24"/>
        </w:rPr>
      </w:pPr>
    </w:p>
    <w:p w14:paraId="5C3F246B"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ANEXO I</w:t>
      </w:r>
    </w:p>
    <w:p w14:paraId="2A305E0D" w14:textId="433A3649"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Bases de la convocatoria de subvenciones a entidades sin ánimo de lucro para proyectos de intervención socio educativa con personas reclusa</w:t>
      </w:r>
      <w:r w:rsidR="002C0246">
        <w:rPr>
          <w:rFonts w:ascii="Calibri Light" w:hAnsi="Calibri Light" w:cs="Calibri Light"/>
          <w:b/>
          <w:sz w:val="24"/>
          <w:szCs w:val="24"/>
        </w:rPr>
        <w:t>s y ex reclusas para el año 2025</w:t>
      </w:r>
    </w:p>
    <w:p w14:paraId="1C94E6BA"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Primera. –Objeto y finalidades.</w:t>
      </w:r>
    </w:p>
    <w:p w14:paraId="1764246C" w14:textId="18AC1B39" w:rsidR="00866FC1" w:rsidRPr="00FC65FA" w:rsidRDefault="00943ACF"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1. La Dirección General de </w:t>
      </w:r>
      <w:r w:rsidR="00866FC1" w:rsidRPr="00FC65FA">
        <w:rPr>
          <w:rFonts w:ascii="Calibri Light" w:hAnsi="Calibri Light" w:cs="Calibri Light"/>
          <w:sz w:val="24"/>
          <w:szCs w:val="24"/>
        </w:rPr>
        <w:t xml:space="preserve">Justicia convoca una subvención para el año </w:t>
      </w:r>
      <w:r w:rsidR="002C0246">
        <w:rPr>
          <w:rFonts w:ascii="Calibri Light" w:hAnsi="Calibri Light" w:cs="Calibri Light"/>
          <w:sz w:val="24"/>
          <w:szCs w:val="24"/>
        </w:rPr>
        <w:t>2025</w:t>
      </w:r>
      <w:r w:rsidR="00866FC1" w:rsidRPr="00FC65FA">
        <w:rPr>
          <w:rFonts w:ascii="Calibri Light" w:hAnsi="Calibri Light" w:cs="Calibri Light"/>
          <w:sz w:val="24"/>
          <w:szCs w:val="24"/>
        </w:rPr>
        <w:t xml:space="preserve"> mediante la cual se financiarán proyectos de inclusión social en el ámbito penitenciario realizados por entidades de iniciativa social sin ánimo de lucro. Estos proyectos tendrán como finalidad la mejora de las condiciones de vida de personas reclusas y/o ex reclusas en riesgo de exclusión social en Navarra, y contribuirán a la lucha contra la pobreza y a la promoción, empoderamiento y autonomía de estas personas, a la reducción de las causas de las desigualdades sociales y a la generación de cambios sistémicos y estructurales que nos permitan avanzar hacia una sociedad más inclusiva, equitativa y cohesionada, propiciando con ello su integración en la sociedad.</w:t>
      </w:r>
    </w:p>
    <w:p w14:paraId="77D5F53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Los proyectos de subvención estarán dirigidos a la inclusión social de las personas reclusas y/o ex reclusas.</w:t>
      </w:r>
    </w:p>
    <w:p w14:paraId="662CF86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Todos los proyectos deberán incluir la perspectiva de género tanto en su elaboración como en su ejecución.</w:t>
      </w:r>
    </w:p>
    <w:p w14:paraId="66415A1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Todos los proyectos deberán alinearse con las Líneas estratégicas del modelo de ejecución penal en Navarra.</w:t>
      </w:r>
    </w:p>
    <w:p w14:paraId="742AB8D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No es objeto de esta convocatoria de subvención la financiación de proyectos y actuaciones cuya financiación se contemple de modo específico en otras convocatorias públicas o cuya competencia corresponda a otras Administraciones Públicas. Asimismo, se excluyen expresamente los proyectos cuyo contenido sea la realización de obras de construcción y/o rehabilitación.</w:t>
      </w:r>
    </w:p>
    <w:p w14:paraId="2601F3B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Quedan expresamente excluidas de esta convocatoria las actuaciones recogidas como prestación garantizada de atención primaria en la cartera de servicios sociales.</w:t>
      </w:r>
    </w:p>
    <w:p w14:paraId="33EE69D9"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Segunda. –Disponibilidad presupuestaria.</w:t>
      </w:r>
    </w:p>
    <w:p w14:paraId="5C5F8B8A" w14:textId="538EA721"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 cuantía destina</w:t>
      </w:r>
      <w:r w:rsidR="00CE14D0" w:rsidRPr="00FC65FA">
        <w:rPr>
          <w:rFonts w:ascii="Calibri Light" w:hAnsi="Calibri Light" w:cs="Calibri Light"/>
          <w:sz w:val="24"/>
          <w:szCs w:val="24"/>
        </w:rPr>
        <w:t xml:space="preserve">da a tales fines será </w:t>
      </w:r>
      <w:r w:rsidR="00CE14D0" w:rsidRPr="000D3B67">
        <w:rPr>
          <w:rFonts w:ascii="Calibri Light" w:hAnsi="Calibri Light" w:cs="Calibri Light"/>
          <w:sz w:val="24"/>
          <w:szCs w:val="24"/>
        </w:rPr>
        <w:t xml:space="preserve">de </w:t>
      </w:r>
      <w:r w:rsidR="002C2F08" w:rsidRPr="000D3B67">
        <w:rPr>
          <w:rFonts w:ascii="Calibri Light" w:hAnsi="Calibri Light" w:cs="Calibri Light"/>
          <w:sz w:val="24"/>
          <w:szCs w:val="24"/>
        </w:rPr>
        <w:t>304.582,00</w:t>
      </w:r>
      <w:r w:rsidR="002C0246" w:rsidRPr="000D3B67">
        <w:rPr>
          <w:rFonts w:ascii="Calibri Light" w:hAnsi="Calibri Light" w:cs="Calibri Light"/>
          <w:sz w:val="24"/>
          <w:szCs w:val="24"/>
        </w:rPr>
        <w:t xml:space="preserve"> </w:t>
      </w:r>
      <w:r w:rsidR="00CE14D0" w:rsidRPr="000D3B67">
        <w:rPr>
          <w:rFonts w:ascii="Calibri Light" w:hAnsi="Calibri Light" w:cs="Calibri Light"/>
          <w:sz w:val="24"/>
          <w:szCs w:val="24"/>
        </w:rPr>
        <w:t>€, correspondientes</w:t>
      </w:r>
      <w:r w:rsidR="00CE14D0" w:rsidRPr="00FC65FA">
        <w:rPr>
          <w:rFonts w:ascii="Calibri Light" w:hAnsi="Calibri Light" w:cs="Calibri Light"/>
          <w:sz w:val="24"/>
          <w:szCs w:val="24"/>
        </w:rPr>
        <w:t xml:space="preserve"> a las siguientes partidas del presupuesto de gastos de </w:t>
      </w:r>
      <w:r w:rsidR="002C0246">
        <w:rPr>
          <w:rFonts w:ascii="Calibri Light" w:hAnsi="Calibri Light" w:cs="Calibri Light"/>
          <w:sz w:val="24"/>
          <w:szCs w:val="24"/>
        </w:rPr>
        <w:t>2025</w:t>
      </w:r>
      <w:r w:rsidR="00CE14D0" w:rsidRPr="00FC65FA">
        <w:rPr>
          <w:rFonts w:ascii="Calibri Light" w:hAnsi="Calibri Light" w:cs="Calibri Light"/>
          <w:sz w:val="24"/>
          <w:szCs w:val="24"/>
        </w:rPr>
        <w:t>:</w:t>
      </w:r>
    </w:p>
    <w:p w14:paraId="310D3F3C" w14:textId="0C2F58B0" w:rsidR="00CE14D0" w:rsidRPr="00FC65FA" w:rsidRDefault="002C0246" w:rsidP="00866FC1">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“F20001 F2400 4819 112104</w:t>
      </w:r>
      <w:r w:rsidRPr="000D3B67">
        <w:rPr>
          <w:rFonts w:ascii="Calibri Light" w:hAnsi="Calibri Light" w:cs="Calibri Light"/>
          <w:sz w:val="24"/>
          <w:szCs w:val="24"/>
        </w:rPr>
        <w:tab/>
        <w:t xml:space="preserve">Fondo 0,7%. Subvenciones a entidades sociales-actuaciones socio educativas con personas reclusas y/o ex-reclusas” </w:t>
      </w:r>
      <w:r w:rsidR="00CE14D0" w:rsidRPr="000D3B67">
        <w:rPr>
          <w:rFonts w:ascii="Calibri Light" w:hAnsi="Calibri Light" w:cs="Calibri Light"/>
          <w:sz w:val="24"/>
          <w:szCs w:val="24"/>
        </w:rPr>
        <w:t xml:space="preserve">dotada con </w:t>
      </w:r>
      <w:r w:rsidRPr="000D3B67">
        <w:rPr>
          <w:rFonts w:ascii="Calibri Light" w:hAnsi="Calibri Light" w:cs="Calibri Light"/>
          <w:sz w:val="24"/>
          <w:szCs w:val="24"/>
        </w:rPr>
        <w:t xml:space="preserve">224.582,00 </w:t>
      </w:r>
      <w:r w:rsidR="00813FD7" w:rsidRPr="000D3B67">
        <w:rPr>
          <w:rFonts w:ascii="Calibri Light" w:hAnsi="Calibri Light" w:cs="Calibri Light"/>
          <w:sz w:val="24"/>
          <w:szCs w:val="24"/>
        </w:rPr>
        <w:t xml:space="preserve">€ y </w:t>
      </w:r>
      <w:r w:rsidRPr="000D3B67">
        <w:rPr>
          <w:rFonts w:ascii="Calibri Light" w:hAnsi="Calibri Light" w:cs="Calibri Light"/>
          <w:sz w:val="24"/>
          <w:szCs w:val="24"/>
        </w:rPr>
        <w:t xml:space="preserve">“F20001 </w:t>
      </w:r>
      <w:r w:rsidRPr="000D3B67">
        <w:rPr>
          <w:rFonts w:ascii="Calibri Light" w:hAnsi="Calibri Light" w:cs="Calibri Light"/>
          <w:sz w:val="24"/>
          <w:szCs w:val="24"/>
        </w:rPr>
        <w:lastRenderedPageBreak/>
        <w:t>F2400</w:t>
      </w:r>
      <w:r w:rsidRPr="000D3B67">
        <w:rPr>
          <w:rFonts w:ascii="Calibri Light" w:hAnsi="Calibri Light" w:cs="Calibri Light"/>
          <w:sz w:val="24"/>
          <w:szCs w:val="24"/>
        </w:rPr>
        <w:tab/>
        <w:t>4819</w:t>
      </w:r>
      <w:r w:rsidRPr="000D3B67">
        <w:rPr>
          <w:rFonts w:ascii="Calibri Light" w:hAnsi="Calibri Light" w:cs="Calibri Light"/>
          <w:sz w:val="24"/>
          <w:szCs w:val="24"/>
        </w:rPr>
        <w:tab/>
        <w:t>112112 Subvenciones a entidades sociales actuaciones socio educativas con personas reclusas y/o ex-reclusas”,</w:t>
      </w:r>
      <w:r w:rsidR="00CE14D0" w:rsidRPr="000D3B67">
        <w:rPr>
          <w:rFonts w:ascii="Calibri Light" w:hAnsi="Calibri Light" w:cs="Calibri Light"/>
          <w:sz w:val="24"/>
          <w:szCs w:val="24"/>
        </w:rPr>
        <w:t xml:space="preserve"> dotada con </w:t>
      </w:r>
      <w:r w:rsidR="002C2F08" w:rsidRPr="000D3B67">
        <w:rPr>
          <w:rFonts w:ascii="Calibri Light" w:hAnsi="Calibri Light" w:cs="Calibri Light"/>
          <w:sz w:val="24"/>
          <w:szCs w:val="24"/>
        </w:rPr>
        <w:t>8</w:t>
      </w:r>
      <w:r w:rsidR="00CE14D0" w:rsidRPr="000D3B67">
        <w:rPr>
          <w:rFonts w:ascii="Calibri Light" w:hAnsi="Calibri Light" w:cs="Calibri Light"/>
          <w:sz w:val="24"/>
          <w:szCs w:val="24"/>
        </w:rPr>
        <w:t>0.000,00 €.</w:t>
      </w:r>
      <w:r w:rsidR="003F3A76" w:rsidRPr="00FC65FA">
        <w:rPr>
          <w:rFonts w:ascii="Calibri Light" w:hAnsi="Calibri Light" w:cs="Calibri Light"/>
          <w:sz w:val="24"/>
          <w:szCs w:val="24"/>
        </w:rPr>
        <w:t xml:space="preserve"> </w:t>
      </w:r>
    </w:p>
    <w:p w14:paraId="58790193"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 cuantía total se distribuirá en función de las siguientes modalidades de actuación:</w:t>
      </w:r>
    </w:p>
    <w:p w14:paraId="353E5971" w14:textId="57B3BDD7" w:rsidR="00866FC1" w:rsidRPr="000D3B67" w:rsidRDefault="00866FC1" w:rsidP="00866FC1">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 xml:space="preserve">A.– Actuaciones socio educativas para población reclusa o ex reclusa, para </w:t>
      </w:r>
      <w:r w:rsidR="002C0246" w:rsidRPr="000D3B67">
        <w:rPr>
          <w:rFonts w:ascii="Calibri Light" w:hAnsi="Calibri Light" w:cs="Calibri Light"/>
          <w:sz w:val="24"/>
          <w:szCs w:val="24"/>
        </w:rPr>
        <w:t xml:space="preserve">las que se reservarán </w:t>
      </w:r>
      <w:r w:rsidR="002C2F08" w:rsidRPr="000D3B67">
        <w:rPr>
          <w:rFonts w:ascii="Calibri Light" w:hAnsi="Calibri Light" w:cs="Calibri Light"/>
          <w:sz w:val="24"/>
          <w:szCs w:val="24"/>
        </w:rPr>
        <w:t>289.582</w:t>
      </w:r>
      <w:r w:rsidR="002C0246" w:rsidRPr="000D3B67">
        <w:rPr>
          <w:rFonts w:ascii="Calibri Light" w:hAnsi="Calibri Light" w:cs="Calibri Light"/>
          <w:sz w:val="24"/>
          <w:szCs w:val="24"/>
        </w:rPr>
        <w:t>,00</w:t>
      </w:r>
      <w:r w:rsidRPr="000D3B67">
        <w:rPr>
          <w:rFonts w:ascii="Calibri Light" w:hAnsi="Calibri Light" w:cs="Calibri Light"/>
          <w:sz w:val="24"/>
          <w:szCs w:val="24"/>
        </w:rPr>
        <w:t xml:space="preserve"> euros.</w:t>
      </w:r>
    </w:p>
    <w:p w14:paraId="33FA1340" w14:textId="3BC492D6" w:rsidR="00866FC1" w:rsidRPr="000D3B67" w:rsidRDefault="00866FC1" w:rsidP="00866FC1">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 xml:space="preserve">B.–Actuaciones formativas, deportivas, artísticas y culturales para población reclusa o ex reclusa, para </w:t>
      </w:r>
      <w:r w:rsidRPr="000D3B67">
        <w:rPr>
          <w:rFonts w:ascii="Calibri Light" w:hAnsi="Calibri Light" w:cs="Calibri Light"/>
          <w:sz w:val="24"/>
          <w:szCs w:val="24"/>
          <w:shd w:val="clear" w:color="auto" w:fill="FFFFFF" w:themeFill="background1"/>
        </w:rPr>
        <w:t xml:space="preserve">las que se </w:t>
      </w:r>
      <w:r w:rsidR="00CE14D0" w:rsidRPr="000D3B67">
        <w:rPr>
          <w:rFonts w:ascii="Calibri Light" w:hAnsi="Calibri Light" w:cs="Calibri Light"/>
          <w:sz w:val="24"/>
          <w:szCs w:val="24"/>
          <w:shd w:val="clear" w:color="auto" w:fill="FFFFFF" w:themeFill="background1"/>
        </w:rPr>
        <w:t>reservarán 1</w:t>
      </w:r>
      <w:r w:rsidR="002C2F08" w:rsidRPr="000D3B67">
        <w:rPr>
          <w:rFonts w:ascii="Calibri Light" w:hAnsi="Calibri Light" w:cs="Calibri Light"/>
          <w:sz w:val="24"/>
          <w:szCs w:val="24"/>
          <w:shd w:val="clear" w:color="auto" w:fill="FFFFFF" w:themeFill="background1"/>
        </w:rPr>
        <w:t>5</w:t>
      </w:r>
      <w:r w:rsidR="00CE14D0" w:rsidRPr="000D3B67">
        <w:rPr>
          <w:rFonts w:ascii="Calibri Light" w:hAnsi="Calibri Light" w:cs="Calibri Light"/>
          <w:sz w:val="24"/>
          <w:szCs w:val="24"/>
          <w:shd w:val="clear" w:color="auto" w:fill="FFFFFF" w:themeFill="background1"/>
        </w:rPr>
        <w:t>.000</w:t>
      </w:r>
      <w:r w:rsidRPr="000D3B67">
        <w:rPr>
          <w:rFonts w:ascii="Calibri Light" w:hAnsi="Calibri Light" w:cs="Calibri Light"/>
          <w:sz w:val="24"/>
          <w:szCs w:val="24"/>
          <w:shd w:val="clear" w:color="auto" w:fill="FFFFFF" w:themeFill="background1"/>
        </w:rPr>
        <w:t xml:space="preserve"> euros.</w:t>
      </w:r>
    </w:p>
    <w:p w14:paraId="1BC157DE" w14:textId="56DBEC7F" w:rsidR="00866FC1" w:rsidRPr="000D3B67" w:rsidRDefault="00866FC1" w:rsidP="00866FC1">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El importe máximo solicitado por proyecto no podrá superar los 140.000 euros en el caso de la modalidad A. El importe máximo por proyecto en la modalidad B será de 5.000 euros.</w:t>
      </w:r>
    </w:p>
    <w:p w14:paraId="5714FA79" w14:textId="77777777" w:rsidR="00567439" w:rsidRPr="000D3B67" w:rsidRDefault="00567439" w:rsidP="00567439">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La partida “F20001 F2400 4819 112104 Fondo 0,7%. Subvenciones a entidades sociales-actuaciones socio educativas con personas reclusas y/o ex-reclusas” se destinará íntegramente a la modalidad A.</w:t>
      </w:r>
    </w:p>
    <w:p w14:paraId="3BCABDA6" w14:textId="3DA6BD3A" w:rsidR="00E75659" w:rsidRPr="000D3B67" w:rsidRDefault="00567439" w:rsidP="00567439">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De la partida “F20001 F2400 4819 112112</w:t>
      </w:r>
      <w:r w:rsidRPr="000D3B67">
        <w:rPr>
          <w:rFonts w:ascii="Calibri Light" w:hAnsi="Calibri Light" w:cs="Calibri Light"/>
          <w:sz w:val="24"/>
          <w:szCs w:val="24"/>
        </w:rPr>
        <w:tab/>
        <w:t>(E) Subvenciones a entidades sociales-actuaciones socio educativas con personas reclusas y/o ex-reclusas” se destinarán 1</w:t>
      </w:r>
      <w:r w:rsidR="002C2F08" w:rsidRPr="000D3B67">
        <w:rPr>
          <w:rFonts w:ascii="Calibri Light" w:hAnsi="Calibri Light" w:cs="Calibri Light"/>
          <w:sz w:val="24"/>
          <w:szCs w:val="24"/>
        </w:rPr>
        <w:t>5</w:t>
      </w:r>
      <w:r w:rsidRPr="000D3B67">
        <w:rPr>
          <w:rFonts w:ascii="Calibri Light" w:hAnsi="Calibri Light" w:cs="Calibri Light"/>
          <w:sz w:val="24"/>
          <w:szCs w:val="24"/>
        </w:rPr>
        <w:t xml:space="preserve">.000 euros a la modalidad B y </w:t>
      </w:r>
      <w:r w:rsidR="002C2F08" w:rsidRPr="000D3B67">
        <w:rPr>
          <w:rFonts w:ascii="Calibri Light" w:hAnsi="Calibri Light" w:cs="Calibri Light"/>
          <w:sz w:val="24"/>
          <w:szCs w:val="24"/>
        </w:rPr>
        <w:t>65</w:t>
      </w:r>
      <w:r w:rsidRPr="000D3B67">
        <w:rPr>
          <w:rFonts w:ascii="Calibri Light" w:hAnsi="Calibri Light" w:cs="Calibri Light"/>
          <w:sz w:val="24"/>
          <w:szCs w:val="24"/>
        </w:rPr>
        <w:t xml:space="preserve">.000 a la </w:t>
      </w:r>
      <w:r w:rsidR="00A6404A" w:rsidRPr="000D3B67">
        <w:rPr>
          <w:rFonts w:ascii="Calibri Light" w:hAnsi="Calibri Light" w:cs="Calibri Light"/>
          <w:sz w:val="24"/>
          <w:szCs w:val="24"/>
        </w:rPr>
        <w:t xml:space="preserve">modalidad A. </w:t>
      </w:r>
    </w:p>
    <w:p w14:paraId="7FEC2A83" w14:textId="1B751F19" w:rsidR="00E75659" w:rsidRPr="00FC65FA" w:rsidRDefault="00E75659" w:rsidP="00567439">
      <w:pPr>
        <w:spacing w:before="100" w:beforeAutospacing="1" w:after="100" w:afterAutospacing="1"/>
        <w:jc w:val="both"/>
        <w:rPr>
          <w:rFonts w:ascii="Calibri Light" w:hAnsi="Calibri Light" w:cs="Calibri Light"/>
          <w:sz w:val="24"/>
          <w:szCs w:val="24"/>
        </w:rPr>
      </w:pPr>
      <w:r w:rsidRPr="000D3B67">
        <w:rPr>
          <w:rFonts w:ascii="Calibri Light" w:hAnsi="Calibri Light" w:cs="Calibri Light"/>
          <w:sz w:val="24"/>
          <w:szCs w:val="24"/>
        </w:rPr>
        <w:t>La modalidad A se imputará a las partidas por orden de puntuación, comenzando</w:t>
      </w:r>
      <w:r w:rsidRPr="00FC65FA">
        <w:rPr>
          <w:rFonts w:ascii="Calibri Light" w:hAnsi="Calibri Light" w:cs="Calibri Light"/>
          <w:sz w:val="24"/>
          <w:szCs w:val="24"/>
        </w:rPr>
        <w:t xml:space="preserve"> por la partida “F20001 F2400 4819 112104 Fondo 0,7%. Subvenciones a entidades sociales-actuaciones socio educativas con personas reclusas y/o ex-reclusas”.</w:t>
      </w:r>
    </w:p>
    <w:p w14:paraId="4D56A617" w14:textId="7736BE79" w:rsidR="00567439" w:rsidRPr="00FC65FA" w:rsidRDefault="00A6404A" w:rsidP="00567439">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En caso de que alguna de las modalidades no agote su crédito, el remanente pasará a la otra. </w:t>
      </w:r>
    </w:p>
    <w:p w14:paraId="63549C6A"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Tercera. –Requisitos de las entidades beneficiarias.</w:t>
      </w:r>
    </w:p>
    <w:p w14:paraId="40017443"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Para ser beneficiarias de las subvenciones objeto de esta convocatoria las entidades deberán cumplir los siguientes requisitos:</w:t>
      </w:r>
    </w:p>
    <w:p w14:paraId="12D5FB7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Ser personas jurídicas legalmente constituidas de conformidad con su naturaleza jurídica y estar inscritas, a fecha de finalización del plazo de presentación de solicitudes, en el registro que reglamentariamente les corresponda.</w:t>
      </w:r>
    </w:p>
    <w:p w14:paraId="361BF45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 Carecer de fines de lucro.</w:t>
      </w:r>
    </w:p>
    <w:p w14:paraId="697A9D93"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 Tener como fines expresos en sus estatutos la intervención social en el ámbito relacionado con la modalidad para la que solicite el proyecto.</w:t>
      </w:r>
    </w:p>
    <w:p w14:paraId="1FFC120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d) Hallarse al corriente en el cumplimiento de las obligaciones tributarias, frente a la Seguridad Social o de pago de obligaciones por reintegro de deudas a favor de la Administración de la Comunidad Foral de Navarra o sus Organismos Autónomos.</w:t>
      </w:r>
    </w:p>
    <w:p w14:paraId="244C798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 No haber sido objeto de sanción mediante resolución firme con la pérdida de la posibilidad de obtener subvenciones conforme a lo previsto en la legislación en materia de igualdad entre mujeres y hombres o en la legislación general tributaria.</w:t>
      </w:r>
    </w:p>
    <w:p w14:paraId="24DEE17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f) No estar incursas en el resto de prohibiciones que, para obtener la condición de beneficiaria de subvenciones, se establecen en el artículo 13, apartados 2 y 3, de la Ley Foral 11/2005, de 9 de noviembre, de Subvenciones.</w:t>
      </w:r>
    </w:p>
    <w:p w14:paraId="157D9A7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Todos los requisitos señalados deberán cumplirse en la fecha en que expire el plazo de presentación de solicitudes y mantenerse durante todo el periodo de ejecución de la actividad subvencionada.</w:t>
      </w:r>
    </w:p>
    <w:p w14:paraId="0E9C3641"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Cuarta. –Requisitos de los proyectos.</w:t>
      </w:r>
    </w:p>
    <w:p w14:paraId="19DA1FB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Los proyectos para los que se solicite la subvención deberán reunir los siguientes requisitos:</w:t>
      </w:r>
    </w:p>
    <w:p w14:paraId="5FFFDA51" w14:textId="77777777" w:rsidR="00866FC1" w:rsidRPr="00FC65FA" w:rsidRDefault="00866FC1" w:rsidP="00866FC1">
      <w:pPr>
        <w:pStyle w:val="Default"/>
        <w:rPr>
          <w:rFonts w:ascii="Calibri Light" w:hAnsi="Calibri Light" w:cs="Calibri Light"/>
          <w:color w:val="333333"/>
          <w:shd w:val="clear" w:color="auto" w:fill="FFFFFF"/>
        </w:rPr>
      </w:pPr>
      <w:r w:rsidRPr="00FC65FA">
        <w:rPr>
          <w:rFonts w:ascii="Calibri Light" w:hAnsi="Calibri Light" w:cs="Calibri Light"/>
        </w:rPr>
        <w:t>a) Ser adecuados a los objetivos y finalidades contenidos en la Base 1.ª de esta Convocatoria</w:t>
      </w:r>
      <w:r w:rsidRPr="00FC65FA">
        <w:rPr>
          <w:rFonts w:ascii="Calibri Light" w:hAnsi="Calibri Light" w:cs="Calibri Light"/>
          <w:color w:val="333333"/>
          <w:shd w:val="clear" w:color="auto" w:fill="FFFFFF"/>
        </w:rPr>
        <w:t>.</w:t>
      </w:r>
    </w:p>
    <w:p w14:paraId="756734A8" w14:textId="77777777" w:rsidR="00866FC1" w:rsidRPr="00FC65FA" w:rsidRDefault="00866FC1" w:rsidP="00866FC1">
      <w:pPr>
        <w:pStyle w:val="Default"/>
        <w:rPr>
          <w:rFonts w:ascii="Calibri Light" w:hAnsi="Calibri Light" w:cs="Calibri Light"/>
          <w:color w:val="333333"/>
          <w:shd w:val="clear" w:color="auto" w:fill="FFFFFF"/>
        </w:rPr>
      </w:pPr>
    </w:p>
    <w:p w14:paraId="135C0C11" w14:textId="0A75C289" w:rsidR="00866FC1" w:rsidRPr="00FC65FA" w:rsidRDefault="00866FC1" w:rsidP="00866FC1">
      <w:pPr>
        <w:pStyle w:val="Default"/>
        <w:rPr>
          <w:rFonts w:ascii="Calibri Light" w:hAnsi="Calibri Light" w:cs="Calibri Light"/>
        </w:rPr>
      </w:pPr>
      <w:r w:rsidRPr="00FC65FA">
        <w:rPr>
          <w:rFonts w:ascii="Calibri Light" w:hAnsi="Calibri Light" w:cs="Calibri Light"/>
        </w:rPr>
        <w:t xml:space="preserve">b) Realizar las actividades entre el 1 de enero y el 31 de diciembre del año </w:t>
      </w:r>
      <w:r w:rsidR="002C0246">
        <w:rPr>
          <w:rFonts w:ascii="Calibri Light" w:hAnsi="Calibri Light" w:cs="Calibri Light"/>
        </w:rPr>
        <w:t>2025</w:t>
      </w:r>
      <w:r w:rsidRPr="00FC65FA">
        <w:rPr>
          <w:rFonts w:ascii="Calibri Light" w:hAnsi="Calibri Light" w:cs="Calibri Light"/>
        </w:rPr>
        <w:t xml:space="preserve">. </w:t>
      </w:r>
      <w:r w:rsidR="00A6404A" w:rsidRPr="00FC65FA">
        <w:rPr>
          <w:rFonts w:ascii="Calibri Light" w:hAnsi="Calibri Light" w:cs="Calibri Light"/>
        </w:rPr>
        <w:t>Excepto para las entidades a las que no proceda pago anticipado, en cuyo caso el plazo será del 1 de enero al 30 de noviembre.</w:t>
      </w:r>
    </w:p>
    <w:p w14:paraId="4D47A58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 No sobrepasar los límites máximos de solicitud que establece la Base segunda.</w:t>
      </w:r>
    </w:p>
    <w:p w14:paraId="50A6964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d) Los costes indirectos a los que se hace referencia en la Base 6.ª presupuestados y aplicados a la subvención no podrán ser superiores al 15% de la misma.</w:t>
      </w:r>
    </w:p>
    <w:p w14:paraId="21DFA791"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Quinta. –Compatibilidad de subvenciones.</w:t>
      </w:r>
    </w:p>
    <w:p w14:paraId="1C2C18A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La concesión de las subvenciones previstas en esta convocatoria es compatible con otras que pudieran obtenerse para el desarrollo de la actividad, provengan de otras Administraciones Públicas diferentes a la Administración de la Comunidad Foral de Navarra, de otros entes públicos o privados o de particulares, nacionales o internacionales.</w:t>
      </w:r>
    </w:p>
    <w:p w14:paraId="62B99FB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El importe de las subvenciones concedidas no podrá, en ningún caso, ser de tal cuantía que, aislada o conjuntamente con otras subvenciones o ayudas procedentes de otras organizaciones o instituciones, públicas o privadas, supere el coste de la actividad subvencionada. A tal efecto, la entidad beneficiaria deberá cumplimentar la declaración responsable recogida en el Anexo III.</w:t>
      </w:r>
    </w:p>
    <w:p w14:paraId="06323244"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lastRenderedPageBreak/>
        <w:t>Sexta. –Gastos subvencionables.</w:t>
      </w:r>
    </w:p>
    <w:p w14:paraId="4EBEFFF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Se consideran gastos subvencionables aquellos que respondan a la naturaleza de la actividad subvencionada, resulten estrictamente necesarios y se realicen en el plazo establecido en estas Bases. En ningún caso el coste de dichos gastos podrá ser superior al valor del mercado.</w:t>
      </w:r>
    </w:p>
    <w:p w14:paraId="106DA4F5" w14:textId="7AF3A0B0"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2. Deberán corresponderse con entregas de bienes o prestaciones de servicios realizados a 31 de diciembre de </w:t>
      </w:r>
      <w:r w:rsidR="002C0246">
        <w:rPr>
          <w:rFonts w:ascii="Calibri Light" w:hAnsi="Calibri Light" w:cs="Calibri Light"/>
          <w:sz w:val="24"/>
          <w:szCs w:val="24"/>
        </w:rPr>
        <w:t>2025</w:t>
      </w:r>
      <w:r w:rsidRPr="00FC65FA">
        <w:rPr>
          <w:rFonts w:ascii="Calibri Light" w:hAnsi="Calibri Light" w:cs="Calibri Light"/>
          <w:sz w:val="24"/>
          <w:szCs w:val="24"/>
        </w:rPr>
        <w:t xml:space="preserve"> y pagado</w:t>
      </w:r>
      <w:r w:rsidR="002C0246">
        <w:rPr>
          <w:rFonts w:ascii="Calibri Light" w:hAnsi="Calibri Light" w:cs="Calibri Light"/>
          <w:sz w:val="24"/>
          <w:szCs w:val="24"/>
        </w:rPr>
        <w:t>s hasta el 10 de febrero de 2026</w:t>
      </w:r>
      <w:r w:rsidRPr="00FC65FA">
        <w:rPr>
          <w:rFonts w:ascii="Calibri Light" w:hAnsi="Calibri Light" w:cs="Calibri Light"/>
          <w:sz w:val="24"/>
          <w:szCs w:val="24"/>
        </w:rPr>
        <w:t>.</w:t>
      </w:r>
      <w:r w:rsidR="00A6404A" w:rsidRPr="00FC65FA">
        <w:rPr>
          <w:rFonts w:ascii="Calibri Light" w:hAnsi="Calibri Light" w:cs="Calibri Light"/>
          <w:sz w:val="24"/>
          <w:szCs w:val="24"/>
        </w:rPr>
        <w:t xml:space="preserve"> Excepto para las entidades las que no proceda pago anticipado, en cuyo caso el plazo será del 1 de enero al 30 de noviembre.</w:t>
      </w:r>
    </w:p>
    <w:p w14:paraId="595E0DC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Los gastos subvencionables pueden corresponder a los siguientes conceptos:</w:t>
      </w:r>
    </w:p>
    <w:p w14:paraId="0842EBF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Gastos directos necesarios para la ejecución de las actividades del proyecto:</w:t>
      </w:r>
    </w:p>
    <w:p w14:paraId="0A638C2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a.1) Alquileres de inmuebles y gastos corrientes derivados de la utilización de los mismos. En el caso de actividades realizadas en la sede de la entidad, y ésta estuviera alquilada, solo se podrá imputar como coste directo la parte proporcional que esta actividad suponga del conjunto de actuaciones de la entidad. En el caso de los gastos corrientes indicados solo serán subvencionables como gastos directos cuando la actividad se realice en un local exclusivamente destinado a la misma.</w:t>
      </w:r>
    </w:p>
    <w:p w14:paraId="2804355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a.2) Materiales y suministros que se precisen directamente para la realización de la actividad.</w:t>
      </w:r>
    </w:p>
    <w:p w14:paraId="44802D6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sólo se podrá imputar como coste directo la parte proporcional que esta actividad suponga del conjunto de actuaciones que dicho personal realice.</w:t>
      </w:r>
    </w:p>
    <w:p w14:paraId="045A31C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Se determina que la subvención del gasto de personal, como máximo, será lo establecido en el Convenio Colectivo del Sector de la Acción e Intervención Social de Navarra.</w:t>
      </w:r>
    </w:p>
    <w:p w14:paraId="1334F1C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los gastos de desplazamiento del personal al servicio de la Administración de la Comunidad Foral de Navarra y sus organismos autónomos (Boletín Oficial de Navarra número 244, de 17 de diciembre de 2012). Los gastos de viajes y dietas se justificarán mediante transferencia bancaria.</w:t>
      </w:r>
    </w:p>
    <w:p w14:paraId="712BCEC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a.5) Servicios técnicos y profesionales. Se refiere a la contratación puntual de profesionales ajenos o ajenas a la entidad, con el fin de que realicen una actividad concreta recogida en el proyecto subvencionado y se justificarán mediante transferencia bancaria.</w:t>
      </w:r>
    </w:p>
    <w:p w14:paraId="38A9B68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a.6) Gastos financieros. Se consideran aquellos en los que hubiera de incurrir la entidad, en el supuesto de que la no interrupción de su actividad en perjuicio de terceras partes exigiera la solicitud de un préstamo bancario o línea de crédito, siendo únicamente imputables en este concepto los intereses devengados hasta la realización del anticipo de la subvención, así como los gastos ocasionados con la apertura y cierre del préstamo. Quedan excluidos los intereses deudores de las cuentas bancarias (descubiertos en cuenta corriente).</w:t>
      </w:r>
    </w:p>
    <w:p w14:paraId="61CC8FC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 apertura de la línea de crédito o préstamo será solicitada inequívocamente para el proyecto presentado en esta convocatoria, siendo la cuantía máxima subvencionable 2.000 euros. No se contemplarán los gastos financieros si la entidad no solicita abono anticipado de la subvención.</w:t>
      </w:r>
    </w:p>
    <w:p w14:paraId="7FB5396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Para determinar los gastos financieros atribuibles a la subvención, se tendrá en cuenta que la cuantía del préstamo o crédito solicitado a la Entidad Bancaria no exceda del 70% del coste total del proyecto. En caso contrario, se prorrateará hasta dicho porcentaje.</w:t>
      </w:r>
    </w:p>
    <w:p w14:paraId="666842B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a.7) Se excluirá el importe del Impuesto sobre el Valor Añadido (IVA) en los casos en que éste sea repercutible, es decir, susceptible de recuperación o compensación.</w:t>
      </w:r>
    </w:p>
    <w:p w14:paraId="48D54585"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B) Gastos indirectos.</w:t>
      </w:r>
    </w:p>
    <w:p w14:paraId="38D8D8A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Se podrá aplicar a la subvención un importe igual o inferior al 15% de la misma, en concepto de costes indirectos del proyecto, entendiéndose por éstos los gastos generales de funcionamiento de la entidad beneficiaria (otros gastos de personal, de locales, materiales de oficina y otros gastos corrientes). Al menos el 75% de los gastos indirectos corresponderán a gastos realizados en Navarra.</w:t>
      </w:r>
    </w:p>
    <w:p w14:paraId="71FB861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4. En ningún caso serán subvencionables la adquisición de equipamientos y bienes </w:t>
      </w:r>
      <w:proofErr w:type="spellStart"/>
      <w:r w:rsidRPr="00FC65FA">
        <w:rPr>
          <w:rFonts w:ascii="Calibri Light" w:hAnsi="Calibri Light" w:cs="Calibri Light"/>
          <w:sz w:val="24"/>
          <w:szCs w:val="24"/>
        </w:rPr>
        <w:t>inventariables</w:t>
      </w:r>
      <w:proofErr w:type="spellEnd"/>
      <w:r w:rsidRPr="00FC65FA">
        <w:rPr>
          <w:rFonts w:ascii="Calibri Light" w:hAnsi="Calibri Light" w:cs="Calibri Light"/>
          <w:sz w:val="24"/>
          <w:szCs w:val="24"/>
        </w:rPr>
        <w:t xml:space="preserve">, así como materiales de construcción, gastos para atenciones protocolarias y suntuarias (almuerzos, recepciones, regalos, flores, entradas a espectáculos, etc.) y las amortizaciones. </w:t>
      </w:r>
    </w:p>
    <w:p w14:paraId="5954B00B"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Séptima. –Presentación de solicitudes.</w:t>
      </w:r>
    </w:p>
    <w:p w14:paraId="20F2881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Cada entidad solicitante sólo podrá presentar una única solicitud de subvención para cada una de las modalidades de actuación establecidas en la base segunda. Es decir, podrán presentar un máximo de dos solicitudes, una por modalidad.</w:t>
      </w:r>
    </w:p>
    <w:p w14:paraId="135C8C8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El plazo de presentación de las solicitudes será de 15 días hábiles a contar desde el día siguiente al de la publicación de la presente convocatoria en el Boletín Oficial de Navarra.</w:t>
      </w:r>
    </w:p>
    <w:p w14:paraId="60875E7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3. Las solicitudes se presentarán telemáticamente a través del Registro General Electrónico del Gobierno de Navarra.</w:t>
      </w:r>
    </w:p>
    <w:p w14:paraId="44401C7A" w14:textId="373A4A9A"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Únicamente en casos de mal funcionamiento del Registro que imposibilite la presentación telemática, situación que deberá acreditarse, se admitirán solicitudes no telemáticas en el Registro de la Dirección General de Justicia (calle Monasterio de Irache, </w:t>
      </w:r>
      <w:proofErr w:type="gramStart"/>
      <w:r w:rsidRPr="00FC65FA">
        <w:rPr>
          <w:rFonts w:ascii="Calibri Light" w:hAnsi="Calibri Light" w:cs="Calibri Light"/>
          <w:sz w:val="24"/>
          <w:szCs w:val="24"/>
        </w:rPr>
        <w:t>22,  31011</w:t>
      </w:r>
      <w:proofErr w:type="gramEnd"/>
      <w:r w:rsidRPr="00FC65FA">
        <w:rPr>
          <w:rFonts w:ascii="Calibri Light" w:hAnsi="Calibri Light" w:cs="Calibri Light"/>
          <w:sz w:val="24"/>
          <w:szCs w:val="24"/>
        </w:rPr>
        <w:t xml:space="preserve"> Pamplona) o en cualquiera de los lugares previstos en el artículo 16 de la Ley 39/2015, de 1 de octubre,  del Procedimiento Administrativo Común de las Administraciones Públicas.</w:t>
      </w:r>
    </w:p>
    <w:p w14:paraId="6A9149F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Además, en el caso de que las solicitudes se presenten en otros Registros oficiales distintos a los del Gobierno de Navarra deberán anunciar tal presentación a la unidad gestora mediante correo electrónico enviado a ejecucionpenal@navarra.es el mismo día de la presentación.</w:t>
      </w:r>
    </w:p>
    <w:p w14:paraId="62CF53C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Las solicitudes que se presenten a través de las Oficinas de Correos deberán cumplir las especificaciones a que se refiere el Real Decreto 1829/1999, de 3 de diciembre, por el que se regula la prestación de los servicios postales. Las entidades solicitantes deberán anunciar la remisión de la solicitud, mediante correo electrónico enviado el mismo día a ejecucionpenal@navarra.es.</w:t>
      </w:r>
    </w:p>
    <w:p w14:paraId="46CF063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La presentación de las solicitudes fuera del plazo establecido dará lugar a la inadmisión de las mismas.</w:t>
      </w:r>
    </w:p>
    <w:p w14:paraId="0F2D3F0D"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Octava. –Documentación a presentar.</w:t>
      </w:r>
    </w:p>
    <w:p w14:paraId="55D8808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Las entidades solicitantes presentarán la solicitud en Instancia general del Gobierno de Navarra acompañada de la siguiente documentación que deberá ser original o, en su caso, fotocopias y que será presentada telemáticamente:</w:t>
      </w:r>
    </w:p>
    <w:p w14:paraId="6DC6CA33"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Documentación de la entidad solicitante:</w:t>
      </w:r>
    </w:p>
    <w:p w14:paraId="7E47F19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a.1) Estatutos de la entidad.</w:t>
      </w:r>
    </w:p>
    <w:p w14:paraId="290C6A2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a.2) Certificados u otro documento acreditativo de la inscripción de la entidad en el Registro que reglamentariamente le corresponda.</w:t>
      </w:r>
    </w:p>
    <w:p w14:paraId="5C511F7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a.3) Tarjeta de identificación fiscal.</w:t>
      </w:r>
    </w:p>
    <w:p w14:paraId="2F3165D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a.4) Declaración responsable, otorgada por quien represente a la entidad, haciendo constar que ni ésta, ni quienes la administran o representan, se hallan incursas en las prohibiciones para obtener la condición de beneficiaria de subvenciones, previstas en el artículo 13, apartados 2 y 3, de la Ley Foral 11/2005, de 9 de noviembre, de Subvenciones y, ni de haber sido objeto de sanción en materia de igualdad entre mujeres y hombres o en materia tributaria.</w:t>
      </w:r>
    </w:p>
    <w:p w14:paraId="151C866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a.5) Certificado expedido por la Tesorería General de la Seguridad Social acreditativo de hallarse al corriente en el pago de las obligaciones de la Seguridad Social que le imponen las disposiciones vigentes, expedido con una antelación no superior a un mes. No será necesario presentar esta documentación si se concede autorización para que se pueda realizar esta comprobación directamente por el Departamento de Interior, Función Pública y Justicia (Anexo IV).</w:t>
      </w:r>
    </w:p>
    <w:p w14:paraId="025CF81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a.6) Certificado expedido por el Gobierno de Navarra y/o Agencia Tributaria Española acreditativo de estar al corriente en el cumplimiento de sus obligaciones tributarias, expedido con una antelación no superior a un mes. No será necesario presentar esta documentación si se concede autorización para que se pueda realizar esta comprobación directamente por el Departamento de Interior, Función Pública y Justicia (Anexo IV).</w:t>
      </w:r>
    </w:p>
    <w:p w14:paraId="43A60F3A" w14:textId="29DC157F"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a.7) Solicitud de abono por transferencia si fuese la primera vez que se solicitan subvenciones al Gobierno de Navarra o se modificase la cuenta bancaria en la que se han con</w:t>
      </w:r>
      <w:r w:rsidR="00393C48" w:rsidRPr="00FC65FA">
        <w:rPr>
          <w:rFonts w:ascii="Calibri Light" w:hAnsi="Calibri Light" w:cs="Calibri Light"/>
          <w:sz w:val="24"/>
          <w:szCs w:val="24"/>
        </w:rPr>
        <w:t>signado subvenciones anteriores, siendo posible realizar el trámite en la web de Gobierno de Navarra: https://www.navarra.es/es/tramites/on/-/line/consulta-de-cuentas-y-pagos?back=true&amp;pageBackId=5722676</w:t>
      </w:r>
    </w:p>
    <w:p w14:paraId="54A2F67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a.8) En su caso, y en relación con lo dispuesto en la Base 14.ª, informe justificativo de la necesidad de provisión anticipada de fondos para el cumplimiento de los fines de la subvención, así como en lo dispuesto en la base sexta punto a.6 “gastos financieros”.</w:t>
      </w:r>
    </w:p>
    <w:p w14:paraId="0AD7292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a.9) Con carácter voluntario, las entidades solicitantes podrán presentar, junto con la solicitud de subvención, la información requerida para dar cumplimiento a la obligación de transparencia regulada en la base decimoctava de la presente convocatoria. En caso de no optar por presentar la referida información junto con la solicitud, las entidades que resulten beneficiarias de la subvención deberán presentar la información en el plazo de 10 días contados desde la notificación o, en su caso, fecha de publicación de la resolución de concesión de la subvención.</w:t>
      </w:r>
    </w:p>
    <w:p w14:paraId="7B5172E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 Documentación para la valoración:</w:t>
      </w:r>
    </w:p>
    <w:p w14:paraId="7EB3318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b.1) Memoria del proyecto en formulario oficial presentado en soporte informático que estará a disposición de las interesadas en el Catálogo de Servicios de la página web del Gobierno de Navarra (http://www.navarra.es/home_es/Servicios/) y en la dirección de correo electrónico: </w:t>
      </w:r>
      <w:hyperlink r:id="rId6" w:history="1">
        <w:r w:rsidRPr="00FC65FA">
          <w:rPr>
            <w:rStyle w:val="Hipervnculo"/>
            <w:rFonts w:ascii="Calibri Light" w:hAnsi="Calibri Light" w:cs="Calibri Light"/>
            <w:sz w:val="24"/>
            <w:szCs w:val="24"/>
          </w:rPr>
          <w:t>ejecucionpenal@navarra.es</w:t>
        </w:r>
      </w:hyperlink>
      <w:r w:rsidRPr="00FC65FA">
        <w:rPr>
          <w:rFonts w:ascii="Calibri Light" w:hAnsi="Calibri Light" w:cs="Calibri Light"/>
          <w:sz w:val="24"/>
          <w:szCs w:val="24"/>
        </w:rPr>
        <w:t>. Esta memoria tendrá un límite máximo de 50 páginas, con tamaño de letra Arial 11.</w:t>
      </w:r>
    </w:p>
    <w:p w14:paraId="3B7F3DA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b.2) Cuanta documentación gráfica, técnica, económica (facturas pro forma, presupuestos profesionales, etc.) y de otra índole que se estime necesaria para la correcta comprensión del proyecto. Toda esta documentación tendrá la consideración de anexos a la memoria. </w:t>
      </w:r>
    </w:p>
    <w:p w14:paraId="1B6C885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2. De conformidad con lo dispuesto en el artículo 13.8 de la Ley Foral 11/2005, de 9 de noviembre, de Subvenciones y en la Ley 39/2015, de 1 de octubre, del Procedimiento Administrativo Común de las Administraciones Públicas, no será necesario presentar los documentos exigidos  en las letras a.1), a.2 y a.3) del primer apartado de esta Base en el caso que ya se encuentren en poder de la Administración actuante o hayan sido elaborados por cualquier otra Administración, siempre que la persona interesada haya expresado su consentimiento a que sean consultados o recabados dichos documentos.</w:t>
      </w:r>
    </w:p>
    <w:p w14:paraId="2DB6F0D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los efectos de lo señalado en el párrafo anterior, se respetará una antigüedad de cinco años desde la finalización del expediente para el cual se presentó. En tales supuestos, siempre que no se haya producido modificación en los referidos documentos, la presentación podrá sustituirse por una declaración, emitida por quien represente a la entidad, haciendo constar tal circunstancia o si las Entidades sufrieran una modificación, única y exclusivamente, en su forma jurídica de personificación, ésta deberá estar acreditada en los Estatutos de la Entidad.</w:t>
      </w:r>
    </w:p>
    <w:p w14:paraId="5E42E270" w14:textId="2EF7E16A"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De conformidad con lo dispuesto en el artículo 28 de la Ley 39/2015</w:t>
      </w:r>
      <w:r w:rsidR="00BE6A10">
        <w:rPr>
          <w:rFonts w:ascii="Calibri Light" w:hAnsi="Calibri Light" w:cs="Calibri Light"/>
          <w:sz w:val="24"/>
          <w:szCs w:val="24"/>
        </w:rPr>
        <w:t xml:space="preserve">, </w:t>
      </w:r>
      <w:r w:rsidR="00BE6A10" w:rsidRPr="00FC65FA">
        <w:rPr>
          <w:rFonts w:ascii="Calibri Light" w:hAnsi="Calibri Light" w:cs="Calibri Light"/>
          <w:sz w:val="24"/>
          <w:szCs w:val="24"/>
        </w:rPr>
        <w:t>de 1 de octubre, del Procedimiento Administrativo Común de las Administraciones Públicas</w:t>
      </w:r>
      <w:r w:rsidR="00BE6A10">
        <w:rPr>
          <w:rFonts w:ascii="Calibri Light" w:hAnsi="Calibri Light" w:cs="Calibri Light"/>
          <w:sz w:val="24"/>
          <w:szCs w:val="24"/>
        </w:rPr>
        <w:t>,</w:t>
      </w:r>
      <w:r w:rsidRPr="00FC65FA">
        <w:rPr>
          <w:rFonts w:ascii="Calibri Light" w:hAnsi="Calibri Light" w:cs="Calibri Light"/>
          <w:sz w:val="24"/>
          <w:szCs w:val="24"/>
        </w:rPr>
        <w:t xml:space="preserve"> se presumirá que la consulta u obtención de los datos y documentos no aportados es autorizada salvo que conste en el procedimiento la oposición expresa de la persona interesada o la ley especial aplicable requiera consentimiento expreso.</w:t>
      </w:r>
    </w:p>
    <w:p w14:paraId="46F5DD92"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Novena. –Procedimiento de concesión e instrucción.</w:t>
      </w:r>
    </w:p>
    <w:p w14:paraId="6141FFA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El procedimiento de concesión de subvenciones a utilizar será el de concurrencia competitiva, en los términos previstos en el artículo 17.1 de la Ley Foral 11/2005, de 9 de noviembre, de Subvenciones.</w:t>
      </w:r>
    </w:p>
    <w:p w14:paraId="3BFAA7A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La tramitación de las solicitudes la realizará la Dirección General de Justicia, designándose como órgano instructor al Servicio de Reinserción, Mediación y Justicia Restaurativa, quien verificará el cumplimiento de los requisitos necesarios para acceder a las subvenciones y realizará de oficio la valoración de las solicitudes conforme a conforme a los criterios establecidos en el Anexo II.</w:t>
      </w:r>
    </w:p>
    <w:p w14:paraId="1F361396"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Se requerirá a la entidad interesada, de acuerdo con lo establecido en el artículo 19.3 de la Ley Foral 11/2005, de 9 de noviembre, de Subvenciones, para que, en un plazo de diez días hábiles, subsane las faltas o acompañe los documentos preceptivos, con indicación de que, si así no lo hiciera, se le tendrá por desistida de su petición, previa resolución de archivo del expediente en los términos previstos en el artículo 21 de la Ley 39/2015, de 1 de octubre, del Procedimiento Administrativo Común de las Administraciones Públicas, en los siguientes casos:</w:t>
      </w:r>
    </w:p>
    <w:p w14:paraId="4DD66527"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Si la solicitud no reuniera los datos de identificación, tanto de la subvención solicitada como de la entidad solicitante.</w:t>
      </w:r>
    </w:p>
    <w:p w14:paraId="78B40F30"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b) Errores u omisiones en la documentación correspondiente al apartado A de la base 8.ª</w:t>
      </w:r>
    </w:p>
    <w:p w14:paraId="553CC472"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 Problemas que requieran una modificación de presupuesto (errores aritméticos, inexactitudes, costes poco realistas u otros costes no elegibles). Esta comprobación podrá dar lugar a solicitudes de aclaración y, en su caso, a que el órgano instructor imponga modificaciones o reducciones para hacer frente a tales errores o inexactitudes.</w:t>
      </w:r>
    </w:p>
    <w:p w14:paraId="6E330B41"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d) Cualquiera de los previstos en el artículo 66 de la Ley 39/2015, de 1 de octubre, del Procedimiento Administrativo Común de las Administraciones Públicas.</w:t>
      </w:r>
    </w:p>
    <w:p w14:paraId="112CC769" w14:textId="77777777" w:rsidR="00943ACF" w:rsidRPr="00FC65FA" w:rsidRDefault="00943ACF" w:rsidP="00943ACF">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En cualquier otro caso, y en especial toda la documentación que se presente con el fin de ser valorada, no será objeto de subsanación.</w:t>
      </w:r>
    </w:p>
    <w:p w14:paraId="2839E3BA" w14:textId="1A2ED1A1" w:rsidR="00866FC1" w:rsidRPr="00FC65FA" w:rsidRDefault="00866FC1" w:rsidP="00943ACF">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Décima. –Valoración y determinación de la cuantía de la subvención.</w:t>
      </w:r>
    </w:p>
    <w:p w14:paraId="4FE2258B" w14:textId="19902655"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Las solicitudes se valorarán separada e independientemente, en una escala de 0 a 100 puntos, teniendo en cuenta los criterios objetivos y s</w:t>
      </w:r>
      <w:r w:rsidR="00CE14D0" w:rsidRPr="00FC65FA">
        <w:rPr>
          <w:rFonts w:ascii="Calibri Light" w:hAnsi="Calibri Light" w:cs="Calibri Light"/>
          <w:sz w:val="24"/>
          <w:szCs w:val="24"/>
        </w:rPr>
        <w:t>u ponderación, señalados en el A</w:t>
      </w:r>
      <w:r w:rsidRPr="00FC65FA">
        <w:rPr>
          <w:rFonts w:ascii="Calibri Light" w:hAnsi="Calibri Light" w:cs="Calibri Light"/>
          <w:sz w:val="24"/>
          <w:szCs w:val="24"/>
        </w:rPr>
        <w:t>nexo II.</w:t>
      </w:r>
    </w:p>
    <w:p w14:paraId="31C73092" w14:textId="3C8EFED6"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Para poder recibir subvención los proyectos deberán alcanzar en total una puntuación mínima de 60 puntos, obteniendo al m</w:t>
      </w:r>
      <w:r w:rsidR="00CE14D0" w:rsidRPr="00FC65FA">
        <w:rPr>
          <w:rFonts w:ascii="Calibri Light" w:hAnsi="Calibri Light" w:cs="Calibri Light"/>
          <w:sz w:val="24"/>
          <w:szCs w:val="24"/>
        </w:rPr>
        <w:t>enos 50 en el apartado “B” del A</w:t>
      </w:r>
      <w:r w:rsidRPr="00FC65FA">
        <w:rPr>
          <w:rFonts w:ascii="Calibri Light" w:hAnsi="Calibri Light" w:cs="Calibri Light"/>
          <w:sz w:val="24"/>
          <w:szCs w:val="24"/>
        </w:rPr>
        <w:t>nexo I</w:t>
      </w:r>
      <w:r w:rsidR="00CE14D0" w:rsidRPr="00FC65FA">
        <w:rPr>
          <w:rFonts w:ascii="Calibri Light" w:hAnsi="Calibri Light" w:cs="Calibri Light"/>
          <w:sz w:val="24"/>
          <w:szCs w:val="24"/>
        </w:rPr>
        <w:t>I</w:t>
      </w:r>
      <w:r w:rsidRPr="00FC65FA">
        <w:rPr>
          <w:rFonts w:ascii="Calibri Light" w:hAnsi="Calibri Light" w:cs="Calibri Light"/>
          <w:sz w:val="24"/>
          <w:szCs w:val="24"/>
        </w:rPr>
        <w:t>.</w:t>
      </w:r>
    </w:p>
    <w:p w14:paraId="419F1A2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La asignación de la cuantía de la subvención coincidirá con el 100% del presupuesto solicitado y aceptado.</w:t>
      </w:r>
    </w:p>
    <w:p w14:paraId="0FBBC84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En el caso de que en alguna de las modalidades el conjunto de cuantías solicitadas correspondientes a las solicitudes valoradas positivamente, excediera del crédito de la consignación presupuestaria establecido para la modalidad, se establecerá un orden de prelación en función de la puntuación obtenida en la valoración y se asignarán las subvenciones hasta ese límite. El último proyecto que según este procedimiento pudiera obtener subvención, si lo solicitado fuera superior a la cuantía disponible para su financiación, requerirá que la subvención se proponga si fuese eficiente su concesión, para lo cual se procederá al trámite previsto en la Base 11.ª.</w:t>
      </w:r>
    </w:p>
    <w:p w14:paraId="31FE16EB" w14:textId="012EF5BB"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5. En el caso de que varios proyectos hubieran obtenido la misma puntuación y no existiera crédito presupuestario, la entidad beneficiaria será aquella que hubiera obtenido mayor puntuación en el apartado B d</w:t>
      </w:r>
      <w:r w:rsidR="00113AD5" w:rsidRPr="00FC65FA">
        <w:rPr>
          <w:rFonts w:ascii="Calibri Light" w:hAnsi="Calibri Light" w:cs="Calibri Light"/>
          <w:sz w:val="24"/>
          <w:szCs w:val="24"/>
        </w:rPr>
        <w:t>el An</w:t>
      </w:r>
      <w:r w:rsidRPr="00FC65FA">
        <w:rPr>
          <w:rFonts w:ascii="Calibri Light" w:hAnsi="Calibri Light" w:cs="Calibri Light"/>
          <w:sz w:val="24"/>
          <w:szCs w:val="24"/>
        </w:rPr>
        <w:t>exo I</w:t>
      </w:r>
      <w:r w:rsidR="00113AD5" w:rsidRPr="00FC65FA">
        <w:rPr>
          <w:rFonts w:ascii="Calibri Light" w:hAnsi="Calibri Light" w:cs="Calibri Light"/>
          <w:sz w:val="24"/>
          <w:szCs w:val="24"/>
        </w:rPr>
        <w:t>I</w:t>
      </w:r>
      <w:r w:rsidRPr="00FC65FA">
        <w:rPr>
          <w:rFonts w:ascii="Calibri Light" w:hAnsi="Calibri Light" w:cs="Calibri Light"/>
          <w:sz w:val="24"/>
          <w:szCs w:val="24"/>
        </w:rPr>
        <w:t>. De persistir el empate se resolverá por orden de puntuación en el apartado B1 de los criterios de valoración del proyecto.</w:t>
      </w:r>
    </w:p>
    <w:p w14:paraId="7BC1FCC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6. Si en alguna modalidad no se agotase el crédito establecido para la modalidad, la cantidad sobrante se distribuirá hasta agotar el crédito entre la otra modalidad. Si no se agotase el crédito de la consignación presupuestaria establecida, la entidad convocante podrá solicitar la inclusión de mejoras en el proyecto presentado por el importe restante hasta agotar la </w:t>
      </w:r>
      <w:r w:rsidRPr="00FC65FA">
        <w:rPr>
          <w:rFonts w:ascii="Calibri Light" w:hAnsi="Calibri Light" w:cs="Calibri Light"/>
          <w:sz w:val="24"/>
          <w:szCs w:val="24"/>
        </w:rPr>
        <w:lastRenderedPageBreak/>
        <w:t>consignación prevista, mejoras que deberán ser valoradas y, en su caso, aceptadas por la entidad convocante.</w:t>
      </w:r>
    </w:p>
    <w:p w14:paraId="5C0B3C1A"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Undécima. –Reformulación.</w:t>
      </w:r>
    </w:p>
    <w:p w14:paraId="360D9B2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En caso de que el importe de la propuesta de subvención sea inferior al que figura en la solicitud presentada, el órgano instructor podrá instar la reformulación de la solicitud, respetando su objeto y características, para ajustar los compromisos y condiciones a la subvención otorgable. El presupuesto de la reformulación no deberá ser inferior a la suma de la cuantía de subvención propuesta más la de cofinanciación prevista inicialmente, si la hubiera, en términos homogéneos (se mantendrá el mismo porcentaje de cofinanciación reseñado en la solicitud).</w:t>
      </w:r>
    </w:p>
    <w:p w14:paraId="4306A5C6"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Duodécima. –Resolución del procedimiento.</w:t>
      </w:r>
    </w:p>
    <w:p w14:paraId="71127F0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Una vez instruido el procedimiento y elevada la propuesta de resolución de las solicitudes presentadas, corresponde dictar resolución a la Directora General de Justicia, en virtud de las facultades atribuidas por la Ley Foral 11/2005, de 9 de noviembre, de Subvenciones, así como, por el Decreto Foral 254/2023, de 15 de noviembre, por el que se establece la estructura orgánica del Departamento de Interior, Función Pública y Justicia.</w:t>
      </w:r>
    </w:p>
    <w:p w14:paraId="6D9F6703"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El plazo para dictar y notificar la resolución es de tres meses, contados desde la fecha de finalización del plazo de presentación de solicitudes. Transcurrido este plazo sin dictar y notificar resolución expresa, se entenderá desestimada la solicitud.</w:t>
      </w:r>
    </w:p>
    <w:p w14:paraId="173FBE8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Dicha Resolución contendrá la relación de solicitantes a quienes se conceden las subvenciones, la finalidad, importe, forma y plazo de abono y modo y plazo de justificación de las mismas; así como la desestimación del resto de solicitudes en los términos del artículo 21 de la Ley Foral 11/2005, de 9 de noviembre, de Subvenciones.</w:t>
      </w:r>
    </w:p>
    <w:p w14:paraId="037CEBD5"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Decimotercera. –Notificación y publicidad.</w:t>
      </w:r>
    </w:p>
    <w:p w14:paraId="6A6FF2F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 resolución se notificará a las entidades interesadas en la forma prevista en la legislación reguladora del procedimiento administrativo.</w:t>
      </w:r>
    </w:p>
    <w:p w14:paraId="63C9BEFB" w14:textId="77777777" w:rsidR="00866FC1" w:rsidRPr="000D3B67" w:rsidRDefault="00866FC1" w:rsidP="00866FC1">
      <w:pPr>
        <w:spacing w:before="100" w:beforeAutospacing="1" w:after="100" w:afterAutospacing="1"/>
        <w:jc w:val="both"/>
        <w:rPr>
          <w:rFonts w:ascii="Calibri Light" w:hAnsi="Calibri Light" w:cs="Calibri Light"/>
          <w:b/>
          <w:color w:val="000000" w:themeColor="text1"/>
          <w:sz w:val="24"/>
          <w:szCs w:val="24"/>
        </w:rPr>
      </w:pPr>
      <w:r w:rsidRPr="000D3B67">
        <w:rPr>
          <w:rFonts w:ascii="Calibri Light" w:hAnsi="Calibri Light" w:cs="Calibri Light"/>
          <w:b/>
          <w:color w:val="000000" w:themeColor="text1"/>
          <w:sz w:val="24"/>
          <w:szCs w:val="24"/>
        </w:rPr>
        <w:t>Decimocuarta. –Abono de la subvención.</w:t>
      </w:r>
    </w:p>
    <w:p w14:paraId="4DB092AD" w14:textId="77777777" w:rsidR="00866FC1" w:rsidRPr="000D3B67" w:rsidRDefault="00866FC1" w:rsidP="00866FC1">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1. El abono de la subvención se hará conforme a lo establecido en el artículo 33 de la Ley Foral 11/2005, de 9 de noviembre, de Subvenciones en un único pago anticipado al tiempo de la resolución, en aquellos casos en los que las entidades sin ánimo de lucro o federaciones, confederaciones o agrupaciones de las mismas, no dispongan de recursos suficientes, y así lo acrediten suficientemente para financiar transitoriamente la ejecución de la actividad subvencionada.</w:t>
      </w:r>
    </w:p>
    <w:p w14:paraId="09F7DB7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 xml:space="preserve">A tal efecto, juntamente con la documentación a presentar con la solicitud o posteriormente, la Entidad deberá presentar la documentación justificativa de la necesidad de provisión de fondos, aportando un informe justificativo de dicha necesidad, un certificado del representante donde manifieste el número de cuentas bancarias que la Entidad sea titular, un certificado bancario del saldo actual de las cuentas bancarias admitiéndose también, los obtenidos a través de la banca electrónica, y una previsión mensual de los flujos de tesorería detallando los conceptos de cobros, pagos, préstamos </w:t>
      </w:r>
      <w:proofErr w:type="spellStart"/>
      <w:r w:rsidRPr="00FC65FA">
        <w:rPr>
          <w:rFonts w:ascii="Calibri Light" w:hAnsi="Calibri Light" w:cs="Calibri Light"/>
          <w:sz w:val="24"/>
          <w:szCs w:val="24"/>
        </w:rPr>
        <w:t>etc</w:t>
      </w:r>
      <w:proofErr w:type="spellEnd"/>
      <w:r w:rsidRPr="00FC65FA">
        <w:rPr>
          <w:rFonts w:ascii="Calibri Light" w:hAnsi="Calibri Light" w:cs="Calibri Light"/>
          <w:sz w:val="24"/>
          <w:szCs w:val="24"/>
        </w:rPr>
        <w:t>, o cualquier otra acreditación que justifique la provisión de fondos para el cumplimiento de los fines de la subvención.</w:t>
      </w:r>
    </w:p>
    <w:p w14:paraId="04ABAEFE" w14:textId="622524E3" w:rsidR="00866FC1"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Para aquellos casos que no proceda el abono anticipado, el pago de la subvención se realizará previa justificación de la realización de la actividad conform</w:t>
      </w:r>
      <w:r w:rsidR="00A6404A" w:rsidRPr="00FC65FA">
        <w:rPr>
          <w:rFonts w:ascii="Calibri Light" w:hAnsi="Calibri Light" w:cs="Calibri Light"/>
          <w:sz w:val="24"/>
          <w:szCs w:val="24"/>
        </w:rPr>
        <w:t xml:space="preserve">e a lo señalado en la Base 15.ª. </w:t>
      </w:r>
      <w:r w:rsidR="00CC54B2" w:rsidRPr="00FC65FA">
        <w:rPr>
          <w:rFonts w:ascii="Calibri Light" w:hAnsi="Calibri Light" w:cs="Calibri Light"/>
          <w:sz w:val="24"/>
          <w:szCs w:val="24"/>
        </w:rPr>
        <w:t>ª En el caso de realizarse abonos parciales, éstos se harán efectivos proporcionalmente previa justificación de los correspondientes gastos y cofinanciación -si la hubiera-.</w:t>
      </w:r>
    </w:p>
    <w:p w14:paraId="4964E751"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Decimoquinta. –Justificación.</w:t>
      </w:r>
    </w:p>
    <w:p w14:paraId="3F0AEC3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Las entidades beneficiarias presentarán, acompañada de instancia un informe técnico y económico parcial o final, según corresponda, sobre la ejecución del proyecto subvencionado, en formulario oficial y soporte informático, que estará a disposición en el Catálogo de Servicios de la página web del Gobierno de Navarra y en la dirección de correo electrónico: ejecucionpenal@navarra.es.</w:t>
      </w:r>
    </w:p>
    <w:p w14:paraId="2115A386" w14:textId="20D94499"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El informe final revestirá la forma de cuenta justificativa con aportación de justificantes de gasto y ésta estará compuesta de los siguientes elementos según corresponda:</w:t>
      </w:r>
    </w:p>
    <w:p w14:paraId="562F0A7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Informes parciales para proceder a abonos intermedios:</w:t>
      </w:r>
    </w:p>
    <w:p w14:paraId="65B17FA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a.1) Breve informe intermedio de la marcha del proyecto, según modelo establecido, indicando en un cronograma la ejecución de las actividades subvencionadas en función de los objetivos marcados (horas, número de participantes, etc.) y el importe gastado. La presentación de estos informes intermedios no exime de la presentación de las memorias completas del programa al finalizar su ejecución.</w:t>
      </w:r>
    </w:p>
    <w:p w14:paraId="657BE0C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El Servicio de Reinserción, Mediación y Justicia Restaurativa podrá solicitar en cualquier momento del ejercicio la presentación de un informe de la marcha del proyecto, donde se refleje el grado de ejecución de las actividades subvencionadas.</w:t>
      </w:r>
    </w:p>
    <w:p w14:paraId="5C6AC5F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a.2) Listado de gastos aplicados al proyecto subvencionado, especificando el número de documento, concepto, emisor, fecha de emisión, cuantía y fecha efectiva de pago. Este listado deberá estar respaldado por sus comprobantes de gasto y abono correspondientes, que serán presentados digitalmente siguiendo el orden descrito en el listado de gastos antes mencionado. Se acompañará Declaración Jurada de la persona que ejerza la representación de la entidad donde conste que los datos imputados se presentan exclusivamente a esta subvención.</w:t>
      </w:r>
    </w:p>
    <w:p w14:paraId="073ABF1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Como comprobantes de gasto solo serán admitidos recibos y facturas que deberán tener constancia de los datos del emisor, receptor, fecha, concepto, precio y fórmula de pago, ajustándose a lo dispuesto en el Decreto Foral 23/2013, de 10 de abril, que aprueba el reglamento por el que se regulan las obligaciones de facturación.</w:t>
      </w:r>
    </w:p>
    <w:p w14:paraId="73C103E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Como comprobante de abono únicamente se aceptarán documentos bancarios justificativos del pago de las actuaciones subvencionadas (no se admitirán pagos en efectivo).</w:t>
      </w:r>
    </w:p>
    <w:p w14:paraId="4EBFCA7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El listado de gastos aceptados, con sus correspondientes modificaciones, si las hubiere, será remitido por el órgano gestor mediante correo electrónico a las entidades y firmado mediante firma digital certificando la presentación de la documentación aceptada ante la Dirección General de Justicia para justificar la subvención percibida.</w:t>
      </w:r>
    </w:p>
    <w:p w14:paraId="2EC7731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a.3) Declaración, en su caso, del IVA compensado.</w:t>
      </w:r>
    </w:p>
    <w:p w14:paraId="3496880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a.4) Certificado expedido por la Tesorería General de la Seguridad Social acreditativo de hallarse al corriente en el pago de las obligaciones de la Seguridad Social que le imponen las disposiciones vigentes, expedido con una antelación no superior a un mes.</w:t>
      </w:r>
    </w:p>
    <w:p w14:paraId="0DEE46F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a.5) Certificado expedido por el Gobierno de Navarra y/o Agencia Tributaria Española acreditativo de estar al corriente en el cumplimiento de sus obligaciones tributarias, expedido con una antelación no superior a un mes.</w:t>
      </w:r>
    </w:p>
    <w:p w14:paraId="09266A2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a.6) Contratos de trabajo del personal financiado a través de la subvención y titulación académica que corresponda, conforme al proyecto presentado, siempre que no obre en poder del Servicio de Reinserción, Mediación y Justicia Restaurativa.</w:t>
      </w:r>
    </w:p>
    <w:p w14:paraId="21C3E30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a.7) Certificado expedido por la entidad para la acreditación de la efectiva dedicación del gasto de personal dedicado al proyecto.</w:t>
      </w:r>
    </w:p>
    <w:p w14:paraId="72E9D44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a.8) Resúmenes de nóminas mensuales del personal de la entidad imputado al proyecto.</w:t>
      </w:r>
    </w:p>
    <w:p w14:paraId="0F821D0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a.9) Certificado expedido por la entidad para la acreditación del porcentaje de gastos indirectos imputado en la cuenta justificativa.</w:t>
      </w:r>
    </w:p>
    <w:p w14:paraId="0DA0A96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 Informe final una vez finalizado el proyecto según modelo oficial:</w:t>
      </w:r>
    </w:p>
    <w:p w14:paraId="678EB02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b.1) Informe técnico sobre la ejecución del proyecto, según el modelo oficial, que contendrá como mínimo los siguientes apartados y serán acordes a lo recogido en el proyecto presentado:</w:t>
      </w:r>
    </w:p>
    <w:p w14:paraId="6809823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Especificación de los objetivos alcanzados.</w:t>
      </w:r>
    </w:p>
    <w:p w14:paraId="4FD47574" w14:textId="092EE4CD"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Resultados conseguidos.</w:t>
      </w:r>
      <w:r w:rsidR="00021F85">
        <w:rPr>
          <w:rFonts w:ascii="Calibri Light" w:hAnsi="Calibri Light" w:cs="Calibri Light"/>
          <w:sz w:val="24"/>
          <w:szCs w:val="24"/>
        </w:rPr>
        <w:t xml:space="preserve">   </w:t>
      </w:r>
    </w:p>
    <w:p w14:paraId="24AAD34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Actividades realizadas.</w:t>
      </w:r>
    </w:p>
    <w:p w14:paraId="4879545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Fuentes de verificación de las actividades realizadas.</w:t>
      </w:r>
    </w:p>
    <w:p w14:paraId="71A4805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b.2) Cuenta de Resultados (ingresos y gastos) del proyecto, desglosado por conceptos.</w:t>
      </w:r>
    </w:p>
    <w:p w14:paraId="4EDD60E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b.3) Justificación económica del proyecto subvencionado, de acuerdo con las mismas condiciones establecidas para el percibo de los sucesivos pagos, señaladas en el apartado 2.a) de la presente base.</w:t>
      </w:r>
    </w:p>
    <w:p w14:paraId="1DDC48BB"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b.4) Cuadro comparativo del presupuesto aprobado y ejecutado, indicando las desviaciones acaecidas.</w:t>
      </w:r>
    </w:p>
    <w:p w14:paraId="26DEDF3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b.5) Certificado firmado por la persona responsable de la entidad en el que se acredite el porcentaje de gastos indirectos imputado en la cuenta justificativa y que los ingresos para el desarrollo de la actividad no han superado los gastos de la misma.</w:t>
      </w:r>
    </w:p>
    <w:p w14:paraId="4F26EE9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b.6) Certificado firmado por la persona responsable de la entidad en el que se acredite la imputación de las jornadas del personal del proyecto en los distintos programas financiados que obtenga la Entidad y la efectiva dedicación del gasto de personal dedicado al proyecto.</w:t>
      </w:r>
    </w:p>
    <w:p w14:paraId="239B0E7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b.7) Resúmenes de nóminas mensuales del personal de la entidad imputado al proyecto.</w:t>
      </w:r>
    </w:p>
    <w:p w14:paraId="0E8794C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b.8) Certificado expedido por la Tesorería General de la Seguridad Social acreditativo de hallarse al corriente en el pago de las obligaciones de la Seguridad Social que le imponen las disposiciones vigentes, expedido con una antelación no superior a un mes.</w:t>
      </w:r>
    </w:p>
    <w:p w14:paraId="02632EB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b.9) Certificado expedido por el Gobierno de Navarra y/o Agencia Tributaria Española acreditativo de estar al corriente en el cumplimiento de sus obligaciones tributarias, expedido con una antelación no superior a un mes.</w:t>
      </w:r>
    </w:p>
    <w:p w14:paraId="32042AED"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b.10) Modelo anual 190 de Retenciones de trabajo de determinadas actividades empresariales y profesionales, y de premios, y modelo anual 180 de retención por arrendamientos.</w:t>
      </w:r>
    </w:p>
    <w:p w14:paraId="64EF9705" w14:textId="663EF9EC" w:rsidR="00866FC1" w:rsidRPr="000D3B67" w:rsidRDefault="00866FC1" w:rsidP="00866FC1">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b.11) En el caso de que el gasto justificado no alcance el total del importe anticipado deberá presentarse justificante de ingreso a favor del Departamento de Interior, Función Pública y Justicia por la diferencia entre la canti</w:t>
      </w:r>
      <w:r w:rsidR="006F5B74" w:rsidRPr="000D3B67">
        <w:rPr>
          <w:rFonts w:ascii="Calibri Light" w:hAnsi="Calibri Light" w:cs="Calibri Light"/>
          <w:color w:val="000000" w:themeColor="text1"/>
          <w:sz w:val="24"/>
          <w:szCs w:val="24"/>
        </w:rPr>
        <w:t>dad anticipada</w:t>
      </w:r>
      <w:r w:rsidRPr="000D3B67">
        <w:rPr>
          <w:rFonts w:ascii="Calibri Light" w:hAnsi="Calibri Light" w:cs="Calibri Light"/>
          <w:color w:val="000000" w:themeColor="text1"/>
          <w:sz w:val="24"/>
          <w:szCs w:val="24"/>
        </w:rPr>
        <w:t xml:space="preserve"> y la justificada, sin perjuicio de lo que se establezca en la Resolución de cierre del expediente de subvención. Este ingreso supondrá la renuncia expresa de la Entidad al importe devuelto.</w:t>
      </w:r>
    </w:p>
    <w:p w14:paraId="56819240" w14:textId="77777777" w:rsidR="00866FC1" w:rsidRPr="000D3B67" w:rsidRDefault="00866FC1" w:rsidP="00866FC1">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El ingreso se realizará mediante carta de pago que la entidad beneficiaria solicitará al órgano gestor.</w:t>
      </w:r>
    </w:p>
    <w:p w14:paraId="43D48F9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b.12) Cuanta otra documentación escrita o gráfica se desee aportar voluntariamente, que avale la buena marcha o ejecución del proyecto financiado.</w:t>
      </w:r>
    </w:p>
    <w:p w14:paraId="4C968F9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Toda la documentación recogida en los puntos anteriores se presentará de manera telemática.</w:t>
      </w:r>
    </w:p>
    <w:p w14:paraId="470F82F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Cuando las actividades hayan sido financiadas, además de con la subvención, con fondos propios u otras subvenciones o recursos, deberá acreditarse en la justificación final, o en las parciales si fuera el caso, el importe, procedencia y aplicación de tales fondos a las actividades subvencionadas, procediéndose, en caso contrario a la devolución proporcional de la parte abonada.</w:t>
      </w:r>
    </w:p>
    <w:p w14:paraId="3920729C" w14:textId="17DF4895"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5. Salvo para aquellas entidades que hubieran optado al pago anticipado de la subvención</w:t>
      </w:r>
      <w:r w:rsidR="00B27E81">
        <w:rPr>
          <w:rFonts w:ascii="Calibri Light" w:hAnsi="Calibri Light" w:cs="Calibri Light"/>
          <w:sz w:val="24"/>
          <w:szCs w:val="24"/>
        </w:rPr>
        <w:t>,</w:t>
      </w:r>
      <w:r w:rsidRPr="00FC65FA">
        <w:rPr>
          <w:rFonts w:ascii="Calibri Light" w:hAnsi="Calibri Light" w:cs="Calibri Light"/>
          <w:sz w:val="24"/>
          <w:szCs w:val="24"/>
        </w:rPr>
        <w:t xml:space="preserve"> la fecha límite para presentar el último informe parcial que dé derecho al último pago de la subvención será el 10 de diciembre de </w:t>
      </w:r>
      <w:r w:rsidR="002C0246">
        <w:rPr>
          <w:rFonts w:ascii="Calibri Light" w:hAnsi="Calibri Light" w:cs="Calibri Light"/>
          <w:sz w:val="24"/>
          <w:szCs w:val="24"/>
        </w:rPr>
        <w:t>2025</w:t>
      </w:r>
      <w:r w:rsidRPr="00FC65FA">
        <w:rPr>
          <w:rFonts w:ascii="Calibri Light" w:hAnsi="Calibri Light" w:cs="Calibri Light"/>
          <w:sz w:val="24"/>
          <w:szCs w:val="24"/>
        </w:rPr>
        <w:t>.</w:t>
      </w:r>
    </w:p>
    <w:p w14:paraId="2CD99095" w14:textId="7A254A8B" w:rsidR="00866FC1" w:rsidRPr="00FC65FA" w:rsidRDefault="00961408"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6. E</w:t>
      </w:r>
      <w:r w:rsidR="00866FC1" w:rsidRPr="00FC65FA">
        <w:rPr>
          <w:rFonts w:ascii="Calibri Light" w:hAnsi="Calibri Light" w:cs="Calibri Light"/>
          <w:sz w:val="24"/>
          <w:szCs w:val="24"/>
        </w:rPr>
        <w:t xml:space="preserve">l informe final se deberá presentar con fecha límite del </w:t>
      </w:r>
      <w:r w:rsidR="00866FC1" w:rsidRPr="000D3B67">
        <w:rPr>
          <w:rFonts w:ascii="Calibri Light" w:hAnsi="Calibri Light" w:cs="Calibri Light"/>
          <w:color w:val="000000" w:themeColor="text1"/>
          <w:sz w:val="24"/>
          <w:szCs w:val="24"/>
        </w:rPr>
        <w:t>10 de febrero de 202</w:t>
      </w:r>
      <w:r w:rsidR="00B27E81" w:rsidRPr="000D3B67">
        <w:rPr>
          <w:rFonts w:ascii="Calibri Light" w:hAnsi="Calibri Light" w:cs="Calibri Light"/>
          <w:color w:val="000000" w:themeColor="text1"/>
          <w:sz w:val="24"/>
          <w:szCs w:val="24"/>
        </w:rPr>
        <w:t>6</w:t>
      </w:r>
      <w:r w:rsidR="00866FC1" w:rsidRPr="000D3B67">
        <w:rPr>
          <w:rFonts w:ascii="Calibri Light" w:hAnsi="Calibri Light" w:cs="Calibri Light"/>
          <w:color w:val="000000" w:themeColor="text1"/>
          <w:sz w:val="24"/>
          <w:szCs w:val="24"/>
        </w:rPr>
        <w:t>, inclusive</w:t>
      </w:r>
      <w:r w:rsidR="00866FC1" w:rsidRPr="00FC65FA">
        <w:rPr>
          <w:rFonts w:ascii="Calibri Light" w:hAnsi="Calibri Light" w:cs="Calibri Light"/>
          <w:sz w:val="24"/>
          <w:szCs w:val="24"/>
        </w:rPr>
        <w:t>.</w:t>
      </w:r>
    </w:p>
    <w:p w14:paraId="1C586312" w14:textId="3A102F20" w:rsidR="007E1D5F" w:rsidRPr="00FC65FA" w:rsidRDefault="007E1D5F"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7. En el cuadro siguiente se resumen "situaciones, plazos y documentación a presentar":</w:t>
      </w:r>
    </w:p>
    <w:tbl>
      <w:tblPr>
        <w:tblStyle w:val="Tablaconcuadrcula"/>
        <w:tblW w:w="0" w:type="auto"/>
        <w:tblLook w:val="04A0" w:firstRow="1" w:lastRow="0" w:firstColumn="1" w:lastColumn="0" w:noHBand="0" w:noVBand="1"/>
      </w:tblPr>
      <w:tblGrid>
        <w:gridCol w:w="2011"/>
        <w:gridCol w:w="1843"/>
        <w:gridCol w:w="1987"/>
        <w:gridCol w:w="1475"/>
        <w:gridCol w:w="1744"/>
      </w:tblGrid>
      <w:tr w:rsidR="007E1D5F" w:rsidRPr="00FC65FA" w14:paraId="3C597D2F" w14:textId="763470D1" w:rsidTr="005864D8">
        <w:tc>
          <w:tcPr>
            <w:tcW w:w="2011" w:type="dxa"/>
          </w:tcPr>
          <w:p w14:paraId="1F2C4F45" w14:textId="77777777" w:rsidR="007E1D5F" w:rsidRPr="00FC65FA" w:rsidRDefault="007E1D5F" w:rsidP="00866FC1">
            <w:pPr>
              <w:spacing w:before="100" w:beforeAutospacing="1" w:after="100" w:afterAutospacing="1"/>
              <w:jc w:val="both"/>
              <w:rPr>
                <w:rFonts w:ascii="Calibri Light" w:hAnsi="Calibri Light" w:cs="Calibri Light"/>
                <w:b/>
                <w:sz w:val="24"/>
                <w:szCs w:val="24"/>
              </w:rPr>
            </w:pPr>
          </w:p>
        </w:tc>
        <w:tc>
          <w:tcPr>
            <w:tcW w:w="3830" w:type="dxa"/>
            <w:gridSpan w:val="2"/>
          </w:tcPr>
          <w:p w14:paraId="03777CDD" w14:textId="09714A57" w:rsidR="007E1D5F" w:rsidRPr="00FC65FA" w:rsidRDefault="007E1D5F"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JUSTIFICACIONES PARCIALES O TOTALES NO ANTICIPADAS</w:t>
            </w:r>
          </w:p>
        </w:tc>
        <w:tc>
          <w:tcPr>
            <w:tcW w:w="3219" w:type="dxa"/>
            <w:gridSpan w:val="2"/>
          </w:tcPr>
          <w:p w14:paraId="54D9093F" w14:textId="03FA5BAF" w:rsidR="007E1D5F" w:rsidRPr="00FC65FA" w:rsidRDefault="007E1D5F"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JUSTIFICACIÓN/MEMORIA FINAL</w:t>
            </w:r>
          </w:p>
        </w:tc>
      </w:tr>
      <w:tr w:rsidR="007E1D5F" w:rsidRPr="00FC65FA" w14:paraId="6237D6EE" w14:textId="2544A874" w:rsidTr="007E1D5F">
        <w:tc>
          <w:tcPr>
            <w:tcW w:w="2011" w:type="dxa"/>
          </w:tcPr>
          <w:p w14:paraId="5024590A" w14:textId="16CBB596" w:rsidR="007E1D5F" w:rsidRPr="00FC65FA" w:rsidRDefault="007E1D5F" w:rsidP="00866FC1">
            <w:pPr>
              <w:spacing w:before="100" w:beforeAutospacing="1" w:after="100" w:afterAutospacing="1"/>
              <w:jc w:val="both"/>
              <w:rPr>
                <w:rFonts w:ascii="Calibri Light" w:hAnsi="Calibri Light" w:cs="Calibri Light"/>
                <w:b/>
                <w:i/>
                <w:sz w:val="24"/>
                <w:szCs w:val="24"/>
              </w:rPr>
            </w:pPr>
            <w:r w:rsidRPr="00FC65FA">
              <w:rPr>
                <w:rFonts w:ascii="Calibri Light" w:hAnsi="Calibri Light" w:cs="Calibri Light"/>
                <w:b/>
                <w:i/>
                <w:sz w:val="24"/>
                <w:szCs w:val="24"/>
              </w:rPr>
              <w:t>Situación/plazos documentación</w:t>
            </w:r>
          </w:p>
        </w:tc>
        <w:tc>
          <w:tcPr>
            <w:tcW w:w="1843" w:type="dxa"/>
          </w:tcPr>
          <w:p w14:paraId="1D78B871" w14:textId="200C9DA9" w:rsidR="007E1D5F" w:rsidRPr="00FC65FA" w:rsidRDefault="007E1D5F" w:rsidP="00866FC1">
            <w:pPr>
              <w:spacing w:before="100" w:beforeAutospacing="1" w:after="100" w:afterAutospacing="1"/>
              <w:jc w:val="both"/>
              <w:rPr>
                <w:rFonts w:ascii="Calibri Light" w:hAnsi="Calibri Light" w:cs="Calibri Light"/>
                <w:b/>
                <w:i/>
                <w:sz w:val="24"/>
                <w:szCs w:val="24"/>
              </w:rPr>
            </w:pPr>
            <w:r w:rsidRPr="00FC65FA">
              <w:rPr>
                <w:rFonts w:ascii="Calibri Light" w:hAnsi="Calibri Light" w:cs="Calibri Light"/>
                <w:b/>
                <w:i/>
                <w:sz w:val="24"/>
                <w:szCs w:val="24"/>
              </w:rPr>
              <w:t>Plazo presentación</w:t>
            </w:r>
          </w:p>
        </w:tc>
        <w:tc>
          <w:tcPr>
            <w:tcW w:w="1987" w:type="dxa"/>
          </w:tcPr>
          <w:p w14:paraId="3B48786E" w14:textId="73F0F8C9" w:rsidR="007E1D5F" w:rsidRPr="00FC65FA" w:rsidRDefault="007E1D5F" w:rsidP="00866FC1">
            <w:pPr>
              <w:spacing w:before="100" w:beforeAutospacing="1" w:after="100" w:afterAutospacing="1"/>
              <w:jc w:val="both"/>
              <w:rPr>
                <w:rFonts w:ascii="Calibri Light" w:hAnsi="Calibri Light" w:cs="Calibri Light"/>
                <w:b/>
                <w:i/>
                <w:sz w:val="24"/>
                <w:szCs w:val="24"/>
              </w:rPr>
            </w:pPr>
            <w:r w:rsidRPr="00FC65FA">
              <w:rPr>
                <w:rFonts w:ascii="Calibri Light" w:hAnsi="Calibri Light" w:cs="Calibri Light"/>
                <w:b/>
                <w:i/>
                <w:sz w:val="24"/>
                <w:szCs w:val="24"/>
              </w:rPr>
              <w:t>Documentación a presentar</w:t>
            </w:r>
          </w:p>
        </w:tc>
        <w:tc>
          <w:tcPr>
            <w:tcW w:w="1475" w:type="dxa"/>
          </w:tcPr>
          <w:p w14:paraId="6640E255" w14:textId="4295EC75" w:rsidR="007E1D5F" w:rsidRPr="00FC65FA" w:rsidRDefault="007E1D5F" w:rsidP="00866FC1">
            <w:pPr>
              <w:spacing w:before="100" w:beforeAutospacing="1" w:after="100" w:afterAutospacing="1"/>
              <w:jc w:val="both"/>
              <w:rPr>
                <w:rFonts w:ascii="Calibri Light" w:hAnsi="Calibri Light" w:cs="Calibri Light"/>
                <w:b/>
                <w:i/>
                <w:sz w:val="24"/>
                <w:szCs w:val="24"/>
              </w:rPr>
            </w:pPr>
            <w:r w:rsidRPr="00FC65FA">
              <w:rPr>
                <w:rFonts w:ascii="Calibri Light" w:hAnsi="Calibri Light" w:cs="Calibri Light"/>
                <w:b/>
                <w:i/>
                <w:sz w:val="24"/>
                <w:szCs w:val="24"/>
              </w:rPr>
              <w:t>Fecha límite</w:t>
            </w:r>
          </w:p>
        </w:tc>
        <w:tc>
          <w:tcPr>
            <w:tcW w:w="1744" w:type="dxa"/>
          </w:tcPr>
          <w:p w14:paraId="55FF3990" w14:textId="12344E23" w:rsidR="007E1D5F" w:rsidRPr="00FC65FA" w:rsidRDefault="007E1D5F" w:rsidP="00866FC1">
            <w:pPr>
              <w:spacing w:before="100" w:beforeAutospacing="1" w:after="100" w:afterAutospacing="1"/>
              <w:jc w:val="both"/>
              <w:rPr>
                <w:rFonts w:ascii="Calibri Light" w:hAnsi="Calibri Light" w:cs="Calibri Light"/>
                <w:b/>
                <w:i/>
                <w:sz w:val="24"/>
                <w:szCs w:val="24"/>
              </w:rPr>
            </w:pPr>
            <w:r w:rsidRPr="00FC65FA">
              <w:rPr>
                <w:rFonts w:ascii="Calibri Light" w:hAnsi="Calibri Light" w:cs="Calibri Light"/>
                <w:b/>
                <w:i/>
                <w:sz w:val="24"/>
                <w:szCs w:val="24"/>
              </w:rPr>
              <w:t>Documentación a presentar</w:t>
            </w:r>
          </w:p>
        </w:tc>
      </w:tr>
      <w:tr w:rsidR="007E1D5F" w:rsidRPr="00FC65FA" w14:paraId="68D98A90" w14:textId="3B5037D5" w:rsidTr="007E1D5F">
        <w:tc>
          <w:tcPr>
            <w:tcW w:w="2011" w:type="dxa"/>
          </w:tcPr>
          <w:p w14:paraId="14E24F1C" w14:textId="00595CE3" w:rsidR="007E1D5F" w:rsidRPr="00FC65FA" w:rsidRDefault="006772A5"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SUBVENCIÓN CON ABONO ANTICIPADO</w:t>
            </w:r>
          </w:p>
        </w:tc>
        <w:tc>
          <w:tcPr>
            <w:tcW w:w="1843" w:type="dxa"/>
          </w:tcPr>
          <w:p w14:paraId="4901B1AC" w14:textId="77777777" w:rsidR="007E1D5F" w:rsidRPr="00FC65FA" w:rsidRDefault="007E1D5F" w:rsidP="00866FC1">
            <w:pPr>
              <w:spacing w:before="100" w:beforeAutospacing="1" w:after="100" w:afterAutospacing="1"/>
              <w:jc w:val="both"/>
              <w:rPr>
                <w:rFonts w:ascii="Calibri Light" w:hAnsi="Calibri Light" w:cs="Calibri Light"/>
                <w:sz w:val="24"/>
                <w:szCs w:val="24"/>
              </w:rPr>
            </w:pPr>
          </w:p>
        </w:tc>
        <w:tc>
          <w:tcPr>
            <w:tcW w:w="1987" w:type="dxa"/>
          </w:tcPr>
          <w:p w14:paraId="6109FEC8" w14:textId="77777777" w:rsidR="007E1D5F" w:rsidRPr="00FC65FA" w:rsidRDefault="007E1D5F" w:rsidP="00866FC1">
            <w:pPr>
              <w:spacing w:before="100" w:beforeAutospacing="1" w:after="100" w:afterAutospacing="1"/>
              <w:jc w:val="both"/>
              <w:rPr>
                <w:rFonts w:ascii="Calibri Light" w:hAnsi="Calibri Light" w:cs="Calibri Light"/>
                <w:sz w:val="24"/>
                <w:szCs w:val="24"/>
              </w:rPr>
            </w:pPr>
          </w:p>
        </w:tc>
        <w:tc>
          <w:tcPr>
            <w:tcW w:w="1475" w:type="dxa"/>
          </w:tcPr>
          <w:p w14:paraId="57801CB1" w14:textId="20E9C1BE" w:rsidR="007E1D5F" w:rsidRPr="000D3B67" w:rsidRDefault="006772A5" w:rsidP="00B27E81">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10/02/202</w:t>
            </w:r>
            <w:r w:rsidR="00B27E81" w:rsidRPr="000D3B67">
              <w:rPr>
                <w:rFonts w:ascii="Calibri Light" w:hAnsi="Calibri Light" w:cs="Calibri Light"/>
                <w:color w:val="000000" w:themeColor="text1"/>
                <w:sz w:val="24"/>
                <w:szCs w:val="24"/>
              </w:rPr>
              <w:t>6</w:t>
            </w:r>
          </w:p>
        </w:tc>
        <w:tc>
          <w:tcPr>
            <w:tcW w:w="1744" w:type="dxa"/>
          </w:tcPr>
          <w:p w14:paraId="18588A5C" w14:textId="77777777" w:rsidR="006772A5" w:rsidRPr="000D3B67" w:rsidRDefault="006772A5" w:rsidP="006772A5">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–Memoria técnica final</w:t>
            </w:r>
          </w:p>
          <w:p w14:paraId="0F7ABD26" w14:textId="56586647" w:rsidR="007E1D5F" w:rsidRPr="000D3B67" w:rsidRDefault="006772A5" w:rsidP="006772A5">
            <w:pPr>
              <w:spacing w:before="100" w:beforeAutospacing="1" w:after="100" w:afterAutospacing="1"/>
              <w:jc w:val="both"/>
              <w:rPr>
                <w:rFonts w:ascii="Calibri Light" w:hAnsi="Calibri Light" w:cs="Calibri Light"/>
                <w:color w:val="000000" w:themeColor="text1"/>
                <w:sz w:val="24"/>
                <w:szCs w:val="24"/>
              </w:rPr>
            </w:pPr>
            <w:r w:rsidRPr="000D3B67">
              <w:rPr>
                <w:rFonts w:ascii="Calibri Light" w:hAnsi="Calibri Light" w:cs="Calibri Light"/>
                <w:color w:val="000000" w:themeColor="text1"/>
                <w:sz w:val="24"/>
                <w:szCs w:val="24"/>
              </w:rPr>
              <w:t>–Justificación económica final</w:t>
            </w:r>
          </w:p>
        </w:tc>
      </w:tr>
      <w:tr w:rsidR="006772A5" w:rsidRPr="00FC65FA" w14:paraId="07779F2E" w14:textId="72B71B51" w:rsidTr="007E1D5F">
        <w:tc>
          <w:tcPr>
            <w:tcW w:w="2011" w:type="dxa"/>
          </w:tcPr>
          <w:p w14:paraId="25C4852C" w14:textId="4AB3E564" w:rsidR="006772A5" w:rsidRPr="00FC65FA" w:rsidRDefault="006772A5" w:rsidP="006772A5">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SUBVENCIÓN NO ANTICIPADA Y OPCIÓN JUSTIFICACIONES PARCIALES</w:t>
            </w:r>
          </w:p>
        </w:tc>
        <w:tc>
          <w:tcPr>
            <w:tcW w:w="1843" w:type="dxa"/>
          </w:tcPr>
          <w:p w14:paraId="7F359E68" w14:textId="784E840D" w:rsidR="006772A5" w:rsidRPr="00FC65FA" w:rsidRDefault="008C1162" w:rsidP="00961408">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El 30 de juni</w:t>
            </w:r>
            <w:r w:rsidR="00961408" w:rsidRPr="00FC65FA">
              <w:rPr>
                <w:rFonts w:ascii="Calibri Light" w:hAnsi="Calibri Light" w:cs="Calibri Light"/>
                <w:sz w:val="24"/>
                <w:szCs w:val="24"/>
              </w:rPr>
              <w:t xml:space="preserve">o y el 10 de diciembre de </w:t>
            </w:r>
            <w:r w:rsidR="002C0246">
              <w:rPr>
                <w:rFonts w:ascii="Calibri Light" w:hAnsi="Calibri Light" w:cs="Calibri Light"/>
                <w:sz w:val="24"/>
                <w:szCs w:val="24"/>
              </w:rPr>
              <w:t>2025</w:t>
            </w:r>
            <w:r w:rsidR="00961408" w:rsidRPr="00FC65FA">
              <w:rPr>
                <w:rFonts w:ascii="Calibri Light" w:hAnsi="Calibri Light" w:cs="Calibri Light"/>
                <w:sz w:val="24"/>
                <w:szCs w:val="24"/>
              </w:rPr>
              <w:t>.</w:t>
            </w:r>
          </w:p>
        </w:tc>
        <w:tc>
          <w:tcPr>
            <w:tcW w:w="1987" w:type="dxa"/>
          </w:tcPr>
          <w:p w14:paraId="5019D5DE" w14:textId="01A7E244" w:rsidR="006772A5" w:rsidRPr="00FC65FA" w:rsidRDefault="006772A5" w:rsidP="006772A5">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w:t>
            </w:r>
            <w:r w:rsidR="00397486">
              <w:rPr>
                <w:rFonts w:ascii="Calibri Light" w:hAnsi="Calibri Light" w:cs="Calibri Light"/>
                <w:sz w:val="24"/>
                <w:szCs w:val="24"/>
              </w:rPr>
              <w:t>Memoria técnica</w:t>
            </w:r>
            <w:r w:rsidRPr="00FC65FA">
              <w:rPr>
                <w:rFonts w:ascii="Calibri Light" w:hAnsi="Calibri Light" w:cs="Calibri Light"/>
                <w:sz w:val="24"/>
                <w:szCs w:val="24"/>
              </w:rPr>
              <w:t xml:space="preserve"> </w:t>
            </w:r>
            <w:r w:rsidR="00397486">
              <w:rPr>
                <w:rFonts w:ascii="Calibri Light" w:hAnsi="Calibri Light" w:cs="Calibri Light"/>
                <w:sz w:val="24"/>
                <w:szCs w:val="24"/>
              </w:rPr>
              <w:t>final</w:t>
            </w:r>
          </w:p>
          <w:p w14:paraId="470AE92D" w14:textId="492BFC6C" w:rsidR="006772A5" w:rsidRPr="00FC65FA" w:rsidRDefault="006772A5" w:rsidP="006772A5">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–Justificación económica</w:t>
            </w:r>
            <w:r w:rsidR="00397486">
              <w:rPr>
                <w:rFonts w:ascii="Calibri Light" w:hAnsi="Calibri Light" w:cs="Calibri Light"/>
                <w:sz w:val="24"/>
                <w:szCs w:val="24"/>
              </w:rPr>
              <w:t xml:space="preserve"> final</w:t>
            </w:r>
          </w:p>
        </w:tc>
        <w:tc>
          <w:tcPr>
            <w:tcW w:w="1475" w:type="dxa"/>
          </w:tcPr>
          <w:p w14:paraId="08A044AF" w14:textId="4846BB75" w:rsidR="006772A5" w:rsidRPr="00FC65FA" w:rsidRDefault="006772A5" w:rsidP="006772A5">
            <w:pPr>
              <w:spacing w:before="100" w:beforeAutospacing="1" w:after="100" w:afterAutospacing="1"/>
              <w:jc w:val="both"/>
              <w:rPr>
                <w:rFonts w:ascii="Calibri Light" w:hAnsi="Calibri Light" w:cs="Calibri Light"/>
                <w:sz w:val="24"/>
                <w:szCs w:val="24"/>
              </w:rPr>
            </w:pPr>
          </w:p>
        </w:tc>
        <w:tc>
          <w:tcPr>
            <w:tcW w:w="1744" w:type="dxa"/>
          </w:tcPr>
          <w:p w14:paraId="73733250" w14:textId="734E354A" w:rsidR="00397486" w:rsidRPr="00FC65FA" w:rsidRDefault="00397486" w:rsidP="00397486">
            <w:pPr>
              <w:spacing w:before="100" w:beforeAutospacing="1" w:after="100" w:afterAutospacing="1"/>
              <w:jc w:val="both"/>
              <w:rPr>
                <w:rFonts w:ascii="Calibri Light" w:hAnsi="Calibri Light" w:cs="Calibri Light"/>
                <w:sz w:val="24"/>
                <w:szCs w:val="24"/>
              </w:rPr>
            </w:pPr>
          </w:p>
          <w:p w14:paraId="759FDB53" w14:textId="5C926353" w:rsidR="006772A5" w:rsidRPr="00FC65FA" w:rsidRDefault="006772A5" w:rsidP="006772A5">
            <w:pPr>
              <w:spacing w:before="100" w:beforeAutospacing="1" w:after="100" w:afterAutospacing="1"/>
              <w:jc w:val="both"/>
              <w:rPr>
                <w:rFonts w:ascii="Calibri Light" w:hAnsi="Calibri Light" w:cs="Calibri Light"/>
                <w:sz w:val="24"/>
                <w:szCs w:val="24"/>
              </w:rPr>
            </w:pPr>
            <w:bookmarkStart w:id="0" w:name="_GoBack"/>
            <w:bookmarkEnd w:id="0"/>
          </w:p>
        </w:tc>
      </w:tr>
      <w:tr w:rsidR="006772A5" w:rsidRPr="00FC65FA" w14:paraId="28F55122" w14:textId="77777777" w:rsidTr="007E1D5F">
        <w:tc>
          <w:tcPr>
            <w:tcW w:w="2011" w:type="dxa"/>
          </w:tcPr>
          <w:p w14:paraId="4F839DF6" w14:textId="69B97D7A" w:rsidR="006772A5" w:rsidRPr="00FC65FA" w:rsidRDefault="006772A5" w:rsidP="006772A5">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SUBVENCIÓN NO ANTICIPADA Y OPCIÓN ÚNICA JUSTIFICACIÓN FINAL</w:t>
            </w:r>
          </w:p>
        </w:tc>
        <w:tc>
          <w:tcPr>
            <w:tcW w:w="1843" w:type="dxa"/>
          </w:tcPr>
          <w:p w14:paraId="074FD591" w14:textId="0F8D1078" w:rsidR="006772A5" w:rsidRPr="00FC65FA" w:rsidRDefault="008C1162" w:rsidP="00961408">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El 10 de diciembre de </w:t>
            </w:r>
            <w:r w:rsidR="002C0246">
              <w:rPr>
                <w:rFonts w:ascii="Calibri Light" w:hAnsi="Calibri Light" w:cs="Calibri Light"/>
                <w:sz w:val="24"/>
                <w:szCs w:val="24"/>
              </w:rPr>
              <w:t>2025</w:t>
            </w:r>
            <w:r w:rsidR="00961408" w:rsidRPr="00FC65FA">
              <w:rPr>
                <w:rFonts w:ascii="Calibri Light" w:hAnsi="Calibri Light" w:cs="Calibri Light"/>
                <w:sz w:val="24"/>
                <w:szCs w:val="24"/>
              </w:rPr>
              <w:t>.</w:t>
            </w:r>
          </w:p>
        </w:tc>
        <w:tc>
          <w:tcPr>
            <w:tcW w:w="1987" w:type="dxa"/>
          </w:tcPr>
          <w:p w14:paraId="587CB480" w14:textId="48A6F564" w:rsidR="006772A5" w:rsidRPr="00FC65FA" w:rsidRDefault="00397486" w:rsidP="006772A5">
            <w:pPr>
              <w:spacing w:before="100" w:beforeAutospacing="1" w:after="100" w:afterAutospacing="1"/>
              <w:jc w:val="both"/>
              <w:rPr>
                <w:rFonts w:ascii="Calibri Light" w:hAnsi="Calibri Light" w:cs="Calibri Light"/>
                <w:sz w:val="24"/>
                <w:szCs w:val="24"/>
              </w:rPr>
            </w:pPr>
            <w:r>
              <w:rPr>
                <w:rFonts w:ascii="Calibri Light" w:hAnsi="Calibri Light" w:cs="Calibri Light"/>
                <w:sz w:val="24"/>
                <w:szCs w:val="24"/>
              </w:rPr>
              <w:t>–Memoria técnica</w:t>
            </w:r>
            <w:r w:rsidR="006772A5" w:rsidRPr="00FC65FA">
              <w:rPr>
                <w:rFonts w:ascii="Calibri Light" w:hAnsi="Calibri Light" w:cs="Calibri Light"/>
                <w:sz w:val="24"/>
                <w:szCs w:val="24"/>
              </w:rPr>
              <w:t xml:space="preserve"> </w:t>
            </w:r>
            <w:r>
              <w:rPr>
                <w:rFonts w:ascii="Calibri Light" w:hAnsi="Calibri Light" w:cs="Calibri Light"/>
                <w:sz w:val="24"/>
                <w:szCs w:val="24"/>
              </w:rPr>
              <w:t>final</w:t>
            </w:r>
          </w:p>
          <w:p w14:paraId="1CC0BE12" w14:textId="58F3293A" w:rsidR="006772A5" w:rsidRPr="00FC65FA" w:rsidRDefault="006772A5" w:rsidP="006772A5">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–Justificación económica</w:t>
            </w:r>
            <w:r w:rsidR="00FC65FA" w:rsidRPr="00FC65FA">
              <w:rPr>
                <w:rFonts w:ascii="Calibri Light" w:hAnsi="Calibri Light" w:cs="Calibri Light"/>
                <w:sz w:val="24"/>
                <w:szCs w:val="24"/>
              </w:rPr>
              <w:t xml:space="preserve"> final</w:t>
            </w:r>
          </w:p>
        </w:tc>
        <w:tc>
          <w:tcPr>
            <w:tcW w:w="1475" w:type="dxa"/>
          </w:tcPr>
          <w:p w14:paraId="29487A54" w14:textId="132D5834" w:rsidR="006772A5" w:rsidRPr="00FC65FA" w:rsidRDefault="006772A5" w:rsidP="006772A5">
            <w:pPr>
              <w:spacing w:before="100" w:beforeAutospacing="1" w:after="100" w:afterAutospacing="1"/>
              <w:jc w:val="both"/>
              <w:rPr>
                <w:rFonts w:ascii="Calibri Light" w:hAnsi="Calibri Light" w:cs="Calibri Light"/>
                <w:sz w:val="24"/>
                <w:szCs w:val="24"/>
              </w:rPr>
            </w:pPr>
          </w:p>
        </w:tc>
        <w:tc>
          <w:tcPr>
            <w:tcW w:w="1744" w:type="dxa"/>
          </w:tcPr>
          <w:p w14:paraId="5C89AE6C" w14:textId="03816E6A" w:rsidR="006772A5" w:rsidRPr="00FC65FA" w:rsidRDefault="006772A5" w:rsidP="00397486">
            <w:pPr>
              <w:spacing w:before="100" w:beforeAutospacing="1" w:after="100" w:afterAutospacing="1"/>
              <w:jc w:val="both"/>
              <w:rPr>
                <w:rFonts w:ascii="Calibri Light" w:hAnsi="Calibri Light" w:cs="Calibri Light"/>
                <w:sz w:val="24"/>
                <w:szCs w:val="24"/>
              </w:rPr>
            </w:pPr>
          </w:p>
        </w:tc>
      </w:tr>
    </w:tbl>
    <w:p w14:paraId="4ADCFCEB" w14:textId="77777777" w:rsidR="007E1D5F" w:rsidRPr="00FC65FA" w:rsidRDefault="007E1D5F" w:rsidP="00866FC1">
      <w:pPr>
        <w:spacing w:before="100" w:beforeAutospacing="1" w:after="100" w:afterAutospacing="1"/>
        <w:jc w:val="both"/>
        <w:rPr>
          <w:rFonts w:ascii="Calibri Light" w:hAnsi="Calibri Light" w:cs="Calibri Light"/>
          <w:sz w:val="24"/>
          <w:szCs w:val="24"/>
        </w:rPr>
      </w:pPr>
    </w:p>
    <w:p w14:paraId="318C69AA"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Decimosexta. –Subcontratación y elección de proveedores.</w:t>
      </w:r>
    </w:p>
    <w:p w14:paraId="72BE67C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1. La entidad beneficiaria podrá subcontratar con terceras partes la ejecución parcial de la actividad que constituye el objeto de la subvención hasta un máximo del 50% del presupuesto subvencionado, y siempre conforme a lo establecido por el artículo 26 de la Ley Foral 11/2005, de 9 de noviembre, de Subvenciones. Queda fuera de este concepto la contratación de aquellos gastos en que tenga que incurrir el beneficiario para la realización por sí mismo de la actividad subvencionada.</w:t>
      </w:r>
    </w:p>
    <w:p w14:paraId="0DA1743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Las entidades beneficiarias darán preferencia en la subcontratación a las empresas o entidades integradas en su mayoría por personas trabajadoras con discapacidad o en situación de exclusión social con arreglo a los porcentajes y términos fijados en el artículo 36 de la Ley Foral 2/2018, de 13 de abril, de Contratos Públicos, siempre que las prestaciones o actividades a ejecutar, por su naturaleza, puedan ser realizadas por estas entidades. En el caso de que la entidad beneficiaria no aplique dicha preferencia, deberá acreditarlo de forma motivada ante el servicio gestor de la subvención.</w:t>
      </w:r>
    </w:p>
    <w:p w14:paraId="05F48AA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De acuerdo con lo previsto en el artículo 28.3 de la Ley Foral 11/2005, de 9 de noviembre, de Subvenciones, cuando los gastos subvencionados sean para la prestación de servicios por empresas de consultoría o asistencia, y superen la cuantía de 12.000 euros, deberá acreditar ante el órgano concedente que la elección de la empresa o entidad proveedora se ha realizado con criterios de eficiencia y economía. Para ello deberá consultar y negociar los términos del contrato con, al menos, tres empresas capacitadas para la realización del objeto, perfeccionando el mismo con la que realizará la oferta más ventajosa. El citado trámite de consulta y las correspondientes ofertas deberán ser conservadas por la entidad beneficiaria, acreditando los referidos extremos documentalmente ante el órgano concedente de la subvención tan pronto como se haya perfeccionado el contrato. Juntamente con dichos documentos se aportará un breve informe justificativo de la selección efectuada.</w:t>
      </w:r>
    </w:p>
    <w:p w14:paraId="1177B0E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La obligación de consulta a varias empresas quedará exceptuada en los casos en que, por las especiales características de los gastos subvencionables, no exista en el mercado suficiente número de entidades que presten el suministro o servicio.</w:t>
      </w:r>
    </w:p>
    <w:p w14:paraId="37CAB3BC"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Decimoséptima. –Obligaciones de las entidades beneficiarias.</w:t>
      </w:r>
    </w:p>
    <w:p w14:paraId="765E0C0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Las entidades a quienes se conceda una subvención para un proyecto determinado, estarán obligadas a:</w:t>
      </w:r>
    </w:p>
    <w:p w14:paraId="10FFAB5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Ejecutar el proyecto y las actividades que fundamentan la concesión de la subvención de acuerdo con las bases reguladoras, condiciones y requisitos formales y materiales de la presente convocatoria, sin que puedan destinarse fondos a fines distintos de los que motivaron la concesión. Dicha ejecución comprende, en todo caso, la gestión y dirección de las actividades que constituyen el proyecto, así como la aportación de los recursos y medios que sean precisos.</w:t>
      </w:r>
    </w:p>
    <w:p w14:paraId="3B5C801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b) Presentar los documentos justificativos, intermedios y finales, referidos en las presentes bases reguladoras, así como cualquier otro informe sobre la ejecución del proyecto que se le pudiera requerir desde el Servicio de Reinserción, Mediación y Justicia Restaurativa.</w:t>
      </w:r>
    </w:p>
    <w:p w14:paraId="66AA021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En todo caso los datos referidos a personas (tanto beneficiarias finales de los programas como profesionales intervinientes, etc.), deberán estar desagregados por sexo.</w:t>
      </w:r>
    </w:p>
    <w:p w14:paraId="231FE8A1"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 Comunicar al Servicio de Reinserción, Mediación y Justicia Restaurativa todas aquellas modificaciones producidas entre el personal asignado al proyecto y en especial las bajas laborales con las que se procederá a su sustitución en un plazo máximo de un mes y en el porcentaje de jornada necesario que resulte hasta completar el gasto de personal aprobado en la concesión.</w:t>
      </w:r>
    </w:p>
    <w:p w14:paraId="1A2C370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d) Someterse a las actuaciones de comprobación a efectuar por el órgano concedente y por los demás que, de acuerdo con el ordenamiento jurídico vigente, resulten competentes.</w:t>
      </w:r>
    </w:p>
    <w:p w14:paraId="2D4755B8"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 Comunicar al órgano concedente la solicitud y/u obtención de otras ayudas, ingresos o recursos que financien la actividad subvencionada. Tal comunicación deberá efectuarse tan pronto como se conozca y, en todo caso, con anterioridad a la justificación de la aplicación dada a los fondos percibidos.</w:t>
      </w:r>
    </w:p>
    <w:p w14:paraId="24B02F5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f) Cumplir las obligaciones contables que, de conformidad con la naturaleza de la entidad, sean exigibles.</w:t>
      </w:r>
    </w:p>
    <w:p w14:paraId="1614D8A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g) Presentar las cuentas justificativas según modelo establecido.</w:t>
      </w:r>
    </w:p>
    <w:p w14:paraId="38C7388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h) Conservar los documentos justificativos de la aplicación de los fondos percibidos, incluidos los documentos electrónicos, en tanto puedan ser objeto de las actuaciones de comprobación y control.</w:t>
      </w:r>
    </w:p>
    <w:p w14:paraId="4DD195E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i) Proceder al reintegro de los fondos percibidos, en los supuestos previstos en esta convocatoria y en la legislación de aplicación.</w:t>
      </w:r>
    </w:p>
    <w:p w14:paraId="7C706B1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j) Las restantes obligaciones impuestas por la Ley Foral 11/2005, de 9 de noviembre, de Subvenciones a los beneficiarios de las mismas.</w:t>
      </w:r>
    </w:p>
    <w:p w14:paraId="7FCA8AE7"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k) Solicitar y disponer de la autorización del Departamento de Interior, Función Pública y Justicia para poder realizar modificaciones sustanciales en el proyecto subvencionado cuando durante la ejecución del mismo se manifiesten circunstancias que alteren o dificulten gravemente el desarrollo de la misma. Se considerarán modificaciones sustanciales solamente aquellas que afecten a objetivos, resultados, población beneficiaria, ubicación territorial, o desviación económica del 10% de cada “grupo de partida” respecto del presupuesto inicial. Las solicitudes de modificación deberán fundamentar suficientemente dicha alteración o dificultad y deberán </w:t>
      </w:r>
      <w:r w:rsidRPr="00FC65FA">
        <w:rPr>
          <w:rFonts w:ascii="Calibri Light" w:hAnsi="Calibri Light" w:cs="Calibri Light"/>
          <w:sz w:val="24"/>
          <w:szCs w:val="24"/>
        </w:rPr>
        <w:lastRenderedPageBreak/>
        <w:t>formularse con carácter inmediato a la aparición de las circunstancias que las justifiquen y, en todo caso, con anterioridad al 30 de noviembre del año en curso. Toda modificación de las condiciones tenidas en cuenta para la concesión de la subvención, con independencia de que sea admitida por la Administración, podrá dar lugar a la modificación de la resolución de concesión o, en su caso, al reintegro de la cuantía que corresponda. El resto de incidencias y modificaciones no sustanciales que se produzcan durante la ejecución del proyecto, incluido un mayor coste total por incremento de las fuentes de financiación ajenas al Gobierno de Navarra, se comunicarán motivadamente en el informe de justificación parcial o final correspondiente.</w:t>
      </w:r>
    </w:p>
    <w:p w14:paraId="183FCFD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l) Contar con una delegación en la Comunidad Foral de Navarra para la ejecución del programa subvencionado.</w:t>
      </w:r>
    </w:p>
    <w:p w14:paraId="6315DBD9"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Decimoctava. –Obligación de Transparencia.</w:t>
      </w:r>
    </w:p>
    <w:p w14:paraId="58A0051F" w14:textId="6C497596" w:rsidR="00866FC1" w:rsidRPr="00FC65FA" w:rsidRDefault="00A03CB0"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1. </w:t>
      </w:r>
      <w:r w:rsidR="00866FC1" w:rsidRPr="00FC65FA">
        <w:rPr>
          <w:rFonts w:ascii="Calibri Light" w:hAnsi="Calibri Light" w:cs="Calibri Light"/>
          <w:sz w:val="24"/>
          <w:szCs w:val="24"/>
        </w:rPr>
        <w:t>Las entidades privadas a que hace referencia el artículo 3.c) de la Ley Foral 5/2018, de 17 de mayo, de transparencia, acceso a la información pública y buen gobierno están sujetas a las obligaciones de transparencia previstas en esta norma cuando perciban, durante el periodo de un año, ayudas o subvenciones con cargo a los presupuestos generales de Navarra en una cuantía superior a 20.000 euros, o cuando las ayudas o subvenciones percibidas representen al menos el 20% del total de sus ingresos anuales, siempre que alcancen como mínimo la cantidad de 5.000 euros.</w:t>
      </w:r>
    </w:p>
    <w:p w14:paraId="0DF168AE" w14:textId="58F86097" w:rsidR="00866FC1" w:rsidRPr="00FC65FA" w:rsidRDefault="00A03CB0"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2. </w:t>
      </w:r>
      <w:r w:rsidR="00866FC1" w:rsidRPr="00FC65FA">
        <w:rPr>
          <w:rFonts w:ascii="Calibri Light" w:hAnsi="Calibri Light" w:cs="Calibri Light"/>
          <w:sz w:val="24"/>
          <w:szCs w:val="24"/>
        </w:rPr>
        <w:t>Conforme a lo previsto en el artículo 12.4 de esta Ley Foral, las entidades beneficiarias de subvenciones que se encuentren sujetas a la obligación de transparencia al concurrir los supuestos previstos, deberán comunicar en el plazo de 10 días desde la notificación de la resolución de concesión, la información que se relaciona a continuación:</w:t>
      </w:r>
    </w:p>
    <w:p w14:paraId="01499CB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 Composición de los órganos de gobierno, administración y dirección de la entidad.</w:t>
      </w:r>
    </w:p>
    <w:p w14:paraId="000D4F6E"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b) Relación de los cargos y su régimen de dedicación.</w:t>
      </w:r>
    </w:p>
    <w:p w14:paraId="19ACDE9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c) Las retribuciones brutas y demás compensaciones económicas percibidas por la entidad por cada uno de los cargos, desglosadas por conceptos.</w:t>
      </w:r>
    </w:p>
    <w:p w14:paraId="17E5267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d) Las cuentas anuales de la entidad beneficiaria.</w:t>
      </w:r>
    </w:p>
    <w:p w14:paraId="4D0115B0" w14:textId="42DDBF49" w:rsidR="00866FC1" w:rsidRPr="00FC65FA" w:rsidRDefault="00A03CB0"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3. </w:t>
      </w:r>
      <w:r w:rsidR="00866FC1" w:rsidRPr="00FC65FA">
        <w:rPr>
          <w:rFonts w:ascii="Calibri Light" w:hAnsi="Calibri Light" w:cs="Calibri Light"/>
          <w:sz w:val="24"/>
          <w:szCs w:val="24"/>
        </w:rPr>
        <w:t>La información referida se presentará firmada por el o la representante legal de la entidad beneficiaria de forma telemática a través del Registro General Electrónico del Gobierno de Navarra y se dirigirá a la unidad administrativa que gestiona la subvención.</w:t>
      </w:r>
      <w:r w:rsidRPr="00FC65FA">
        <w:rPr>
          <w:rFonts w:ascii="Calibri Light" w:hAnsi="Calibri Light" w:cs="Calibri Light"/>
          <w:sz w:val="24"/>
          <w:szCs w:val="24"/>
        </w:rPr>
        <w:t xml:space="preserve"> Los modelos de decla</w:t>
      </w:r>
      <w:r w:rsidR="000720EB" w:rsidRPr="00FC65FA">
        <w:rPr>
          <w:rFonts w:ascii="Calibri Light" w:hAnsi="Calibri Light" w:cs="Calibri Light"/>
          <w:sz w:val="24"/>
          <w:szCs w:val="24"/>
        </w:rPr>
        <w:t>ración se encuentran en el Catálogo de Servicios de la página web del Gobierno de Navarra y en la dirección de correo electrónico: ejecucionpenal@navarra.es.</w:t>
      </w:r>
    </w:p>
    <w:p w14:paraId="3DA9D7A6"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En el caso de que la entidad no se encuentre sujeta a la obligación de transparencia al no darse los supuestos previstos deberá presentar una declaración en tal sentido.</w:t>
      </w:r>
    </w:p>
    <w:p w14:paraId="37C2D35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w:t>
      </w:r>
    </w:p>
    <w:p w14:paraId="4832C138" w14:textId="12150C32" w:rsidR="00866FC1" w:rsidRPr="00FC65FA" w:rsidRDefault="00A03CB0"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4. </w:t>
      </w:r>
      <w:r w:rsidR="00866FC1" w:rsidRPr="00FC65FA">
        <w:rPr>
          <w:rFonts w:ascii="Calibri Light" w:hAnsi="Calibri Light" w:cs="Calibri Light"/>
          <w:sz w:val="24"/>
          <w:szCs w:val="24"/>
        </w:rPr>
        <w:t>Sin perjuicio de lo anterior, todas las entidades beneficiarias estarán obligadas a suministrar a la unidad gestora, previo requerimiento y en un plazo de diez días, toda la información necesaria para el cumplimiento por ésta de las obligaciones de transparencia previstas en el Título II de la Ley Foral 5/2018, de 17 de mayo, de Transparencia, acceso a la información pública y buen gobierno.</w:t>
      </w:r>
    </w:p>
    <w:p w14:paraId="5E2B4A8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3DD7C87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Sin perjuicio de las eventuales consecuencias sancionadoras que se pudieran derivar del incumplimiento de las obligaciones de información por la entidad beneficiaria, si ésta, finalmente, no cumple esta obligación, ello conllevará el reintegro de las cantidades percibidas, de conformidad con lo dispuesto en el artículo 35.1.c) de la Ley Foral 11/2005, de 9 de noviembre, de Subvenciones.</w:t>
      </w:r>
    </w:p>
    <w:p w14:paraId="1A32040D"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Decimonovena. –Incumplimientos.</w:t>
      </w:r>
    </w:p>
    <w:p w14:paraId="0BD22E8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El incumplimiento de las obligaciones establecidas en estas bases, así como la concurrencia de las demás causas previstas en el artículo 35 de la Ley Foral 11/2005, de 9 de noviembre, de Subvenciones, dará lugar a la pérdida del derecho al cobro de la subvención concedida o, en su caso, al reintegro total o parcial de la cantidad correspondiente, conforme a lo establecido en dicho artículo 35.</w:t>
      </w:r>
    </w:p>
    <w:p w14:paraId="194EE528" w14:textId="3D5CADD1"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El incumplimiento de la obligación de presentar la información relativa al cumplimiento de las obligaciones de transpar</w:t>
      </w:r>
      <w:r w:rsidR="000720EB" w:rsidRPr="00FC65FA">
        <w:rPr>
          <w:rFonts w:ascii="Calibri Light" w:hAnsi="Calibri Light" w:cs="Calibri Light"/>
          <w:sz w:val="24"/>
          <w:szCs w:val="24"/>
        </w:rPr>
        <w:t xml:space="preserve">encia </w:t>
      </w:r>
      <w:r w:rsidRPr="00FC65FA">
        <w:rPr>
          <w:rFonts w:ascii="Calibri Light" w:hAnsi="Calibri Light" w:cs="Calibri Light"/>
          <w:sz w:val="24"/>
          <w:szCs w:val="24"/>
        </w:rPr>
        <w:t>impedirá el abono de la subvención concedida, incluidos los anticipos y conllevará, en su caso, el reintegro de las cantidades percibidas, de conformidad con lo dispuesto en el artículo 35.1 c) de la Ley Foral de Subvenciones.</w:t>
      </w:r>
    </w:p>
    <w:p w14:paraId="02B9DE4A"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3. Se considerarán especialmente los siguientes criterios de graduación de los incumplimientos para determinar la subvención a conceder o, en su caso, el importe a reintegrar:</w:t>
      </w:r>
    </w:p>
    <w:p w14:paraId="2F917D8C"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 El nivel de ejecución técnica y presupuestaria de la intervención.</w:t>
      </w:r>
    </w:p>
    <w:p w14:paraId="7B8A3455"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El número y entidad de las alteraciones realizadas sin autorización administrativa previa.</w:t>
      </w:r>
    </w:p>
    <w:p w14:paraId="000694D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En caso de incumplimientos meramente formales en la justificación final, el número de días de presentación fuera de plazo de los documentos correspondientes.</w:t>
      </w:r>
    </w:p>
    <w:p w14:paraId="1789E962"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4. Sin perjuicio de lo dispuesto en los apartados anteriores, en materia de infracciones y sanciones se estará a lo regulado en los artículos 42 y siguientes de la Ley Foral 11/2005, de 9 de noviembre, de Subvenciones, y, subsidiariamente, a las previsiones de la Ley Foral 11/2019, de 11 de marzo, de la Administración de la Comunidad Foral de Navarra y del Sector Público Institucional Foral.</w:t>
      </w:r>
    </w:p>
    <w:p w14:paraId="20CB1B30"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b/>
          <w:sz w:val="24"/>
          <w:szCs w:val="24"/>
        </w:rPr>
        <w:t>Vigésima. –Recursos administrativos</w:t>
      </w:r>
      <w:r w:rsidRPr="00FC65FA">
        <w:rPr>
          <w:rFonts w:ascii="Calibri Light" w:hAnsi="Calibri Light" w:cs="Calibri Light"/>
          <w:sz w:val="24"/>
          <w:szCs w:val="24"/>
        </w:rPr>
        <w:t>.</w:t>
      </w:r>
    </w:p>
    <w:p w14:paraId="2ADEC59E" w14:textId="211ABC69" w:rsidR="00866FC1" w:rsidRPr="00FC65FA" w:rsidRDefault="000720EB"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1. </w:t>
      </w:r>
      <w:r w:rsidR="00866FC1" w:rsidRPr="00FC65FA">
        <w:rPr>
          <w:rFonts w:ascii="Calibri Light" w:hAnsi="Calibri Light" w:cs="Calibri Light"/>
          <w:sz w:val="24"/>
          <w:szCs w:val="24"/>
        </w:rPr>
        <w:t>Contra estas bases reguladoras cabe interponer recurso de alzada ante el Gobierno de Navarra, en el plazo de un mes contado a partir del día siguiente al de su publicación, de conformidad con lo dispuesto en la Ley 39/2015, de 1 de octubre, del Procedimiento Administrativo Común de las Administraciones Públicas.</w:t>
      </w:r>
    </w:p>
    <w:p w14:paraId="3F50031C" w14:textId="195CD6E3" w:rsidR="00866FC1" w:rsidRPr="00FC65FA" w:rsidRDefault="000720EB"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2. </w:t>
      </w:r>
      <w:r w:rsidR="00866FC1" w:rsidRPr="00FC65FA">
        <w:rPr>
          <w:rFonts w:ascii="Calibri Light" w:hAnsi="Calibri Light" w:cs="Calibri Light"/>
          <w:sz w:val="24"/>
          <w:szCs w:val="24"/>
        </w:rPr>
        <w:t>Contra las resoluciones de la Directora General de Justicia dictadas en aplicación de estas bases podrá interponerse recurso de alzada ante la Consejera de Interior, Función Pública y Justicia, en el plazo de un mes contado a partir del día siguiente al de su publicación o al de su notificación, de conformidad con lo dispuesto en la Ley 39/2015, de 1 de octubre, del Procedimiento Administrativo Común de las Administraciones Públicas. Si el acto recurrido no fuera expreso, podrá interponerse recurso de alzada en cualquier momento a partir del día siguiente a aquel en que se produzcan los efectos del silencio administrativo.</w:t>
      </w:r>
    </w:p>
    <w:p w14:paraId="7B94124C"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Vigésimo primera. – Tratamiento de datos.</w:t>
      </w:r>
    </w:p>
    <w:p w14:paraId="7A8EF899"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1. La participación en esta convocatoria comporta el tratamiento de los datos de las entidades participantes por el Departamento de Interior, Función Pública y Justicia, siendo el Responsable del Tratamiento la Dirección General de Justicia.</w:t>
      </w:r>
    </w:p>
    <w:p w14:paraId="59E403A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2. La finalidad que justifica el tratamiento de datos es la gestión de la participación en la convocatoria y, en el caso de concesión de subvención, el control y ejecución de la relación jurídica que surja entre las partes. Dicha finalidad constituye una legitimación de interés público o poder público, como establece el artículo 6.1.e) del Reglamento (UE) 2016/679 General de Protección de Datos, siendo su base jurídica la Ley Foral 11/2005, de 9 de noviembre, de Subvenciones.</w:t>
      </w:r>
    </w:p>
    <w:p w14:paraId="1B6E4564"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lastRenderedPageBreak/>
        <w:t>3. Los datos de las entidades beneficiarias de las subvenciones objeto de tratamiento son datos identificativos, de contacto, bancarios, profesionales y económico-financieros o cualesquiera otros precisos para la citada finalidad.</w:t>
      </w:r>
    </w:p>
    <w:p w14:paraId="7068C79F" w14:textId="77777777"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 xml:space="preserve">4. Los datos de las entidades participantes se conservarán durante el tiempo necesario para cumplir con la finalidad para la que se recabaron y para determinar las posibles responsabilidades que se pudieran derivar de dicha finalidad y del tratamiento de los datos. En particular el plazo previsto de conservación será el previsto en el calendario de conservación documental del Gobierno de Navarra vigente en cada momento. </w:t>
      </w:r>
    </w:p>
    <w:p w14:paraId="7EBF04BC" w14:textId="3B2A7DF6" w:rsidR="00866FC1" w:rsidRPr="00FC65FA"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5. Los derechos de los interesados sobre el acceso a los datos personales, su rectificación o supresión, la limitación de su tratamiento, la oposición al tratamiento y el derecho a la portabilidad de los datos, podrán ejercerse ante el Departamento de Interior, Función Pública y Justicia en la siguiente dirección electrónica</w:t>
      </w:r>
      <w:r w:rsidR="000720EB" w:rsidRPr="00FC65FA">
        <w:rPr>
          <w:rFonts w:ascii="Calibri Light" w:hAnsi="Calibri Light" w:cs="Calibri Light"/>
          <w:sz w:val="24"/>
          <w:szCs w:val="24"/>
        </w:rPr>
        <w:t xml:space="preserve"> </w:t>
      </w:r>
      <w:r w:rsidRPr="00FC65FA">
        <w:rPr>
          <w:rFonts w:ascii="Calibri Light" w:hAnsi="Calibri Light" w:cs="Calibri Light"/>
          <w:sz w:val="24"/>
          <w:szCs w:val="24"/>
        </w:rPr>
        <w:t xml:space="preserve">  </w:t>
      </w:r>
      <w:hyperlink r:id="rId7" w:history="1">
        <w:r w:rsidR="000720EB" w:rsidRPr="00FC65FA">
          <w:rPr>
            <w:rStyle w:val="Hipervnculo"/>
            <w:rFonts w:ascii="Calibri Light" w:hAnsi="Calibri Light" w:cs="Calibri Light"/>
            <w:sz w:val="24"/>
            <w:szCs w:val="24"/>
          </w:rPr>
          <w:t>sgt.interior.funcionpublica.justicia@navarra.es</w:t>
        </w:r>
      </w:hyperlink>
      <w:r w:rsidR="000720EB" w:rsidRPr="00FC65FA">
        <w:rPr>
          <w:rFonts w:ascii="Calibri Light" w:hAnsi="Calibri Light" w:cs="Calibri Light"/>
          <w:sz w:val="24"/>
          <w:szCs w:val="24"/>
        </w:rPr>
        <w:t xml:space="preserve"> </w:t>
      </w:r>
      <w:r w:rsidRPr="00FC65FA">
        <w:rPr>
          <w:rFonts w:ascii="Calibri Light" w:hAnsi="Calibri Light" w:cs="Calibri Light"/>
          <w:sz w:val="24"/>
          <w:szCs w:val="24"/>
        </w:rPr>
        <w:t>detallando en el asunto “protección de datos”. En caso de insatisfacción, podrán acudir a la Unidad Delegada de Protección de Datos de Gobierno de Navarra, dpd@navarra.es, o a la Agencia Española de Protección de Datos, accesible desde el dominio https://www.aepd.es/.</w:t>
      </w:r>
    </w:p>
    <w:p w14:paraId="0125A8BF" w14:textId="77777777" w:rsidR="00866FC1" w:rsidRPr="00FC65FA" w:rsidRDefault="00866FC1" w:rsidP="00866FC1">
      <w:pPr>
        <w:spacing w:before="100" w:beforeAutospacing="1" w:after="100" w:afterAutospacing="1"/>
        <w:jc w:val="both"/>
        <w:rPr>
          <w:rFonts w:ascii="Calibri Light" w:hAnsi="Calibri Light" w:cs="Calibri Light"/>
          <w:b/>
          <w:sz w:val="24"/>
          <w:szCs w:val="24"/>
        </w:rPr>
      </w:pPr>
      <w:r w:rsidRPr="00FC65FA">
        <w:rPr>
          <w:rFonts w:ascii="Calibri Light" w:hAnsi="Calibri Light" w:cs="Calibri Light"/>
          <w:b/>
          <w:sz w:val="24"/>
          <w:szCs w:val="24"/>
        </w:rPr>
        <w:t>Vigésimo segunda. –Normativa aplicable.</w:t>
      </w:r>
    </w:p>
    <w:p w14:paraId="1CC75206" w14:textId="77777777" w:rsidR="00866FC1" w:rsidRPr="006D1562" w:rsidRDefault="00866FC1" w:rsidP="00866FC1">
      <w:pPr>
        <w:spacing w:before="100" w:beforeAutospacing="1" w:after="100" w:afterAutospacing="1"/>
        <w:jc w:val="both"/>
        <w:rPr>
          <w:rFonts w:ascii="Calibri Light" w:hAnsi="Calibri Light" w:cs="Calibri Light"/>
          <w:sz w:val="24"/>
          <w:szCs w:val="24"/>
        </w:rPr>
      </w:pPr>
      <w:r w:rsidRPr="00FC65FA">
        <w:rPr>
          <w:rFonts w:ascii="Calibri Light" w:hAnsi="Calibri Light" w:cs="Calibri Light"/>
          <w:sz w:val="24"/>
          <w:szCs w:val="24"/>
        </w:rPr>
        <w:t>Además de lo previsto en las presentes bases reguladoras son de aplicación las disposiciones contenidas en la Ley Foral 11/2005, de 9 de noviembre, de Subvenciones.</w:t>
      </w:r>
    </w:p>
    <w:p w14:paraId="1387AAEC" w14:textId="040F5BBD" w:rsidR="00FD2D63" w:rsidRPr="006D1562" w:rsidRDefault="00FD2D63" w:rsidP="00866FC1">
      <w:pPr>
        <w:rPr>
          <w:rFonts w:ascii="Calibri Light" w:hAnsi="Calibri Light" w:cs="Calibri Light"/>
          <w:sz w:val="24"/>
          <w:szCs w:val="24"/>
        </w:rPr>
      </w:pPr>
    </w:p>
    <w:sectPr w:rsidR="00FD2D63" w:rsidRPr="006D1562" w:rsidSect="002D3D99">
      <w:headerReference w:type="default" r:id="rId8"/>
      <w:headerReference w:type="first" r:id="rId9"/>
      <w:footerReference w:type="first" r:id="rId10"/>
      <w:pgSz w:w="11906" w:h="16838" w:code="9"/>
      <w:pgMar w:top="2835" w:right="1418"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B7052" w14:textId="77777777" w:rsidR="00B665D9" w:rsidRDefault="00B665D9">
      <w:r>
        <w:separator/>
      </w:r>
    </w:p>
  </w:endnote>
  <w:endnote w:type="continuationSeparator" w:id="0">
    <w:p w14:paraId="7759CF20" w14:textId="77777777" w:rsidR="00B665D9" w:rsidRDefault="00B66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1334A" w14:textId="77777777" w:rsidR="00A2145B" w:rsidRPr="00A2145B" w:rsidRDefault="00A2145B" w:rsidP="00A2145B">
    <w:pPr>
      <w:pStyle w:val="Piedepgina"/>
      <w:jc w:val="right"/>
      <w:rPr>
        <w:rFonts w:ascii="Courier New" w:hAnsi="Courier New" w:cs="Courier Ne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00C4F" w14:textId="77777777" w:rsidR="00B665D9" w:rsidRDefault="00B665D9">
      <w:r>
        <w:separator/>
      </w:r>
    </w:p>
  </w:footnote>
  <w:footnote w:type="continuationSeparator" w:id="0">
    <w:p w14:paraId="456BD693" w14:textId="77777777" w:rsidR="00B665D9" w:rsidRDefault="00B66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FF86B" w14:textId="77777777" w:rsidR="00F344C7" w:rsidRDefault="00F344C7" w:rsidP="00F344C7">
    <w:pPr>
      <w:pStyle w:val="Encabezado"/>
      <w:jc w:val="center"/>
    </w:pPr>
  </w:p>
  <w:p w14:paraId="0119DCAB" w14:textId="77777777" w:rsidR="00F344C7" w:rsidRDefault="00F344C7" w:rsidP="00F344C7">
    <w:pPr>
      <w:pStyle w:val="Encabezado"/>
      <w:jc w:val="center"/>
    </w:pPr>
  </w:p>
  <w:p w14:paraId="58333DA6" w14:textId="77777777" w:rsidR="00696F6F" w:rsidRPr="007250F0" w:rsidRDefault="007F433A" w:rsidP="00F344C7">
    <w:pPr>
      <w:pStyle w:val="Encabezado"/>
      <w:jc w:val="center"/>
    </w:pPr>
    <w:r>
      <w:rPr>
        <w:noProof/>
      </w:rPr>
      <w:drawing>
        <wp:anchor distT="0" distB="0" distL="114300" distR="114300" simplePos="0" relativeHeight="251662336" behindDoc="1" locked="0" layoutInCell="1" allowOverlap="1" wp14:anchorId="59CB08A4" wp14:editId="5D175C89">
          <wp:simplePos x="904875" y="828675"/>
          <wp:positionH relativeFrom="page">
            <wp:align>left</wp:align>
          </wp:positionH>
          <wp:positionV relativeFrom="page">
            <wp:align>top</wp:align>
          </wp:positionV>
          <wp:extent cx="7560000" cy="1098000"/>
          <wp:effectExtent l="0" t="0" r="3175" b="698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s2-derecha-1c-02-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9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5BB50" w14:textId="4EFD1857" w:rsidR="00696F6F" w:rsidRDefault="00494706" w:rsidP="00696F6F">
    <w:pPr>
      <w:pStyle w:val="Encabezado"/>
      <w:ind w:left="-765"/>
    </w:pPr>
    <w:r>
      <w:rPr>
        <w:noProof/>
      </w:rPr>
      <w:drawing>
        <wp:anchor distT="0" distB="0" distL="114300" distR="114300" simplePos="0" relativeHeight="251663360" behindDoc="1" locked="0" layoutInCell="1" allowOverlap="1" wp14:anchorId="5E9BA782" wp14:editId="522FE663">
          <wp:simplePos x="0" y="0"/>
          <wp:positionH relativeFrom="page">
            <wp:posOffset>10048</wp:posOffset>
          </wp:positionH>
          <wp:positionV relativeFrom="page">
            <wp:posOffset>3498</wp:posOffset>
          </wp:positionV>
          <wp:extent cx="7534374" cy="1785456"/>
          <wp:effectExtent l="0" t="0" r="0" b="571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 Cart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534374" cy="1785456"/>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784"/>
    <w:rsid w:val="00021F85"/>
    <w:rsid w:val="000720EB"/>
    <w:rsid w:val="000729E0"/>
    <w:rsid w:val="0009463A"/>
    <w:rsid w:val="000B64A1"/>
    <w:rsid w:val="000D3B67"/>
    <w:rsid w:val="000F543D"/>
    <w:rsid w:val="00113AD5"/>
    <w:rsid w:val="00157CFA"/>
    <w:rsid w:val="001A6495"/>
    <w:rsid w:val="00277C9A"/>
    <w:rsid w:val="002C0246"/>
    <w:rsid w:val="002C2F08"/>
    <w:rsid w:val="002D3D99"/>
    <w:rsid w:val="002F09C8"/>
    <w:rsid w:val="0030230B"/>
    <w:rsid w:val="00333F0D"/>
    <w:rsid w:val="00393C48"/>
    <w:rsid w:val="00397486"/>
    <w:rsid w:val="003E2B5A"/>
    <w:rsid w:val="003F1206"/>
    <w:rsid w:val="003F3A76"/>
    <w:rsid w:val="004929CA"/>
    <w:rsid w:val="00494706"/>
    <w:rsid w:val="004C73BA"/>
    <w:rsid w:val="005367EB"/>
    <w:rsid w:val="00557BB7"/>
    <w:rsid w:val="00567439"/>
    <w:rsid w:val="005971A0"/>
    <w:rsid w:val="005B095B"/>
    <w:rsid w:val="005C6849"/>
    <w:rsid w:val="00614526"/>
    <w:rsid w:val="006772A5"/>
    <w:rsid w:val="00696F6F"/>
    <w:rsid w:val="006A5952"/>
    <w:rsid w:val="006D1562"/>
    <w:rsid w:val="006F1FB3"/>
    <w:rsid w:val="006F5B74"/>
    <w:rsid w:val="007018B0"/>
    <w:rsid w:val="00793F61"/>
    <w:rsid w:val="007C27F2"/>
    <w:rsid w:val="007C7DC8"/>
    <w:rsid w:val="007E1D5F"/>
    <w:rsid w:val="007F433A"/>
    <w:rsid w:val="007F753B"/>
    <w:rsid w:val="00813FD7"/>
    <w:rsid w:val="008328F1"/>
    <w:rsid w:val="00866FC1"/>
    <w:rsid w:val="008A35FE"/>
    <w:rsid w:val="008C1162"/>
    <w:rsid w:val="00910D59"/>
    <w:rsid w:val="00943ACF"/>
    <w:rsid w:val="00961408"/>
    <w:rsid w:val="00994342"/>
    <w:rsid w:val="009E202F"/>
    <w:rsid w:val="009E381E"/>
    <w:rsid w:val="00A03CB0"/>
    <w:rsid w:val="00A077F0"/>
    <w:rsid w:val="00A117E7"/>
    <w:rsid w:val="00A2145B"/>
    <w:rsid w:val="00A52259"/>
    <w:rsid w:val="00A6404A"/>
    <w:rsid w:val="00B13E3D"/>
    <w:rsid w:val="00B27E81"/>
    <w:rsid w:val="00B46857"/>
    <w:rsid w:val="00B662C6"/>
    <w:rsid w:val="00B665D9"/>
    <w:rsid w:val="00B67721"/>
    <w:rsid w:val="00B96F7E"/>
    <w:rsid w:val="00BD6A02"/>
    <w:rsid w:val="00BE1EC3"/>
    <w:rsid w:val="00BE2BD3"/>
    <w:rsid w:val="00BE6A10"/>
    <w:rsid w:val="00CA2943"/>
    <w:rsid w:val="00CC1284"/>
    <w:rsid w:val="00CC53BD"/>
    <w:rsid w:val="00CC54B2"/>
    <w:rsid w:val="00CC6CE8"/>
    <w:rsid w:val="00CE14D0"/>
    <w:rsid w:val="00D332F9"/>
    <w:rsid w:val="00DA418D"/>
    <w:rsid w:val="00DF6784"/>
    <w:rsid w:val="00E65606"/>
    <w:rsid w:val="00E75659"/>
    <w:rsid w:val="00E8181E"/>
    <w:rsid w:val="00E93AB2"/>
    <w:rsid w:val="00F037C2"/>
    <w:rsid w:val="00F06D58"/>
    <w:rsid w:val="00F344C7"/>
    <w:rsid w:val="00FA6911"/>
    <w:rsid w:val="00FC65FA"/>
    <w:rsid w:val="00FD2D63"/>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44F041B"/>
  <w15:docId w15:val="{21E6A68A-51FE-46DB-9ABF-43BF7BE2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857"/>
    <w:rPr>
      <w:lang w:val="es-ES" w:eastAsia="es-ES"/>
    </w:rPr>
  </w:style>
  <w:style w:type="paragraph" w:styleId="Ttulo1">
    <w:name w:val="heading 1"/>
    <w:basedOn w:val="Normal"/>
    <w:next w:val="Normal"/>
    <w:qFormat/>
    <w:rsid w:val="00B46857"/>
    <w:pPr>
      <w:keepNext/>
      <w:jc w:val="right"/>
      <w:outlineLvl w:val="0"/>
    </w:pPr>
    <w:rPr>
      <w:rFonts w:ascii="Courier New" w:hAnsi="Courier New"/>
      <w:b/>
      <w: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5367EB"/>
    <w:rPr>
      <w:rFonts w:ascii="Tahoma" w:hAnsi="Tahoma" w:cs="Tahoma"/>
      <w:sz w:val="16"/>
      <w:szCs w:val="16"/>
    </w:rPr>
  </w:style>
  <w:style w:type="paragraph" w:styleId="Encabezado">
    <w:name w:val="header"/>
    <w:basedOn w:val="Normal"/>
    <w:rsid w:val="00F34884"/>
    <w:pPr>
      <w:tabs>
        <w:tab w:val="center" w:pos="4252"/>
        <w:tab w:val="right" w:pos="8504"/>
      </w:tabs>
    </w:pPr>
  </w:style>
  <w:style w:type="paragraph" w:styleId="Piedepgina">
    <w:name w:val="footer"/>
    <w:basedOn w:val="Normal"/>
    <w:rsid w:val="00F34884"/>
    <w:pPr>
      <w:tabs>
        <w:tab w:val="center" w:pos="4252"/>
        <w:tab w:val="right" w:pos="8504"/>
      </w:tabs>
    </w:pPr>
  </w:style>
  <w:style w:type="paragraph" w:styleId="Mapadeldocumento">
    <w:name w:val="Document Map"/>
    <w:basedOn w:val="Normal"/>
    <w:link w:val="MapadeldocumentoCar"/>
    <w:rsid w:val="001421C6"/>
    <w:rPr>
      <w:rFonts w:ascii="Lucida Grande" w:hAnsi="Lucida Grande"/>
    </w:rPr>
  </w:style>
  <w:style w:type="character" w:customStyle="1" w:styleId="MapadeldocumentoCar">
    <w:name w:val="Mapa del documento Car"/>
    <w:basedOn w:val="Fuentedeprrafopredeter"/>
    <w:link w:val="Mapadeldocumento"/>
    <w:rsid w:val="001421C6"/>
    <w:rPr>
      <w:rFonts w:ascii="Lucida Grande" w:hAnsi="Lucida Grande"/>
      <w:sz w:val="24"/>
      <w:szCs w:val="24"/>
      <w:lang w:val="es-ES" w:eastAsia="es-ES"/>
    </w:rPr>
  </w:style>
  <w:style w:type="table" w:styleId="Tablaconcuadrcula">
    <w:name w:val="Table Grid"/>
    <w:basedOn w:val="Tablanormal"/>
    <w:rsid w:val="00B46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2145B"/>
  </w:style>
  <w:style w:type="character" w:styleId="Hipervnculo">
    <w:name w:val="Hyperlink"/>
    <w:basedOn w:val="Fuentedeprrafopredeter"/>
    <w:uiPriority w:val="99"/>
    <w:unhideWhenUsed/>
    <w:rsid w:val="00866FC1"/>
    <w:rPr>
      <w:color w:val="0000FF"/>
      <w:u w:val="single"/>
    </w:rPr>
  </w:style>
  <w:style w:type="paragraph" w:customStyle="1" w:styleId="Default">
    <w:name w:val="Default"/>
    <w:rsid w:val="00866FC1"/>
    <w:pPr>
      <w:autoSpaceDE w:val="0"/>
      <w:autoSpaceDN w:val="0"/>
      <w:adjustRightInd w:val="0"/>
    </w:pPr>
    <w:rPr>
      <w:rFonts w:ascii="Calibri" w:hAnsi="Calibri" w:cs="Calibri"/>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3230">
      <w:bodyDiv w:val="1"/>
      <w:marLeft w:val="0"/>
      <w:marRight w:val="0"/>
      <w:marTop w:val="0"/>
      <w:marBottom w:val="0"/>
      <w:divBdr>
        <w:top w:val="none" w:sz="0" w:space="0" w:color="auto"/>
        <w:left w:val="none" w:sz="0" w:space="0" w:color="auto"/>
        <w:bottom w:val="none" w:sz="0" w:space="0" w:color="auto"/>
        <w:right w:val="none" w:sz="0" w:space="0" w:color="auto"/>
      </w:divBdr>
    </w:div>
    <w:div w:id="849833043">
      <w:bodyDiv w:val="1"/>
      <w:marLeft w:val="0"/>
      <w:marRight w:val="0"/>
      <w:marTop w:val="0"/>
      <w:marBottom w:val="0"/>
      <w:divBdr>
        <w:top w:val="none" w:sz="0" w:space="0" w:color="auto"/>
        <w:left w:val="none" w:sz="0" w:space="0" w:color="auto"/>
        <w:bottom w:val="none" w:sz="0" w:space="0" w:color="auto"/>
        <w:right w:val="none" w:sz="0" w:space="0" w:color="auto"/>
      </w:divBdr>
    </w:div>
    <w:div w:id="1051345677">
      <w:bodyDiv w:val="1"/>
      <w:marLeft w:val="0"/>
      <w:marRight w:val="0"/>
      <w:marTop w:val="0"/>
      <w:marBottom w:val="0"/>
      <w:divBdr>
        <w:top w:val="none" w:sz="0" w:space="0" w:color="auto"/>
        <w:left w:val="none" w:sz="0" w:space="0" w:color="auto"/>
        <w:bottom w:val="none" w:sz="0" w:space="0" w:color="auto"/>
        <w:right w:val="none" w:sz="0" w:space="0" w:color="auto"/>
      </w:divBdr>
    </w:div>
    <w:div w:id="1090659987">
      <w:bodyDiv w:val="1"/>
      <w:marLeft w:val="0"/>
      <w:marRight w:val="0"/>
      <w:marTop w:val="0"/>
      <w:marBottom w:val="0"/>
      <w:divBdr>
        <w:top w:val="none" w:sz="0" w:space="0" w:color="auto"/>
        <w:left w:val="none" w:sz="0" w:space="0" w:color="auto"/>
        <w:bottom w:val="none" w:sz="0" w:space="0" w:color="auto"/>
        <w:right w:val="none" w:sz="0" w:space="0" w:color="auto"/>
      </w:divBdr>
    </w:div>
    <w:div w:id="1224215156">
      <w:bodyDiv w:val="1"/>
      <w:marLeft w:val="0"/>
      <w:marRight w:val="0"/>
      <w:marTop w:val="0"/>
      <w:marBottom w:val="0"/>
      <w:divBdr>
        <w:top w:val="none" w:sz="0" w:space="0" w:color="auto"/>
        <w:left w:val="none" w:sz="0" w:space="0" w:color="auto"/>
        <w:bottom w:val="none" w:sz="0" w:space="0" w:color="auto"/>
        <w:right w:val="none" w:sz="0" w:space="0" w:color="auto"/>
      </w:divBdr>
    </w:div>
    <w:div w:id="1351297908">
      <w:bodyDiv w:val="1"/>
      <w:marLeft w:val="0"/>
      <w:marRight w:val="0"/>
      <w:marTop w:val="0"/>
      <w:marBottom w:val="0"/>
      <w:divBdr>
        <w:top w:val="none" w:sz="0" w:space="0" w:color="auto"/>
        <w:left w:val="none" w:sz="0" w:space="0" w:color="auto"/>
        <w:bottom w:val="none" w:sz="0" w:space="0" w:color="auto"/>
        <w:right w:val="none" w:sz="0" w:space="0" w:color="auto"/>
      </w:divBdr>
    </w:div>
    <w:div w:id="1459490502">
      <w:bodyDiv w:val="1"/>
      <w:marLeft w:val="0"/>
      <w:marRight w:val="0"/>
      <w:marTop w:val="0"/>
      <w:marBottom w:val="0"/>
      <w:divBdr>
        <w:top w:val="none" w:sz="0" w:space="0" w:color="auto"/>
        <w:left w:val="none" w:sz="0" w:space="0" w:color="auto"/>
        <w:bottom w:val="none" w:sz="0" w:space="0" w:color="auto"/>
        <w:right w:val="none" w:sz="0" w:space="0" w:color="auto"/>
      </w:divBdr>
    </w:div>
    <w:div w:id="1582444374">
      <w:bodyDiv w:val="1"/>
      <w:marLeft w:val="0"/>
      <w:marRight w:val="0"/>
      <w:marTop w:val="0"/>
      <w:marBottom w:val="0"/>
      <w:divBdr>
        <w:top w:val="none" w:sz="0" w:space="0" w:color="auto"/>
        <w:left w:val="none" w:sz="0" w:space="0" w:color="auto"/>
        <w:bottom w:val="none" w:sz="0" w:space="0" w:color="auto"/>
        <w:right w:val="none" w:sz="0" w:space="0" w:color="auto"/>
      </w:divBdr>
    </w:div>
    <w:div w:id="1618948987">
      <w:bodyDiv w:val="1"/>
      <w:marLeft w:val="0"/>
      <w:marRight w:val="0"/>
      <w:marTop w:val="0"/>
      <w:marBottom w:val="0"/>
      <w:divBdr>
        <w:top w:val="none" w:sz="0" w:space="0" w:color="auto"/>
        <w:left w:val="none" w:sz="0" w:space="0" w:color="auto"/>
        <w:bottom w:val="none" w:sz="0" w:space="0" w:color="auto"/>
        <w:right w:val="none" w:sz="0" w:space="0" w:color="auto"/>
      </w:divBdr>
    </w:div>
    <w:div w:id="1802260933">
      <w:bodyDiv w:val="1"/>
      <w:marLeft w:val="0"/>
      <w:marRight w:val="0"/>
      <w:marTop w:val="0"/>
      <w:marBottom w:val="0"/>
      <w:divBdr>
        <w:top w:val="none" w:sz="0" w:space="0" w:color="auto"/>
        <w:left w:val="none" w:sz="0" w:space="0" w:color="auto"/>
        <w:bottom w:val="none" w:sz="0" w:space="0" w:color="auto"/>
        <w:right w:val="none" w:sz="0" w:space="0" w:color="auto"/>
      </w:divBdr>
    </w:div>
    <w:div w:id="1827552327">
      <w:bodyDiv w:val="1"/>
      <w:marLeft w:val="0"/>
      <w:marRight w:val="0"/>
      <w:marTop w:val="0"/>
      <w:marBottom w:val="0"/>
      <w:divBdr>
        <w:top w:val="none" w:sz="0" w:space="0" w:color="auto"/>
        <w:left w:val="none" w:sz="0" w:space="0" w:color="auto"/>
        <w:bottom w:val="none" w:sz="0" w:space="0" w:color="auto"/>
        <w:right w:val="none" w:sz="0" w:space="0" w:color="auto"/>
      </w:divBdr>
    </w:div>
    <w:div w:id="1843660647">
      <w:bodyDiv w:val="1"/>
      <w:marLeft w:val="0"/>
      <w:marRight w:val="0"/>
      <w:marTop w:val="0"/>
      <w:marBottom w:val="0"/>
      <w:divBdr>
        <w:top w:val="none" w:sz="0" w:space="0" w:color="auto"/>
        <w:left w:val="none" w:sz="0" w:space="0" w:color="auto"/>
        <w:bottom w:val="none" w:sz="0" w:space="0" w:color="auto"/>
        <w:right w:val="none" w:sz="0" w:space="0" w:color="auto"/>
      </w:divBdr>
    </w:div>
    <w:div w:id="2074817784">
      <w:bodyDiv w:val="1"/>
      <w:marLeft w:val="0"/>
      <w:marRight w:val="0"/>
      <w:marTop w:val="0"/>
      <w:marBottom w:val="0"/>
      <w:divBdr>
        <w:top w:val="none" w:sz="0" w:space="0" w:color="auto"/>
        <w:left w:val="none" w:sz="0" w:space="0" w:color="auto"/>
        <w:bottom w:val="none" w:sz="0" w:space="0" w:color="auto"/>
        <w:right w:val="none" w:sz="0" w:space="0" w:color="auto"/>
      </w:divBdr>
    </w:div>
    <w:div w:id="2144275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gt.interior.funcionpublica.justicia@navarra.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jecucionpenal@navarra.e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20</Pages>
  <Words>7557</Words>
  <Characters>41567</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Lacosta Artigas, Elena (Justicia)</cp:lastModifiedBy>
  <cp:revision>4</cp:revision>
  <cp:lastPrinted>2015-10-05T06:52:00Z</cp:lastPrinted>
  <dcterms:created xsi:type="dcterms:W3CDTF">2025-02-20T09:59:00Z</dcterms:created>
  <dcterms:modified xsi:type="dcterms:W3CDTF">2025-03-03T08:58:00Z</dcterms:modified>
</cp:coreProperties>
</file>