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CONVENIO DE COLABORACIÓN ENTRE EL AYUNTAMIENTO DE CABANAS Y LA ENTIDADE “DATO” DEL CEMENTERIO VECINAL DE LARAXE DE CABANAS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la Casa del Ayuntamiento, en la fecha que consta al margen</w:t>
      </w:r>
    </w:p>
    <w:p>
      <w:pPr>
        <w:pStyle w:val="Normal"/>
        <w:spacing w:lineRule="auto" w:line="360" w:before="0" w:after="120"/>
        <w:jc w:val="center"/>
        <w:rPr>
          <w:rFonts w:ascii="Arial" w:hAnsi="Arial" w:cs="Arial"/>
          <w:b/>
          <w:b/>
          <w:sz w:val="22"/>
          <w:szCs w:val="22"/>
          <w:lang w:val="es-ES"/>
        </w:rPr>
      </w:pPr>
      <w:r>
        <w:rPr>
          <w:rFonts w:cs="Arial" w:ascii="Arial" w:hAnsi="Arial"/>
          <w:b/>
          <w:sz w:val="22"/>
          <w:szCs w:val="22"/>
          <w:lang w:val="es-ES"/>
        </w:rPr>
        <w:t>REUNIDOS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De una parte, D. Fernando Couce Rodríguez, Alcalde del Ayuntamiento de Cabanas, en representación del mismo, con CIF P1501500A y domicilio social en la Calle del Concello, nº 22, 15621 Cabanas (A Coruña)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De otra parte, Dª. María Amalia Pena Seco, con DNI 32624591B, en su calidad de Presidenta de la entidad “Dato”, CIF G- 15336001, domicilio social Lugar Igrexa, s/n – Laraxe, 15621 Cabanas (A Coruña), representa a la entidad “Dato” la cual, según el  acuerdo de la Asamblea General Ordinaria adoptado en fecha 11 de abril de 2025, aprobó por unanimidad de los presentes la renovación de este convenio.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Ambas partes se reconocen mutua y recíprocamente la capacidad legal suficiente y necesaria para este acto y libremente.</w:t>
      </w:r>
    </w:p>
    <w:p>
      <w:pPr>
        <w:pStyle w:val="Normal"/>
        <w:spacing w:lineRule="auto" w:line="360" w:before="0" w:after="120"/>
        <w:jc w:val="center"/>
        <w:rPr>
          <w:rFonts w:ascii="Arial" w:hAnsi="Arial" w:cs="Arial"/>
          <w:b/>
          <w:b/>
          <w:sz w:val="22"/>
          <w:szCs w:val="22"/>
          <w:lang w:val="es-ES"/>
        </w:rPr>
      </w:pPr>
      <w:r>
        <w:rPr>
          <w:rFonts w:cs="Arial" w:ascii="Arial" w:hAnsi="Arial"/>
          <w:b/>
          <w:sz w:val="22"/>
          <w:szCs w:val="22"/>
          <w:lang w:val="es-ES"/>
        </w:rPr>
        <w:t>EXPONEN</w:t>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PRIMERO.</w:t>
      </w:r>
      <w:r>
        <w:rPr>
          <w:rFonts w:cs="Arial" w:ascii="Arial" w:hAnsi="Arial"/>
          <w:sz w:val="22"/>
          <w:szCs w:val="22"/>
          <w:lang w:val="es-ES"/>
        </w:rPr>
        <w:t xml:space="preserve"> Que el Ayuntamiento de Cabanas debe prestar, en todo caso, el servicio de cementerio en el municipio, según establece el artículo 26.1.a) de la Leiy7/1985, de 2 de abril, reguladora de las bases del régimen local y el artículo 81.a) de la Ley 5/1997, de 22 de julio, de administración local de Galicia. En la actualidad no dispone de este servicio municipal para cumplir con las obligaciones que le impone la legislación vigente, ni está en trámite su establecimiento.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SEGUNDO</w:t>
      </w:r>
      <w:r>
        <w:rPr>
          <w:rFonts w:cs="Arial" w:ascii="Arial" w:hAnsi="Arial"/>
          <w:sz w:val="22"/>
          <w:szCs w:val="22"/>
          <w:lang w:val="es-ES"/>
        </w:rPr>
        <w:t>. La falta de cementerio municipal está siendo suplida por los cementerios de carácter privado existentes en las parroquias del ayuntamiento, muchos de ellos gestionados por asociaciones constituidas para este fin según consta en sus correspondientes Estatutos. El Ayuntamiento, en el presupuesto de 2025 prorrogado 2023, consignó partida presupuestaria para colaborar en el mantenimiento de cementerios con estas entidades.</w:t>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TERCERO.</w:t>
      </w:r>
      <w:r>
        <w:rPr>
          <w:rFonts w:cs="Arial" w:ascii="Arial" w:hAnsi="Arial"/>
          <w:sz w:val="22"/>
          <w:szCs w:val="22"/>
          <w:lang w:val="es-ES"/>
        </w:rPr>
        <w:t xml:space="preserve"> Tanto el Ayuntamiento como la Entidad “Dato” tienen objetivos comunes en esta materia y por lo tanto es precisa una colaboración que permita el mantenimiento de este servicio.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virtud de lo expuesto, las partes acuerdan suscribir el presente CONVENIO DE COLABORACIÓN conforme a las siguientes cláusulas: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center"/>
        <w:rPr>
          <w:rFonts w:ascii="Arial" w:hAnsi="Arial" w:cs="Arial"/>
          <w:b/>
          <w:b/>
          <w:sz w:val="22"/>
          <w:szCs w:val="22"/>
          <w:lang w:val="es-ES"/>
        </w:rPr>
      </w:pPr>
      <w:r>
        <w:rPr>
          <w:rFonts w:cs="Arial" w:ascii="Arial" w:hAnsi="Arial"/>
          <w:b/>
          <w:sz w:val="22"/>
          <w:szCs w:val="22"/>
          <w:lang w:val="es-ES"/>
        </w:rPr>
        <w:t>CLÁUSULAS</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PRIMERA</w:t>
      </w:r>
      <w:r>
        <w:rPr>
          <w:rFonts w:cs="Arial" w:ascii="Arial" w:hAnsi="Arial"/>
          <w:sz w:val="22"/>
          <w:szCs w:val="22"/>
          <w:lang w:val="es-ES"/>
        </w:rPr>
        <w:t xml:space="preserve">. </w:t>
      </w:r>
      <w:r>
        <w:rPr>
          <w:rFonts w:cs="Arial" w:ascii="Arial" w:hAnsi="Arial"/>
          <w:b/>
          <w:sz w:val="22"/>
          <w:szCs w:val="22"/>
          <w:lang w:val="es-ES"/>
        </w:rPr>
        <w:t>Objeto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El objeto de este convenio es establecer las bases de colaboración entre el Ayuntamiento de Cabanas y la Asociación Vecinal “Dato”, para la prestación del servicio de cementerio, en el ámbito de la parroquia de Laraxe.</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bCs/>
          <w:sz w:val="22"/>
          <w:szCs w:val="22"/>
          <w:lang w:val="es-ES"/>
        </w:rPr>
        <w:t>SEGUNDA. Aportación municipal</w:t>
      </w:r>
      <w:r>
        <w:rPr>
          <w:rFonts w:cs="Arial" w:ascii="Arial" w:hAnsi="Arial"/>
          <w:sz w:val="22"/>
          <w:szCs w:val="22"/>
          <w:lang w:val="es-ES"/>
        </w:rPr>
        <w:t>.</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El Ayuntamiento contribuye con la cantidad global de 2.000,00 euros con cargo a la reserva de crédito hecha en la partida presupuestaria 164.48900 del año 2025 prorrogado 2023.</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bCs/>
          <w:sz w:val="22"/>
          <w:szCs w:val="22"/>
          <w:lang w:val="es-ES"/>
        </w:rPr>
      </w:pPr>
      <w:r>
        <w:rPr>
          <w:rFonts w:cs="Arial" w:ascii="Arial" w:hAnsi="Arial"/>
          <w:b/>
          <w:bCs/>
          <w:sz w:val="22"/>
          <w:szCs w:val="22"/>
          <w:lang w:val="es-ES"/>
        </w:rPr>
        <w:t>TERCERA. Gastos subvencionables.</w:t>
      </w:r>
    </w:p>
    <w:p>
      <w:pPr>
        <w:pStyle w:val="Normal"/>
        <w:spacing w:lineRule="auto" w:line="360"/>
        <w:jc w:val="both"/>
        <w:rPr>
          <w:rFonts w:ascii="Arial" w:hAnsi="Arial" w:cs="Arial"/>
          <w:sz w:val="22"/>
          <w:szCs w:val="22"/>
          <w:lang w:val="es-ES"/>
        </w:rPr>
      </w:pPr>
      <w:r>
        <w:rPr>
          <w:rFonts w:cs="Arial" w:ascii="Arial" w:hAnsi="Arial"/>
          <w:sz w:val="22"/>
          <w:szCs w:val="22"/>
          <w:lang w:val="es-ES"/>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computadas en la Contabilidad General y hagan referencia al período comprendido entre el 1 de enero y el 28 de noviembre de 2025.</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Se excluirán de forma expresa, tanto todos los gastos que se dediquen al material que sea inventariable (por ejemplo, ordenadores, mobiliario de oficina, etc.) como los gastos que non estén directamente vinculados con el objeto del convenio recogido en la cláusula primera.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CUARTA</w:t>
      </w:r>
      <w:r>
        <w:rPr>
          <w:rFonts w:cs="Arial" w:ascii="Arial" w:hAnsi="Arial"/>
          <w:sz w:val="22"/>
          <w:szCs w:val="22"/>
          <w:lang w:val="es-ES"/>
        </w:rPr>
        <w:t xml:space="preserve">. </w:t>
      </w:r>
      <w:r>
        <w:rPr>
          <w:rFonts w:cs="Arial" w:ascii="Arial" w:hAnsi="Arial"/>
          <w:b/>
          <w:sz w:val="22"/>
          <w:szCs w:val="22"/>
          <w:lang w:val="es-ES"/>
        </w:rPr>
        <w:t>Obligaciones de la Asociación Vecinal “Dato”.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Las obligaciones de la Asociación Vecinal “Dato” serán las siguientes: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Facilitar al Ayuntamiento de Cabanas la prestación del servicio de cementerio en el ámbito de la parroquia de Laraxe para que pueda cumplir con las obligaciones que la legislación vigente exige a la entidad municipal.</w:t>
      </w:r>
    </w:p>
    <w:p>
      <w:pPr>
        <w:pStyle w:val="Normal"/>
        <w:spacing w:lineRule="auto" w:line="360" w:before="0" w:after="120"/>
        <w:ind w:left="567" w:hanging="0"/>
        <w:jc w:val="both"/>
        <w:rPr>
          <w:rFonts w:ascii="Arial" w:hAnsi="Arial" w:cs="Arial"/>
          <w:sz w:val="22"/>
          <w:szCs w:val="22"/>
          <w:lang w:val="es-ES"/>
        </w:rPr>
      </w:pPr>
      <w:r>
        <w:rPr>
          <w:rFonts w:cs="Arial" w:ascii="Arial" w:hAnsi="Arial"/>
          <w:sz w:val="22"/>
          <w:szCs w:val="22"/>
          <w:lang w:val="es-ES"/>
        </w:rPr>
        <w:t>En este sentido facilitará espacio para proceder a enterramiento de personas fallecidas en la parroquia y no dispongan de familiares que los tuvieran a su cargo o de lugar destinado a su enterramiento.</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Desarrollar la prestación del servicio cumpliendo con la normativa vigente en materia de cementerios y política mortuoria, manteniendo las instalaciones en las condiciones requeridas.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Como beneficiaria de subvenciones públicas, la Entidad “Dato” deberá estar al corriente en sus obligaciones tributarias con el Estado, Comunidad Autónoma y el Ayuntamiento de Cabanas, debiendo adjuntar los justificantes correspondientes.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 xml:space="preserve">La Entidad “Dato” está obligada a presentar los documentos justificativos de la subvención, como fecha límite, el </w:t>
      </w:r>
      <w:r>
        <w:rPr>
          <w:rFonts w:cs="Arial" w:ascii="Arial" w:hAnsi="Arial"/>
          <w:b/>
          <w:bCs/>
          <w:sz w:val="22"/>
          <w:szCs w:val="22"/>
          <w:lang w:val="es-ES"/>
        </w:rPr>
        <w:t>28 de noviembre de 2025</w:t>
      </w:r>
      <w:r>
        <w:rPr>
          <w:rFonts w:cs="Arial" w:ascii="Arial" w:hAnsi="Arial"/>
          <w:sz w:val="22"/>
          <w:szCs w:val="22"/>
          <w:lang w:val="es-ES"/>
        </w:rPr>
        <w:t>, y someterse a las actuaciones de comprobación que respecto a la gestión de los referidos fondos pueda efectuar el Ayuntamiento, adjuntando cuanta información le sea requerida.</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Cumplir las obligaciones de publicidad que vienen establecidas en la cláusula sexta do convenio.</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Concertar un seguro de responsabilidad civil y un seguro de accidentes que cubran los riesgos que pudieran ocasionar las obras realizadas en el cementerio de Laraxe.</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Cumplir con las obligaciones que, con carácter general, establece el artículo 14 de la Ley 38/2003, de 17 de noviembre, para las personas beneficiarias.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Presentar en el Ayuntamiento de Cabanas, en los plazos establecidos, la documentación necesaria para la acreditación y justificación del objeto de este convenio.</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QUINTA. Obligaciones del Ayuntamiento de Cabanas.</w:t>
      </w:r>
    </w:p>
    <w:p>
      <w:pPr>
        <w:pStyle w:val="Normal"/>
        <w:spacing w:lineRule="auto" w:line="360" w:before="0" w:after="120"/>
        <w:jc w:val="both"/>
        <w:rPr>
          <w:rFonts w:ascii="Arial" w:hAnsi="Arial" w:cs="Arial"/>
          <w:bCs/>
          <w:sz w:val="22"/>
          <w:szCs w:val="22"/>
          <w:lang w:val="es-ES"/>
        </w:rPr>
      </w:pPr>
      <w:r>
        <w:rPr>
          <w:rFonts w:cs="Arial" w:ascii="Arial" w:hAnsi="Arial"/>
          <w:bCs/>
          <w:sz w:val="22"/>
          <w:szCs w:val="22"/>
          <w:lang w:val="es-ES"/>
        </w:rPr>
        <w:t xml:space="preserve">El Ayuntamiento de Cabanas asume la obligación de contribuir con una cantidad de </w:t>
      </w:r>
      <w:r>
        <w:rPr>
          <w:rFonts w:cs="Arial" w:ascii="Arial" w:hAnsi="Arial"/>
          <w:sz w:val="22"/>
          <w:szCs w:val="22"/>
          <w:lang w:val="es-ES"/>
        </w:rPr>
        <w:t>2.000,00 euros con cargo a la partida 164.48900 del vigente presupuesto 2025 prorrogado 2023.</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Teniendo en cuenta la cuantía de la subvención y de conformidad con el apartado 4 del artículo 34 de la Ley 38/2003, de 17 de noviembre, general de subvenciones y el apartado 6 del artículo 31 de la Ley 9/2007, de 13 de junio, de subvenciones de Galicia, podrán realizar </w:t>
      </w:r>
      <w:r>
        <w:rPr>
          <w:rFonts w:cs="Arial" w:ascii="Arial" w:hAnsi="Arial"/>
          <w:b/>
          <w:sz w:val="22"/>
          <w:szCs w:val="22"/>
          <w:lang w:val="es-ES"/>
        </w:rPr>
        <w:t xml:space="preserve">pagos anticipados </w:t>
      </w:r>
      <w:r>
        <w:rPr>
          <w:rFonts w:cs="Arial" w:ascii="Arial" w:hAnsi="Arial"/>
          <w:sz w:val="22"/>
          <w:szCs w:val="22"/>
          <w:lang w:val="es-ES"/>
        </w:rPr>
        <w:t>(entrega de fondos con carácter previo a la justificación final), de conformidad con el siguiente párrafo:</w:t>
      </w:r>
    </w:p>
    <w:p>
      <w:pPr>
        <w:pStyle w:val="ListParagraph"/>
        <w:numPr>
          <w:ilvl w:val="0"/>
          <w:numId w:val="2"/>
        </w:numPr>
        <w:spacing w:lineRule="auto" w:line="360" w:before="0" w:after="200"/>
        <w:contextualSpacing/>
        <w:rPr>
          <w:rFonts w:ascii="Arial" w:hAnsi="Arial" w:cs="Arial"/>
          <w:sz w:val="22"/>
          <w:szCs w:val="22"/>
          <w:lang w:val="es-ES"/>
        </w:rPr>
      </w:pPr>
      <w:r>
        <w:rPr>
          <w:rFonts w:cs="Arial" w:ascii="Arial" w:hAnsi="Arial"/>
          <w:sz w:val="22"/>
          <w:szCs w:val="22"/>
          <w:lang w:val="es-ES"/>
        </w:rPr>
        <w:t>Una vez firmado el convenio, la Asociación Vecinal “Dato” podrá solicitar un anticipo del 50% de la cantidad concedida. Con la justificación final, una vez revisada y validad la documentación presentada, se abonará el restante 50%.</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Según el apartado 5 del artículo 34 de la Ley 38/2003, de 17 de noviembre, general de subvenciones y el apartado 7 del artículo 31 de la Ley 9/2007, de 13 de junio, de subvenciones de Galicia, no se podrán realizar pagos anticipados en tanto el beneficiario no se encuentre al corriente en el cumplimiento de sus obligaciones tributarias y frente a la Seguridad Social y no tenga pendiente de pago ninguna otra deuda con la Administración pública de la Comunidad Autónoma o sea deudor por resolución de procedencia de reintegro. Por lo tanto, junto a la solicitud de anticipo del 50%. La Asociación Vecinal “Dato” deberá acreditar estar al corriente en el cumplimiento de las obligaciones de la Seguridad Social y de la Administración Tributaria (estatal, autonómica y local).</w:t>
      </w:r>
      <w:bookmarkStart w:id="0" w:name="_Hlk100662997"/>
      <w:bookmarkEnd w:id="0"/>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SEXTA. Publicidad del financiamiento del Ayuntamiento</w:t>
      </w:r>
    </w:p>
    <w:p>
      <w:pPr>
        <w:pStyle w:val="Normal"/>
        <w:spacing w:lineRule="auto" w:line="360"/>
        <w:jc w:val="both"/>
        <w:rPr>
          <w:rFonts w:ascii="Arial" w:hAnsi="Arial" w:cs="Arial"/>
          <w:sz w:val="22"/>
          <w:szCs w:val="22"/>
          <w:lang w:val="es-ES"/>
        </w:rPr>
      </w:pPr>
      <w:r>
        <w:rPr>
          <w:rFonts w:cs="Arial" w:ascii="Arial" w:hAnsi="Arial"/>
          <w:sz w:val="22"/>
          <w:szCs w:val="22"/>
          <w:lang w:val="es-ES"/>
        </w:rPr>
        <w:t>En toda la publicidad que la Asociación Vecinal “Dato” haga relativas a obras deberá figurar, en lugar destacado, el anagrama del Ayuntamiento de Cabanas.</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imagen corporativa establecida por el Ayuntamiento de Cabanas se especifica en el Anexo I.</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En el caso de que el beneficiario recibiese subvenciones de distintas entidades públicas o privadas, la publicidad que le dará al financiamiento municipal deberá ser, por lo menos, análoga a la empleada con las demás subvenciones.</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Con la documentación justificativa se adjuntarán los documentos que acrediten el cumplimiento de esta obligación con el Ayuntamiento de Cabanas.</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SÉPTIMA.</w:t>
      </w:r>
      <w:r>
        <w:rPr>
          <w:rFonts w:cs="Arial" w:ascii="Arial" w:hAnsi="Arial"/>
          <w:sz w:val="22"/>
          <w:szCs w:val="22"/>
          <w:lang w:val="es-ES"/>
        </w:rPr>
        <w:t xml:space="preserve"> </w:t>
      </w:r>
      <w:r>
        <w:rPr>
          <w:rFonts w:cs="Arial" w:ascii="Arial" w:hAnsi="Arial"/>
          <w:b/>
          <w:sz w:val="22"/>
          <w:szCs w:val="22"/>
          <w:lang w:val="es-ES"/>
        </w:rPr>
        <w:t>Plazos y forma de justificación y de pago del presente convenio.</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La justificación deberá ser presentada en el plazo máximo de DOS MESES desde la realización de la última actividad objeto de subvención o, en todo caso, la fecha límite de presentación de la documentación justificativa será el día 28 de noviembre de 2025, sin que sea posible la ampliación del plazo de justificación.</w:t>
      </w:r>
    </w:p>
    <w:p>
      <w:pPr>
        <w:pStyle w:val="Normal"/>
        <w:spacing w:lineRule="auto" w:line="360" w:before="0" w:after="0"/>
        <w:contextualSpacing/>
        <w:jc w:val="both"/>
        <w:rPr>
          <w:rFonts w:ascii="Arial" w:hAnsi="Arial" w:cs="Arial"/>
          <w:b/>
          <w:b/>
          <w:sz w:val="22"/>
          <w:szCs w:val="22"/>
          <w:lang w:val="es-ES"/>
        </w:rPr>
      </w:pPr>
      <w:r>
        <w:rPr>
          <w:rFonts w:cs="Arial" w:ascii="Arial" w:hAnsi="Arial"/>
          <w:sz w:val="22"/>
          <w:szCs w:val="22"/>
          <w:lang w:val="es-ES"/>
        </w:rPr>
        <w:t xml:space="preserve">7.1.- En el caso de adjuntar justificantes que no se ajusten a lo exigido o presentar la documentación justificativa incompleta, se le notificará a la entidad beneficiaria de la subvención para que pueda emendar los ya presentados, en el plazo de </w:t>
      </w:r>
      <w:r>
        <w:rPr>
          <w:rFonts w:cs="Arial" w:ascii="Arial" w:hAnsi="Arial"/>
          <w:b/>
          <w:sz w:val="22"/>
          <w:szCs w:val="22"/>
          <w:lang w:val="es-ES"/>
        </w:rPr>
        <w:t xml:space="preserve">diez días hábiles. </w:t>
      </w:r>
      <w:r>
        <w:rPr>
          <w:rFonts w:cs="Arial" w:ascii="Arial" w:hAnsi="Arial"/>
          <w:sz w:val="22"/>
          <w:szCs w:val="22"/>
          <w:lang w:val="es-ES"/>
        </w:rPr>
        <w:t xml:space="preserve">Podrá, se fuese necesario, presentar nuevos documentos dentro del plazo concedido a tal fin. En el caso de que el importe justificado sea una cantidad inferior a la que deba justificar, el importe que abonará el Ayuntamiento de Cabanas se reducirá proporcionalmente. </w:t>
      </w:r>
      <w:r>
        <w:rPr>
          <w:rFonts w:cs="Arial" w:ascii="Arial" w:hAnsi="Arial"/>
          <w:b/>
          <w:sz w:val="22"/>
          <w:szCs w:val="22"/>
          <w:lang w:val="es-ES"/>
        </w:rPr>
        <w:t>Transcurrido este plazo sin que los documentos tuvieran entrada en el Registro General de este Ayuntamiento, la entidad beneficiaria perderá su derecho a percibir a subvención no justificada.</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7.2.- De conformidad con lo dispuesto en el apartado 4 del artículo 70 del Real Decreto 887/2006, de 21 de julio, por el que se aprueba el Reglamento de la Ley 38/2003, de 17 de noviembre, general de subvenciones, transcurrido el plazo de justificación sin que se tenga recibido justificación ninguna, la unidad gestora le remitirá un requerimiento a la entidad beneficiaria para que la presente en el plazo improrrogable de </w:t>
      </w:r>
      <w:r>
        <w:rPr>
          <w:rFonts w:cs="Arial" w:ascii="Arial" w:hAnsi="Arial"/>
          <w:b/>
          <w:bCs/>
          <w:sz w:val="22"/>
          <w:szCs w:val="22"/>
          <w:lang w:val="es-ES"/>
        </w:rPr>
        <w:t>quince días hábiles</w:t>
      </w:r>
      <w:r>
        <w:rPr>
          <w:rFonts w:cs="Arial" w:ascii="Arial" w:hAnsi="Arial"/>
          <w:sz w:val="22"/>
          <w:szCs w:val="22"/>
          <w:lang w:val="es-ES"/>
        </w:rPr>
        <w:t>.</w:t>
      </w:r>
    </w:p>
    <w:p>
      <w:pPr>
        <w:pStyle w:val="Normal"/>
        <w:spacing w:lineRule="auto" w:line="360"/>
        <w:jc w:val="both"/>
        <w:rPr>
          <w:sz w:val="22"/>
          <w:szCs w:val="22"/>
          <w:lang w:val="es-ES"/>
        </w:rPr>
      </w:pPr>
      <w:r>
        <w:rPr>
          <w:rFonts w:cs="Arial" w:ascii="Arial" w:hAnsi="Arial"/>
          <w:sz w:val="22"/>
          <w:szCs w:val="22"/>
          <w:lang w:val="es-ES"/>
        </w:rPr>
        <w:t>La falta de presentación de la justificación de la subvención en este plazo excepcional llevará a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r>
        <w:rPr>
          <w:sz w:val="22"/>
          <w:szCs w:val="22"/>
          <w:lang w:val="es-ES"/>
        </w:rPr>
        <w:t>.</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La justificación de este convenio se realizará de conformidad con lo establecido, con carácter general, en el artículo 72 del Real Decreto 887/2006 por medio de la </w:t>
      </w:r>
      <w:r>
        <w:rPr>
          <w:rFonts w:cs="Arial" w:ascii="Arial" w:hAnsi="Arial"/>
          <w:b/>
          <w:i/>
          <w:sz w:val="22"/>
          <w:szCs w:val="22"/>
          <w:lang w:val="es-ES"/>
        </w:rPr>
        <w:t>“</w:t>
      </w:r>
      <w:r>
        <w:rPr>
          <w:rFonts w:cs="Arial" w:ascii="Arial" w:hAnsi="Arial"/>
          <w:b/>
          <w:iCs/>
          <w:sz w:val="22"/>
          <w:szCs w:val="22"/>
          <w:lang w:val="es-ES"/>
        </w:rPr>
        <w:t>cuenta justificativa</w:t>
      </w:r>
      <w:r>
        <w:rPr>
          <w:rFonts w:cs="Arial" w:ascii="Arial" w:hAnsi="Arial"/>
          <w:b/>
          <w:i/>
          <w:sz w:val="22"/>
          <w:szCs w:val="22"/>
          <w:lang w:val="es-ES"/>
        </w:rPr>
        <w:t xml:space="preserve">” </w:t>
      </w:r>
      <w:r>
        <w:rPr>
          <w:rFonts w:cs="Arial" w:ascii="Arial" w:hAnsi="Arial"/>
          <w:sz w:val="22"/>
          <w:szCs w:val="22"/>
          <w:lang w:val="es-ES"/>
        </w:rPr>
        <w:t>que, por la naturaleza de este convenio, constará de la siguiente documentación:</w:t>
      </w:r>
    </w:p>
    <w:p>
      <w:pPr>
        <w:pStyle w:val="ListParagraph"/>
        <w:numPr>
          <w:ilvl w:val="0"/>
          <w:numId w:val="3"/>
        </w:numPr>
        <w:spacing w:lineRule="auto" w:line="360" w:before="0" w:after="200"/>
        <w:contextualSpacing/>
        <w:rPr>
          <w:rFonts w:ascii="Arial" w:hAnsi="Arial" w:cs="Arial"/>
          <w:sz w:val="22"/>
          <w:szCs w:val="22"/>
          <w:lang w:val="es-ES"/>
        </w:rPr>
      </w:pPr>
      <w:r>
        <w:rPr>
          <w:rFonts w:cs="Arial" w:ascii="Arial" w:hAnsi="Arial"/>
          <w:b/>
          <w:sz w:val="22"/>
          <w:szCs w:val="22"/>
          <w:lang w:val="es-ES"/>
        </w:rPr>
        <w:t xml:space="preserve">Memoria de actuación </w:t>
      </w:r>
      <w:r>
        <w:rPr>
          <w:rFonts w:cs="Arial" w:ascii="Arial" w:hAnsi="Arial"/>
          <w:sz w:val="22"/>
          <w:szCs w:val="22"/>
          <w:lang w:val="es-ES"/>
        </w:rPr>
        <w:t>justificativa del cumplimiento del objeto del convenio que deberá contener, como mínimo, la indicación de la(s) actividad(es) realizada(s) e y de los resultados obtenidos.</w:t>
      </w:r>
    </w:p>
    <w:p>
      <w:pPr>
        <w:pStyle w:val="ListParagraph"/>
        <w:numPr>
          <w:ilvl w:val="0"/>
          <w:numId w:val="3"/>
        </w:numPr>
        <w:spacing w:lineRule="auto" w:line="360" w:before="0" w:after="200"/>
        <w:contextualSpacing/>
        <w:rPr>
          <w:rFonts w:ascii="Arial" w:hAnsi="Arial" w:cs="Arial"/>
          <w:sz w:val="22"/>
          <w:szCs w:val="22"/>
          <w:lang w:val="es-ES"/>
        </w:rPr>
      </w:pPr>
      <w:r>
        <w:rPr>
          <w:rFonts w:cs="Arial" w:ascii="Arial" w:hAnsi="Arial"/>
          <w:b/>
          <w:sz w:val="22"/>
          <w:szCs w:val="22"/>
          <w:lang w:val="es-ES"/>
        </w:rPr>
        <w:t xml:space="preserve">Memoria económica </w:t>
      </w:r>
      <w:r>
        <w:rPr>
          <w:rFonts w:cs="Arial" w:ascii="Arial" w:hAnsi="Arial"/>
          <w:bCs/>
          <w:sz w:val="22"/>
          <w:szCs w:val="22"/>
          <w:lang w:val="es-ES"/>
        </w:rPr>
        <w:t>justificativa del coste</w:t>
      </w:r>
      <w:r>
        <w:rPr>
          <w:rFonts w:cs="Arial" w:ascii="Arial" w:hAnsi="Arial"/>
          <w:sz w:val="22"/>
          <w:szCs w:val="22"/>
          <w:lang w:val="es-ES"/>
        </w:rPr>
        <w:t xml:space="preserve"> de la(s) actividad(es) realizada(s) que contendrá:</w:t>
      </w:r>
    </w:p>
    <w:p>
      <w:pPr>
        <w:pStyle w:val="ListParagraph"/>
        <w:numPr>
          <w:ilvl w:val="0"/>
          <w:numId w:val="4"/>
        </w:numPr>
        <w:spacing w:lineRule="auto" w:line="360" w:before="0" w:after="200"/>
        <w:contextualSpacing/>
        <w:rPr>
          <w:rFonts w:ascii="Arial" w:hAnsi="Arial" w:cs="Arial"/>
          <w:sz w:val="22"/>
          <w:szCs w:val="22"/>
          <w:lang w:val="es-ES"/>
        </w:rPr>
      </w:pPr>
      <w:r>
        <w:rPr>
          <w:rFonts w:cs="Arial" w:ascii="Arial" w:hAnsi="Arial"/>
          <w:sz w:val="22"/>
          <w:szCs w:val="22"/>
          <w:lang w:val="es-ES"/>
        </w:rPr>
        <w:t>Una relación clasificada dos gastos e inversiones de la(s) actividad(es) (l</w:t>
      </w:r>
      <w:r>
        <w:rPr>
          <w:rFonts w:cs="Arial" w:ascii="Arial" w:hAnsi="Arial"/>
          <w:b/>
          <w:bCs/>
          <w:sz w:val="22"/>
          <w:szCs w:val="22"/>
          <w:lang w:val="es-ES"/>
        </w:rPr>
        <w:t>os gastos justificados se referirán al período comprendido entre el 01/01/2025 y el 28/11/2025</w:t>
      </w:r>
      <w:r>
        <w:rPr>
          <w:rFonts w:cs="Arial" w:ascii="Arial" w:hAnsi="Arial"/>
          <w:sz w:val="22"/>
          <w:szCs w:val="22"/>
          <w:lang w:val="es-ES"/>
        </w:rPr>
        <w:t>) con identificación del acreedor y del documento; su importe, fecha de emisión y la fecha data de pago.</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 xml:space="preserve">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 </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Declaración jurada de que las facturas presentadas solo fueron utilizadas como justificantes de gasto para la obtención de esta subvención.</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Justificantes de pago de las facturas o documentos de valor probatorio equivalente en el tráfico jurídico mercantil o con eficacia administrativa.</w:t>
      </w:r>
    </w:p>
    <w:p>
      <w:pPr>
        <w:pStyle w:val="ListParagraph"/>
        <w:numPr>
          <w:ilvl w:val="0"/>
          <w:numId w:val="5"/>
        </w:numPr>
        <w:spacing w:lineRule="auto" w:line="360" w:before="0" w:after="200"/>
        <w:contextualSpacing/>
        <w:rPr>
          <w:rFonts w:ascii="Arial" w:hAnsi="Arial" w:cs="Arial"/>
          <w:i/>
          <w:i/>
          <w:sz w:val="22"/>
          <w:szCs w:val="22"/>
          <w:lang w:val="es-ES"/>
        </w:rPr>
      </w:pPr>
      <w:r>
        <w:rPr>
          <w:rFonts w:cs="Arial" w:ascii="Arial" w:hAnsi="Arial"/>
          <w:sz w:val="22"/>
          <w:szCs w:val="22"/>
          <w:lang w:val="es-ES"/>
        </w:rPr>
        <w:t>En el caso de pago por transferencia bancaria: justificante bancario.</w:t>
      </w:r>
    </w:p>
    <w:p>
      <w:pPr>
        <w:pStyle w:val="ListParagraph"/>
        <w:numPr>
          <w:ilvl w:val="0"/>
          <w:numId w:val="5"/>
        </w:numPr>
        <w:spacing w:lineRule="auto" w:line="360" w:before="0" w:after="200"/>
        <w:contextualSpacing/>
        <w:rPr>
          <w:rFonts w:ascii="Arial" w:hAnsi="Arial" w:cs="Arial"/>
          <w:i/>
          <w:i/>
          <w:sz w:val="22"/>
          <w:szCs w:val="22"/>
          <w:lang w:val="es-ES"/>
        </w:rPr>
      </w:pPr>
      <w:r>
        <w:rPr>
          <w:rFonts w:cs="Arial" w:ascii="Arial" w:hAnsi="Arial"/>
          <w:sz w:val="22"/>
          <w:szCs w:val="22"/>
          <w:lang w:val="es-ES"/>
        </w:rPr>
        <w:t>En el caso de pago por cheque: extracto bancario y copia de la matriz del talón.</w:t>
      </w:r>
    </w:p>
    <w:p>
      <w:pPr>
        <w:pStyle w:val="ListParagraph"/>
        <w:numPr>
          <w:ilvl w:val="0"/>
          <w:numId w:val="5"/>
        </w:numPr>
        <w:spacing w:lineRule="auto" w:line="360" w:before="0" w:after="200"/>
        <w:contextualSpacing/>
        <w:rPr>
          <w:rFonts w:ascii="Arial" w:hAnsi="Arial" w:cs="Arial"/>
          <w:sz w:val="22"/>
          <w:szCs w:val="22"/>
          <w:lang w:val="es-ES"/>
        </w:rPr>
      </w:pPr>
      <w:r>
        <w:rPr>
          <w:rFonts w:cs="Arial" w:ascii="Arial" w:hAnsi="Arial"/>
          <w:sz w:val="22"/>
          <w:szCs w:val="22"/>
          <w:lang w:val="es-ES"/>
        </w:rPr>
        <w:t>No se admitirán pagos en metálico.</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Declaración jurada sobre la obtención de ayudas para la misma finalidad procedentes de cualquier otra administración pública, de particulares o de entidades privadas. (De ser el caso, declaración jurada de no tener concedida ninguna subvención para el mismo fin).</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Designación de cuenta bancaria en la que se efectuarán los ingresos, según las normas establecidas por la Tesorería Municipal</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Certificación de estar al corriente en el cumplimiento de las obligaciones de la Seguridad Social y de la Administración Tributaria (estatal, autonómica y local).</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Acreditación del cumplimiento de las obligaciones de publicidad establecidas en la cláusula sexta.</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jc w:val="both"/>
        <w:rPr>
          <w:rFonts w:ascii="Arial" w:hAnsi="Arial" w:cs="Arial"/>
          <w:b/>
          <w:b/>
          <w:lang w:val="es-ES"/>
        </w:rPr>
      </w:pPr>
      <w:r>
        <w:rPr>
          <w:rFonts w:cs="Arial" w:ascii="Arial" w:hAnsi="Arial"/>
          <w:b/>
          <w:sz w:val="22"/>
          <w:szCs w:val="22"/>
          <w:lang w:val="es-ES"/>
        </w:rPr>
        <w:t>OITAVA</w:t>
      </w:r>
      <w:r>
        <w:rPr>
          <w:rFonts w:cs="Arial" w:ascii="Arial" w:hAnsi="Arial"/>
          <w:sz w:val="22"/>
          <w:szCs w:val="22"/>
          <w:lang w:val="es-ES"/>
        </w:rPr>
        <w:t xml:space="preserve">. </w:t>
      </w:r>
      <w:r>
        <w:rPr>
          <w:rFonts w:cs="Arial" w:ascii="Arial" w:hAnsi="Arial"/>
          <w:b/>
          <w:sz w:val="22"/>
          <w:szCs w:val="22"/>
          <w:lang w:val="es-ES"/>
        </w:rPr>
        <w:t>Plazo, carácter limitativo de la ayuda y compatibilidad o incompatibilidad con otras subvenciones.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El presente convenio tendrá vigencia durante el ejercicio de 2025, con efectos retroactivos desde el 1 de enero de 2025.</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Podrá ser prorrogado por acuerdo expreso y condicionado a existencia de crédito adecuado y suficiente en el correspondiente ejercicio económico, e informes favorables de los servicios de Intervención.</w:t>
      </w:r>
    </w:p>
    <w:p>
      <w:pPr>
        <w:pStyle w:val="Normal"/>
        <w:spacing w:lineRule="auto" w:line="360"/>
        <w:jc w:val="both"/>
        <w:rPr>
          <w:rFonts w:ascii="Arial" w:hAnsi="Arial" w:cs="Arial"/>
          <w:sz w:val="22"/>
          <w:szCs w:val="22"/>
          <w:lang w:val="es-ES"/>
        </w:rPr>
      </w:pPr>
      <w:r>
        <w:rPr>
          <w:rFonts w:cs="Arial" w:ascii="Arial" w:hAnsi="Arial"/>
          <w:sz w:val="22"/>
          <w:szCs w:val="22"/>
          <w:lang w:val="es-ES"/>
        </w:rPr>
        <w:t>La ayuda concedida por el Ayuntamiento de Cabanas tiene el carácter de máxima y no ampliable, por lo que cualquier incremento que puedan experimentar los gastos inicialmente previstos correrán por cuenta de la entidad beneficiaria de este convenio de modo exclusivo.</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subvención del Ayuntamiento de Cabanas es compatible con la percepción de otras subvenciones o ayudas, públicas o privadas, que la entidad beneficiaria obtenga para la misma finalidad, siempre que su importe, junto con el de la subvención</w:t>
      </w:r>
      <w:r>
        <w:rPr>
          <w:rFonts w:cs="Arial" w:ascii="Arial" w:hAnsi="Arial"/>
          <w:lang w:val="es-ES"/>
        </w:rPr>
        <w:t xml:space="preserve"> </w:t>
      </w:r>
      <w:r>
        <w:rPr>
          <w:rFonts w:cs="Arial" w:ascii="Arial" w:hAnsi="Arial"/>
          <w:sz w:val="22"/>
          <w:szCs w:val="22"/>
          <w:lang w:val="es-ES"/>
        </w:rPr>
        <w:t>municipal, no supere en ningún caso el importe total del gasto efectivamente justificado.</w:t>
      </w:r>
    </w:p>
    <w:p>
      <w:pPr>
        <w:pStyle w:val="Normal"/>
        <w:spacing w:lineRule="auto" w:line="360"/>
        <w:jc w:val="both"/>
        <w:rPr>
          <w:rFonts w:ascii="Arial" w:hAnsi="Arial" w:cs="Arial"/>
          <w:sz w:val="22"/>
          <w:szCs w:val="22"/>
          <w:lang w:val="es-ES"/>
        </w:rPr>
      </w:pPr>
      <w:r>
        <w:rPr>
          <w:rFonts w:cs="Arial" w:ascii="Arial" w:hAnsi="Arial"/>
          <w:sz w:val="22"/>
          <w:szCs w:val="22"/>
          <w:lang w:val="es-ES"/>
        </w:rPr>
        <w:t>En el caso de que la concurrencia de ayudas o subvenciones supere el importe del gasto efectivamente justificado, se aminorará la aportación municipal en el importe excedido.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NOVENA. Contratación y ejecución.</w:t>
      </w:r>
    </w:p>
    <w:p>
      <w:pPr>
        <w:pStyle w:val="Normal"/>
        <w:spacing w:lineRule="auto" w:line="360"/>
        <w:jc w:val="both"/>
        <w:rPr>
          <w:rFonts w:ascii="Arial" w:hAnsi="Arial" w:cs="Arial"/>
          <w:sz w:val="22"/>
          <w:szCs w:val="22"/>
          <w:lang w:val="es-ES"/>
        </w:rPr>
      </w:pPr>
      <w:r>
        <w:rPr>
          <w:rFonts w:cs="Arial" w:ascii="Arial" w:hAnsi="Arial"/>
          <w:sz w:val="22"/>
          <w:szCs w:val="22"/>
          <w:lang w:val="es-ES"/>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(40.000,00 € sin IVA para obras y 15.000,00 € sin IVA para suministración y servicios), con carácter previo a la contratación, la Asociación Vecinal “Dato” deberá solicitar, como mínimo, 3 ofertas de diferentes proveedores, salvo que por sus especiales características no exista en el mercado suficiente número de entidades que los realicen, presten o suministren, o excepto que el gasto se hiciera con anterioridad a la subvención.</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spacing w:lineRule="auto" w:line="360"/>
        <w:jc w:val="both"/>
        <w:rPr>
          <w:rFonts w:ascii="Arial" w:hAnsi="Arial" w:cs="Arial"/>
          <w:color w:val="FF0000"/>
          <w:sz w:val="22"/>
          <w:szCs w:val="22"/>
          <w:lang w:val="es-ES"/>
        </w:rPr>
      </w:pPr>
      <w:r>
        <w:rPr>
          <w:rFonts w:cs="Arial" w:ascii="Arial" w:hAnsi="Arial"/>
          <w:color w:val="FF0000"/>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Si la Asociación Vecinal “Dato</w:t>
      </w:r>
      <w:bookmarkStart w:id="1" w:name="_Hlk42760654"/>
      <w:r>
        <w:rPr>
          <w:rFonts w:cs="Arial" w:ascii="Arial" w:hAnsi="Arial"/>
          <w:sz w:val="22"/>
          <w:szCs w:val="22"/>
          <w:lang w:val="es-ES"/>
        </w:rPr>
        <w:t>” tuviera necesidad de contratar servicios de terceras personas o entidades para realizar la(s) actividad(es) objeto dese te convenio, deberá observar estrictamente las obligaciones que 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1"/>
    </w:p>
    <w:p>
      <w:pPr>
        <w:pStyle w:val="Normal"/>
        <w:spacing w:lineRule="auto" w:line="360" w:before="0" w:after="120"/>
        <w:jc w:val="both"/>
        <w:rPr>
          <w:rFonts w:ascii="Arial" w:hAnsi="Arial" w:cs="Arial"/>
          <w:b/>
          <w:b/>
          <w:color w:val="FF0000"/>
          <w:sz w:val="22"/>
          <w:szCs w:val="22"/>
          <w:lang w:val="es-ES"/>
        </w:rPr>
      </w:pPr>
      <w:r>
        <w:rPr>
          <w:rFonts w:cs="Arial" w:ascii="Arial" w:hAnsi="Arial"/>
          <w:b/>
          <w:color w:val="FF0000"/>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DÉCIMA.</w:t>
      </w:r>
      <w:r>
        <w:rPr>
          <w:rFonts w:cs="Arial" w:ascii="Arial" w:hAnsi="Arial"/>
          <w:sz w:val="22"/>
          <w:szCs w:val="22"/>
          <w:lang w:val="es-ES"/>
        </w:rPr>
        <w:t xml:space="preserve"> </w:t>
      </w:r>
      <w:r>
        <w:rPr>
          <w:rFonts w:cs="Arial" w:ascii="Arial" w:hAnsi="Arial"/>
          <w:b/>
          <w:sz w:val="22"/>
          <w:szCs w:val="22"/>
          <w:lang w:val="es-ES"/>
        </w:rPr>
        <w:t>Reintegro de las cantidades concedidas.</w:t>
      </w:r>
    </w:p>
    <w:p>
      <w:pPr>
        <w:pStyle w:val="Normal"/>
        <w:spacing w:lineRule="auto" w:line="360"/>
        <w:jc w:val="both"/>
        <w:rPr>
          <w:rFonts w:ascii="Arial" w:hAnsi="Arial" w:cs="Arial"/>
          <w:lang w:val="es-ES"/>
        </w:rPr>
      </w:pPr>
      <w:r>
        <w:rPr>
          <w:rFonts w:cs="Arial" w:ascii="Arial" w:hAnsi="Arial"/>
          <w:sz w:val="22"/>
          <w:szCs w:val="22"/>
          <w:lang w:val="es-ES"/>
        </w:rPr>
        <w:t>El incumplimiento de alguna de las cláusulas previstas en el presente convenio de colaboración podrá suponer la obligación de reintegro parcial o total de los fondos recibidos, así como al pago de los intereses de demora que se devenguen desde el día en el que se realizó el pago hasta el momento en el que se acuerde la procedencia del reintegro. Dicho procedimiento se realizará de conformidad con lo dispuesto en los artículos 41 y siguientes de la Ley 38/2003, de 17 de noviembre, general de subvenciones y en los artículos 91 y siguientes del Real Decreto</w:t>
      </w:r>
      <w:r>
        <w:rPr>
          <w:rFonts w:cs="Arial" w:ascii="Arial" w:hAnsi="Arial"/>
          <w:lang w:val="es-ES"/>
        </w:rPr>
        <w:t xml:space="preserve"> 887/2006, de 21 de julio, por el que se aprueba el Reglamento de la Ley 38/2003.</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DÉCIMO PRIMERA. Carácter del convenio.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 xml:space="preserve">El presente convenio tiene carácter administrativo y las cuestiones litigiosas que puedan surgir en relación con este serán competencia de la jurisdicción contencioso-administrativa. </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Para la resolución de las dudas o lagunas que pudieran surgir en su interpretación se estará a lo dispuesto en la Ley 9/2017, de 8 de noviembre, de Contratos del Sector Público.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DÉCIMO SEGUNDA</w:t>
      </w:r>
      <w:r>
        <w:rPr>
          <w:rFonts w:cs="Arial" w:ascii="Arial" w:hAnsi="Arial"/>
          <w:sz w:val="22"/>
          <w:szCs w:val="22"/>
          <w:lang w:val="es-ES"/>
        </w:rPr>
        <w:t xml:space="preserve">. </w:t>
      </w:r>
      <w:r>
        <w:rPr>
          <w:rFonts w:cs="Arial" w:ascii="Arial" w:hAnsi="Arial"/>
          <w:b/>
          <w:sz w:val="22"/>
          <w:szCs w:val="22"/>
          <w:lang w:val="es-ES"/>
        </w:rPr>
        <w:t>Normativa de aplicación supletoria.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lo no previsto en este convenio y en las bases de ejecución del presupuesto del Ayuntamiento de Cabanas para 2025 prorrogado 2023, se aplicará supletoriamente lo dispuesto en la Ley 38/2003, de 17 de noviembre, general de subvenciones y en el Real Decreto 887/2006, de 21 de julio, por el que se aprueba el Reglamento de dicha ley.</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TERCERA.- Control financiero.</w:t>
      </w:r>
    </w:p>
    <w:p>
      <w:pPr>
        <w:pStyle w:val="Normal"/>
        <w:spacing w:lineRule="auto" w:line="360"/>
        <w:jc w:val="both"/>
        <w:rPr>
          <w:rFonts w:ascii="Arial" w:hAnsi="Arial" w:cs="Arial"/>
          <w:sz w:val="22"/>
          <w:szCs w:val="22"/>
          <w:lang w:val="es-ES"/>
        </w:rPr>
      </w:pPr>
      <w:r>
        <w:rPr>
          <w:rFonts w:cs="Arial" w:ascii="Arial" w:hAnsi="Arial"/>
          <w:sz w:val="22"/>
          <w:szCs w:val="22"/>
          <w:lang w:val="es-ES"/>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CUARTA.- Autorizaciones administrativas.</w:t>
      </w:r>
    </w:p>
    <w:p>
      <w:pPr>
        <w:pStyle w:val="Normal"/>
        <w:spacing w:lineRule="auto" w:line="360"/>
        <w:jc w:val="both"/>
        <w:rPr>
          <w:rFonts w:ascii="Arial" w:hAnsi="Arial" w:cs="Arial"/>
          <w:sz w:val="22"/>
          <w:szCs w:val="22"/>
          <w:lang w:val="es-ES"/>
        </w:rPr>
      </w:pPr>
      <w:r>
        <w:rPr>
          <w:rFonts w:cs="Arial" w:ascii="Arial" w:hAnsi="Arial"/>
          <w:sz w:val="22"/>
          <w:szCs w:val="22"/>
          <w:lang w:val="es-ES"/>
        </w:rPr>
        <w:t>La Asociación Vecinal “Dato” se obliga a obtener, en el supuesto de ser necesario y con carácter previo, las autorizaciones administrativas que fuesen necesarias (incluida la municipal) para la realización de la(s) actividad(es) objeto del convenio, así como la de satisfacer las tasas e impuestos que se devenguen en su caso por tal causa.</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QUINTA- Uso de la lengua gallega y de un lenguaje no discriminatorio.</w:t>
      </w:r>
    </w:p>
    <w:p>
      <w:pPr>
        <w:pStyle w:val="Normal"/>
        <w:spacing w:lineRule="auto" w:line="360"/>
        <w:jc w:val="both"/>
        <w:rPr>
          <w:rFonts w:ascii="Arial" w:hAnsi="Arial" w:cs="Arial"/>
          <w:sz w:val="22"/>
          <w:szCs w:val="22"/>
          <w:lang w:val="es-ES"/>
        </w:rPr>
      </w:pPr>
      <w:r>
        <w:rPr>
          <w:rFonts w:cs="Arial" w:ascii="Arial" w:hAnsi="Arial"/>
          <w:sz w:val="22"/>
          <w:szCs w:val="22"/>
          <w:lang w:val="es-ES"/>
        </w:rPr>
        <w:t>Las comunicaciones con el Ayuntamiento de Cabanas, así como las difusiones relativas al objeto de este convenio deberán realizarse en gallego.</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Igualmente, se utiliza un lenguaje no discriminatorio ni excluyente del género femenino.</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SEXTA.- Publicidad en la Base de Datos Nacional de Subvenciones</w:t>
      </w:r>
    </w:p>
    <w:p>
      <w:pPr>
        <w:pStyle w:val="Normal"/>
        <w:spacing w:lineRule="auto" w:line="360"/>
        <w:jc w:val="both"/>
        <w:rPr>
          <w:rFonts w:ascii="Arial" w:hAnsi="Arial" w:cs="Arial"/>
          <w:bCs/>
          <w:sz w:val="22"/>
          <w:szCs w:val="22"/>
          <w:lang w:val="es-ES"/>
        </w:rPr>
      </w:pPr>
      <w:r>
        <w:rPr>
          <w:rFonts w:cs="Arial" w:ascii="Arial" w:hAnsi="Arial"/>
          <w:bCs/>
          <w:sz w:val="22"/>
          <w:szCs w:val="22"/>
          <w:lang w:val="es-ES"/>
        </w:rPr>
        <w:t>El Ayuntamiento de Cabanas publicará los convenios firmados en la Base de Datos Nacional de Subvenciones.</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prueba de conformidad, firmamos este convenio en Cabanas en la fecha que consta al margen.</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Por el Ayuntamiento de Cabanas                                   Por la entidad “Dato”, de Laraxe</w:t>
      </w:r>
    </w:p>
    <w:p>
      <w:pPr>
        <w:pStyle w:val="Normal"/>
        <w:spacing w:lineRule="auto" w:line="360" w:before="0" w:after="120"/>
        <w:ind w:firstLine="708"/>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El Alcalde</w:t>
        <w:tab/>
        <w:tab/>
        <w:tab/>
        <w:tab/>
        <w:tab/>
        <w:tab/>
        <w:t xml:space="preserve">           La Presidenta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ab/>
        <w:tab/>
        <w:t xml:space="preserve">   </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Fernando Couce Rodríguez</w:t>
        <w:tab/>
        <w:tab/>
        <w:tab/>
        <w:tab/>
        <w:t xml:space="preserve">    María Amalia Pena Seco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b/>
          <w:b/>
          <w:bCs/>
          <w:lang w:val="es-ES"/>
        </w:rPr>
      </w:pPr>
      <w:r>
        <w:rPr>
          <w:rFonts w:cs="Arial" w:ascii="Arial" w:hAnsi="Arial"/>
          <w:b/>
          <w:bCs/>
          <w:lang w:val="es-ES"/>
        </w:rPr>
        <w:t>ANEXO I</w:t>
      </w:r>
    </w:p>
    <w:p>
      <w:pPr>
        <w:pStyle w:val="Normal"/>
        <w:spacing w:lineRule="auto" w:line="360"/>
        <w:jc w:val="both"/>
        <w:rPr>
          <w:rFonts w:ascii="Arial" w:hAnsi="Arial" w:cs="Arial"/>
          <w:b/>
          <w:b/>
          <w:bCs/>
          <w:sz w:val="22"/>
          <w:szCs w:val="22"/>
          <w:lang w:val="es-ES"/>
        </w:rPr>
      </w:pPr>
      <w:r>
        <w:rPr>
          <w:rFonts w:cs="Arial" w:ascii="Arial" w:hAnsi="Arial"/>
          <w:b/>
          <w:bCs/>
          <w:sz w:val="22"/>
          <w:szCs w:val="22"/>
          <w:lang w:val="es-ES"/>
        </w:rPr>
        <w:t>Logotipos que incluir en las obras da Asociación Vecinal “Dato”:</w:t>
      </w:r>
    </w:p>
    <w:p>
      <w:pPr>
        <w:pStyle w:val="Normal"/>
        <w:rPr>
          <w:rFonts w:ascii="Arial" w:hAnsi="Arial" w:cs="Arial"/>
          <w:sz w:val="22"/>
          <w:szCs w:val="22"/>
          <w:lang w:val="es-ES"/>
        </w:rPr>
      </w:pPr>
      <w:r>
        <w:rPr>
          <w:rFonts w:cs="Arial" w:ascii="Arial" w:hAnsi="Arial"/>
          <w:sz w:val="22"/>
          <w:szCs w:val="22"/>
          <w:lang w:val="es-ES"/>
        </w:rPr>
      </w:r>
    </w:p>
    <w:p>
      <w:pPr>
        <w:pStyle w:val="Normal"/>
        <w:rPr>
          <w:rFonts w:ascii="Arial" w:hAnsi="Arial" w:cs="Arial"/>
          <w:b/>
          <w:b/>
          <w:sz w:val="22"/>
          <w:szCs w:val="22"/>
          <w:lang w:val="es-ES"/>
        </w:rPr>
      </w:pPr>
      <w:r>
        <w:rPr>
          <w:rFonts w:cs="Arial" w:ascii="Arial" w:hAnsi="Arial"/>
          <w:b/>
          <w:sz w:val="22"/>
          <w:szCs w:val="22"/>
          <w:lang w:val="es-ES"/>
        </w:rPr>
        <w:t xml:space="preserve">Anexo </w:t>
      </w:r>
    </w:p>
    <w:p>
      <w:pPr>
        <w:pStyle w:val="Normal"/>
        <w:rPr>
          <w:rFonts w:ascii="Arial" w:hAnsi="Arial" w:cs="Arial"/>
          <w:b/>
          <w:b/>
          <w:sz w:val="22"/>
          <w:szCs w:val="22"/>
          <w:lang w:val="es-ES"/>
        </w:rPr>
      </w:pPr>
      <w:r>
        <w:rPr>
          <w:rFonts w:cs="Arial" w:ascii="Arial" w:hAnsi="Arial"/>
          <w:b/>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entidad deberá incorporar la imagen corporativa establecida por el Ayuntamiento de Cabanas en los siguientes soportes:</w:t>
      </w:r>
    </w:p>
    <w:p>
      <w:pPr>
        <w:pStyle w:val="Prrafodelista1"/>
        <w:numPr>
          <w:ilvl w:val="0"/>
          <w:numId w:val="6"/>
        </w:numPr>
        <w:suppressAutoHyphens w:val="true"/>
        <w:spacing w:lineRule="auto" w:line="360" w:before="0" w:after="200"/>
        <w:rPr>
          <w:rFonts w:ascii="Arial" w:hAnsi="Arial" w:cs="Arial"/>
          <w:sz w:val="22"/>
          <w:lang w:val="es-ES"/>
        </w:rPr>
      </w:pPr>
      <w:r>
        <w:rPr>
          <w:rFonts w:cs="Arial" w:ascii="Arial" w:hAnsi="Arial"/>
          <w:sz w:val="22"/>
          <w:lang w:val="es-ES"/>
        </w:rPr>
        <w:t>Cartelería oficial o en cualquier otro soporte anunciador de las actividades objeto de patrocinio</w:t>
      </w:r>
    </w:p>
    <w:p>
      <w:pPr>
        <w:pStyle w:val="Prrafodelista1"/>
        <w:numPr>
          <w:ilvl w:val="0"/>
          <w:numId w:val="6"/>
        </w:numPr>
        <w:suppressAutoHyphens w:val="true"/>
        <w:spacing w:lineRule="auto" w:line="360" w:before="0" w:after="200"/>
        <w:rPr>
          <w:rFonts w:ascii="Arial" w:hAnsi="Arial" w:cs="Arial"/>
          <w:sz w:val="22"/>
          <w:lang w:val="es-ES"/>
        </w:rPr>
      </w:pPr>
      <w:r>
        <w:rPr>
          <w:rFonts w:cs="Arial" w:ascii="Arial" w:hAnsi="Arial"/>
          <w:sz w:val="22"/>
          <w:lang w:val="es-ES"/>
        </w:rPr>
        <w:t>Lonas publicitarias, paneles informativos o vallas utilizadas en las actividades patrocinadas</w:t>
      </w:r>
    </w:p>
    <w:p>
      <w:pPr>
        <w:pStyle w:val="Normal"/>
        <w:rPr>
          <w:rFonts w:ascii="Arial" w:hAnsi="Arial" w:cs="Arial"/>
          <w:b/>
          <w:b/>
          <w:lang w:val="es-ES"/>
        </w:rPr>
      </w:pPr>
      <w:r>
        <w:rPr>
          <w:rFonts w:cs="Arial" w:ascii="Arial" w:hAnsi="Arial"/>
          <w:b/>
          <w:lang w:val="es-ES"/>
        </w:rPr>
      </w:r>
    </w:p>
    <w:p>
      <w:pPr>
        <w:pStyle w:val="Normal"/>
        <w:rPr>
          <w:rFonts w:ascii="Arial" w:hAnsi="Arial" w:cs="Arial"/>
          <w:b/>
          <w:b/>
          <w:lang w:val="es-ES"/>
        </w:rPr>
      </w:pPr>
      <w:r>
        <w:rPr>
          <w:rFonts w:cs="Arial" w:ascii="Arial" w:hAnsi="Arial"/>
          <w:b/>
          <w:lang w:val="es-ES"/>
        </w:rPr>
      </w:r>
    </w:p>
    <w:p>
      <w:pPr>
        <w:pStyle w:val="Normal"/>
        <w:spacing w:lineRule="auto" w:line="360"/>
        <w:jc w:val="both"/>
        <w:rPr>
          <w:rFonts w:ascii="Arial" w:hAnsi="Arial" w:cs="Arial"/>
          <w:lang w:val="es-ES"/>
        </w:rPr>
      </w:pPr>
      <w:r>
        <w:rPr>
          <w:rFonts w:cs="Arial" w:ascii="Arial" w:hAnsi="Arial"/>
          <w:lang w:val="es-ES"/>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2"/>
                    <a:stretch>
                      <a:fillRect/>
                    </a:stretch>
                  </pic:blipFill>
                  <pic:spPr bwMode="auto">
                    <a:xfrm>
                      <a:off x="0" y="0"/>
                      <a:ext cx="1371600" cy="2181225"/>
                    </a:xfrm>
                    <a:prstGeom prst="rect">
                      <a:avLst/>
                    </a:prstGeom>
                  </pic:spPr>
                </pic:pic>
              </a:graphicData>
            </a:graphic>
          </wp:inline>
        </w:drawing>
      </w:r>
      <w:r>
        <w:rPr>
          <w:rFonts w:cs="Arial" w:ascii="Arial" w:hAnsi="Arial"/>
          <w:lang w:val="es-ES"/>
        </w:rPr>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3"/>
                    <a:stretch>
                      <a:fillRect/>
                    </a:stretch>
                  </pic:blipFill>
                  <pic:spPr bwMode="auto">
                    <a:xfrm>
                      <a:off x="0" y="0"/>
                      <a:ext cx="2590165" cy="885825"/>
                    </a:xfrm>
                    <a:prstGeom prst="rect">
                      <a:avLst/>
                    </a:prstGeom>
                  </pic:spPr>
                </pic:pic>
              </a:graphicData>
            </a:graphic>
          </wp:inline>
        </w:drawing>
      </w:r>
    </w:p>
    <w:p>
      <w:pPr>
        <w:pStyle w:val="Normal"/>
        <w:spacing w:lineRule="auto" w:line="360" w:before="0" w:after="120"/>
        <w:jc w:val="both"/>
        <w:rPr>
          <w:rFonts w:ascii="Arial" w:hAnsi="Arial" w:cs="Arial"/>
          <w:sz w:val="22"/>
          <w:szCs w:val="22"/>
          <w:lang w:val="es-ES"/>
        </w:rPr>
      </w:pPr>
      <w:r>
        <w:rPr/>
      </w:r>
    </w:p>
    <w:sectPr>
      <w:headerReference w:type="default" r:id="rId4"/>
      <w:footerReference w:type="default" r:id="rId5"/>
      <w:type w:val="nextPage"/>
      <w:pgSz w:w="11906" w:h="16838"/>
      <w:pgMar w:left="1701" w:right="1701" w:header="709" w:top="2381" w:footer="709"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2133558015"/>
    </w:sdtPr>
    <w:sdtContent>
      <w:p>
        <w:pPr>
          <w:pStyle w:val="Piedepgina"/>
          <w:jc w:val="right"/>
          <w:rPr/>
        </w:pPr>
        <w:r>
          <w:rPr/>
          <w:t xml:space="preserve">Páxina </w:t>
        </w:r>
        <w:r>
          <w:rPr>
            <w:b/>
            <w:bCs/>
          </w:rPr>
          <w:fldChar w:fldCharType="begin"/>
        </w:r>
        <w:r>
          <w:rPr>
            <w:b/>
            <w:bCs/>
          </w:rPr>
          <w:instrText> PAGE </w:instrText>
        </w:r>
        <w:r>
          <w:rPr>
            <w:b/>
            <w:bCs/>
          </w:rPr>
          <w:fldChar w:fldCharType="separate"/>
        </w:r>
        <w:r>
          <w:rPr>
            <w:b/>
            <w:bCs/>
          </w:rPr>
          <w:t>12</w:t>
        </w:r>
        <w:r>
          <w:rPr>
            <w:b/>
            <w:bCs/>
          </w:rPr>
          <w:fldChar w:fldCharType="end"/>
        </w:r>
        <w:r>
          <w:rPr/>
          <w:t xml:space="preserve"> de </w:t>
        </w:r>
        <w:r>
          <w:rPr>
            <w:b/>
            <w:bCs/>
          </w:rPr>
          <w:fldChar w:fldCharType="begin"/>
        </w:r>
        <w:r>
          <w:rPr>
            <w:b/>
            <w:bCs/>
          </w:rPr>
          <w:instrText> NUMPAGES </w:instrText>
        </w:r>
        <w:r>
          <w:rPr>
            <w:b/>
            <w:bCs/>
          </w:rPr>
          <w:fldChar w:fldCharType="separate"/>
        </w:r>
        <w:r>
          <w:rPr>
            <w:b/>
            <w:bCs/>
          </w:rPr>
          <w:t>12</w:t>
        </w:r>
        <w:r>
          <w:rPr>
            <w:b/>
            <w:bCs/>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r>
  </w:p>
  <w:p>
    <w:pPr>
      <w:pStyle w:val="Normal"/>
      <w:jc w:val="center"/>
      <w:rPr>
        <w:color w:val="1F497D"/>
      </w:rPr>
    </w:pPr>
    <w:r>
      <w:rPr/>
      <w:drawing>
        <wp:inline distT="0" distB="0" distL="0" distR="0">
          <wp:extent cx="742950" cy="1179830"/>
          <wp:effectExtent l="0" t="0" r="0" b="0"/>
          <wp:docPr id="3"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
                  <pic:cNvPicPr>
                    <a:picLocks noChangeAspect="1" noChangeArrowheads="1"/>
                  </pic:cNvPicPr>
                </pic:nvPicPr>
                <pic:blipFill>
                  <a:blip r:embed="rId1"/>
                  <a:stretch>
                    <a:fillRect/>
                  </a:stretch>
                </pic:blipFill>
                <pic:spPr bwMode="auto">
                  <a:xfrm>
                    <a:off x="0" y="0"/>
                    <a:ext cx="742950" cy="1179830"/>
                  </a:xfrm>
                  <a:prstGeom prst="rect">
                    <a:avLst/>
                  </a:prstGeom>
                </pic:spPr>
              </pic:pic>
            </a:graphicData>
          </a:graphic>
        </wp:inline>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auto"/>
      <w:kern w:val="0"/>
      <w:sz w:val="24"/>
      <w:szCs w:val="24"/>
      <w:lang w:val="gl-ES" w:eastAsia="es-ES" w:bidi="ar-SA"/>
    </w:rPr>
  </w:style>
  <w:style w:type="paragraph" w:styleId="Ttulo1">
    <w:name w:val="Heading 1"/>
    <w:basedOn w:val="Normal"/>
    <w:next w:val="Normal"/>
    <w:link w:val="Ttulo1Car"/>
    <w:qFormat/>
    <w:locked/>
    <w:rsid w:val="00c16e10"/>
    <w:pPr>
      <w:keepNext w:val="true"/>
      <w:spacing w:lineRule="exact" w:line="300"/>
      <w:jc w:val="center"/>
      <w:outlineLvl w:val="0"/>
    </w:pPr>
    <w:rPr>
      <w:b/>
      <w:bCs/>
    </w:rPr>
  </w:style>
  <w:style w:type="paragraph" w:styleId="Ttulo2">
    <w:name w:val="Heading 2"/>
    <w:basedOn w:val="Normal"/>
    <w:link w:val="Ttulo2Car"/>
    <w:qFormat/>
    <w:locked/>
    <w:rsid w:val="00fc39bb"/>
    <w:pPr>
      <w:spacing w:beforeAutospacing="1" w:afterAutospacing="1"/>
      <w:jc w:val="both"/>
      <w:outlineLvl w:val="1"/>
    </w:pPr>
    <w:rPr>
      <w:rFonts w:ascii="Verdana" w:hAnsi="Verdana"/>
      <w:b/>
      <w:bCs/>
      <w:color w:val="000000"/>
      <w:sz w:val="36"/>
      <w:szCs w:val="36"/>
    </w:rPr>
  </w:style>
  <w:style w:type="paragraph" w:styleId="Ttulo3">
    <w:name w:val="Heading 3"/>
    <w:basedOn w:val="Normal"/>
    <w:next w:val="Normal"/>
    <w:link w:val="Ttulo3Car"/>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
    <w:qFormat/>
    <w:locked/>
    <w:rsid w:val="00fc39bb"/>
    <w:pPr>
      <w:spacing w:beforeAutospacing="1" w:afterAutospacing="1"/>
      <w:jc w:val="both"/>
      <w:outlineLvl w:val="3"/>
    </w:pPr>
    <w:rPr>
      <w:rFonts w:ascii="Verdana" w:hAnsi="Verdana"/>
      <w:b/>
      <w:bCs/>
      <w:color w:val="000000"/>
    </w:rPr>
  </w:style>
  <w:style w:type="paragraph" w:styleId="Ttulo5">
    <w:name w:val="Heading 5"/>
    <w:basedOn w:val="Normal"/>
    <w:link w:val="Ttulo5Car"/>
    <w:uiPriority w:val="9"/>
    <w:qFormat/>
    <w:locked/>
    <w:rsid w:val="00fc39bb"/>
    <w:pPr>
      <w:spacing w:beforeAutospacing="1" w:afterAutospacing="1"/>
      <w:jc w:val="both"/>
      <w:outlineLvl w:val="4"/>
    </w:pPr>
    <w:rPr>
      <w:rFonts w:ascii="Verdana" w:hAnsi="Verdana"/>
      <w:b/>
      <w:bCs/>
      <w:color w:val="000000"/>
      <w:sz w:val="20"/>
      <w:szCs w:val="20"/>
    </w:rPr>
  </w:style>
  <w:style w:type="paragraph" w:styleId="Ttulo6">
    <w:name w:val="Heading 6"/>
    <w:basedOn w:val="Normal"/>
    <w:link w:val="Ttulo6Car"/>
    <w:uiPriority w:val="9"/>
    <w:qFormat/>
    <w:locked/>
    <w:rsid w:val="00fc39bb"/>
    <w:pPr>
      <w:spacing w:beforeAutospacing="1" w:afterAutospacing="1"/>
      <w:jc w:val="both"/>
      <w:outlineLvl w:val="5"/>
    </w:pPr>
    <w:rPr>
      <w:rFonts w:ascii="Verdana" w:hAnsi="Verdana"/>
      <w:b/>
      <w:bCs/>
      <w:color w:val="000000"/>
      <w:sz w:val="15"/>
      <w:szCs w:val="15"/>
    </w:rPr>
  </w:style>
  <w:style w:type="character" w:styleId="DefaultParagraphFont" w:default="1">
    <w:name w:val="Default Paragraph Font"/>
    <w:uiPriority w:val="1"/>
    <w:semiHidden/>
    <w:unhideWhenUsed/>
    <w:qFormat/>
    <w:rPr/>
  </w:style>
  <w:style w:type="character" w:styleId="TtuloCar" w:customStyle="1">
    <w:name w:val="Título Car"/>
    <w:basedOn w:val="DefaultParagraphFont"/>
    <w:link w:val="Ttulo"/>
    <w:qFormat/>
    <w:locked/>
    <w:rsid w:val="00881a03"/>
    <w:rPr>
      <w:rFonts w:ascii="Cambria" w:hAnsi="Cambria" w:cs="Times New Roman"/>
      <w:b/>
      <w:bCs/>
      <w:kern w:val="2"/>
      <w:sz w:val="32"/>
      <w:szCs w:val="32"/>
      <w:lang w:val="gl-ES"/>
    </w:rPr>
  </w:style>
  <w:style w:type="character" w:styleId="Textoindependiente3Car" w:customStyle="1">
    <w:name w:val="Texto independiente 3 Car"/>
    <w:basedOn w:val="DefaultParagraphFont"/>
    <w:link w:val="Textoindependiente3"/>
    <w:uiPriority w:val="99"/>
    <w:qFormat/>
    <w:locked/>
    <w:rsid w:val="00881a03"/>
    <w:rPr>
      <w:rFonts w:ascii="Garamond" w:hAnsi="Garamond" w:cs="Times New Roman"/>
      <w:sz w:val="16"/>
      <w:szCs w:val="16"/>
      <w:lang w:val="gl-ES"/>
    </w:rPr>
  </w:style>
  <w:style w:type="character" w:styleId="EncabezadoCar" w:customStyle="1">
    <w:name w:val="Encabezado Car"/>
    <w:basedOn w:val="DefaultParagraphFont"/>
    <w:link w:val="Encabezado"/>
    <w:qFormat/>
    <w:rsid w:val="00811b89"/>
    <w:rPr>
      <w:rFonts w:ascii="Garamond" w:hAnsi="Garamond"/>
      <w:sz w:val="24"/>
      <w:szCs w:val="24"/>
      <w:lang w:val="gl-ES"/>
    </w:rPr>
  </w:style>
  <w:style w:type="character" w:styleId="PiedepginaCar" w:customStyle="1">
    <w:name w:val="Pie de página Car"/>
    <w:basedOn w:val="DefaultParagraphFont"/>
    <w:link w:val="Piedepg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independienteCar" w:customStyle="1">
    <w:name w:val="Texto independiente Car"/>
    <w:basedOn w:val="DefaultParagraphFont"/>
    <w:link w:val="Textoindependiente"/>
    <w:uiPriority w:val="99"/>
    <w:semiHidden/>
    <w:qFormat/>
    <w:rsid w:val="00710d0f"/>
    <w:rPr>
      <w:rFonts w:ascii="Garamond" w:hAnsi="Garamond"/>
      <w:sz w:val="24"/>
      <w:szCs w:val="24"/>
      <w:lang w:val="gl-ES"/>
    </w:rPr>
  </w:style>
  <w:style w:type="character" w:styleId="Textoindependiente2Car" w:customStyle="1">
    <w:name w:val="Texto independiente 2 Car"/>
    <w:basedOn w:val="DefaultParagraphFont"/>
    <w:link w:val="Textoindependiente2"/>
    <w:uiPriority w:val="99"/>
    <w:qFormat/>
    <w:rsid w:val="006d6a80"/>
    <w:rPr>
      <w:rFonts w:ascii="Garamond" w:hAnsi="Garamond"/>
      <w:sz w:val="24"/>
      <w:szCs w:val="24"/>
      <w:lang w:val="gl-ES"/>
    </w:rPr>
  </w:style>
  <w:style w:type="character" w:styleId="Sangra2detindependienteCar" w:customStyle="1">
    <w:name w:val="Sangría 2 de t. independiente Car"/>
    <w:basedOn w:val="DefaultParagraphFont"/>
    <w:link w:val="Sangra2detindependiente"/>
    <w:uiPriority w:val="99"/>
    <w:semiHidden/>
    <w:qFormat/>
    <w:rsid w:val="006d6a80"/>
    <w:rPr>
      <w:rFonts w:ascii="Garamond" w:hAnsi="Garamond"/>
      <w:sz w:val="24"/>
      <w:szCs w:val="24"/>
      <w:lang w:val="gl-ES"/>
    </w:rPr>
  </w:style>
  <w:style w:type="character" w:styleId="Ttulo1Car" w:customStyle="1">
    <w:name w:val="Título 1 Car"/>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 w:customStyle="1">
    <w:name w:val="Título 2 Car"/>
    <w:basedOn w:val="DefaultParagraphFont"/>
    <w:link w:val="Ttulo2"/>
    <w:qFormat/>
    <w:rsid w:val="00fc39bb"/>
    <w:rPr>
      <w:rFonts w:ascii="Verdana" w:hAnsi="Verdana"/>
      <w:b/>
      <w:bCs/>
      <w:color w:val="000000"/>
      <w:sz w:val="36"/>
      <w:szCs w:val="36"/>
      <w:lang w:val="gl-ES"/>
    </w:rPr>
  </w:style>
  <w:style w:type="character" w:styleId="Ttulo3Car" w:customStyle="1">
    <w:name w:val="Título 3 Car"/>
    <w:basedOn w:val="DefaultParagraphFont"/>
    <w:link w:val="Ttulo3"/>
    <w:qFormat/>
    <w:rsid w:val="00fc39bb"/>
    <w:rPr>
      <w:rFonts w:ascii="Cambria" w:hAnsi="Cambria"/>
      <w:b/>
      <w:bCs/>
      <w:sz w:val="26"/>
      <w:szCs w:val="26"/>
      <w:lang w:val="gl-ES"/>
    </w:rPr>
  </w:style>
  <w:style w:type="character" w:styleId="Ttulo4Car" w:customStyle="1">
    <w:name w:val="Título 4 Car"/>
    <w:basedOn w:val="DefaultParagraphFont"/>
    <w:link w:val="Ttulo4"/>
    <w:qFormat/>
    <w:rsid w:val="00fc39bb"/>
    <w:rPr>
      <w:rFonts w:ascii="Verdana" w:hAnsi="Verdana"/>
      <w:b/>
      <w:bCs/>
      <w:color w:val="000000"/>
      <w:sz w:val="24"/>
      <w:szCs w:val="24"/>
      <w:lang w:val="gl-ES"/>
    </w:rPr>
  </w:style>
  <w:style w:type="character" w:styleId="Ttulo5Car" w:customStyle="1">
    <w:name w:val="Título 5 Car"/>
    <w:basedOn w:val="DefaultParagraphFont"/>
    <w:link w:val="Ttulo5"/>
    <w:uiPriority w:val="9"/>
    <w:qFormat/>
    <w:rsid w:val="00fc39bb"/>
    <w:rPr>
      <w:rFonts w:ascii="Verdana" w:hAnsi="Verdana"/>
      <w:b/>
      <w:bCs/>
      <w:color w:val="000000"/>
      <w:sz w:val="20"/>
      <w:szCs w:val="20"/>
      <w:lang w:val="gl-ES"/>
    </w:rPr>
  </w:style>
  <w:style w:type="character" w:styleId="Ttulo6Car" w:customStyle="1">
    <w:name w:val="Título 6 Car"/>
    <w:basedOn w:val="DefaultParagraphFont"/>
    <w:link w:val="Ttulo6"/>
    <w:uiPriority w:val="9"/>
    <w:qFormat/>
    <w:rsid w:val="00fc39bb"/>
    <w:rPr>
      <w:rFonts w:ascii="Verdana" w:hAnsi="Verdana"/>
      <w:b/>
      <w:bCs/>
      <w:color w:val="000000"/>
      <w:sz w:val="15"/>
      <w:szCs w:val="15"/>
      <w:lang w:val="gl-ES"/>
    </w:rPr>
  </w:style>
  <w:style w:type="character" w:styleId="TextodegloboCar" w:customStyle="1">
    <w:name w:val="Texto de globo Car"/>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etextonormalCar" w:customStyle="1">
    <w:name w:val="Sangría de texto normal Car"/>
    <w:basedOn w:val="DefaultParagraphFont"/>
    <w:link w:val="Sangradetextonorm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notapieCar" w:customStyle="1">
    <w:name w:val="Texto nota pie Car"/>
    <w:basedOn w:val="DefaultParagraphFont"/>
    <w:link w:val="Textonotapie"/>
    <w:uiPriority w:val="99"/>
    <w:qFormat/>
    <w:rsid w:val="00fc39bb"/>
    <w:rPr>
      <w:sz w:val="20"/>
      <w:szCs w:val="20"/>
      <w:lang w:val="gl-ES"/>
    </w:rPr>
  </w:style>
  <w:style w:type="character" w:styleId="HTMLconformatoprevioCar" w:customStyle="1">
    <w:name w:val="HTML con formato previo Car"/>
    <w:basedOn w:val="DefaultParagraphFont"/>
    <w:link w:val="HTMLconformatoprevio"/>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informatoCar" w:customStyle="1">
    <w:name w:val="Texto sin formato Car"/>
    <w:basedOn w:val="DefaultParagraphFont"/>
    <w:link w:val="Textosi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etindependienteCar" w:customStyle="1">
    <w:name w:val="Sangría 3 de t. independiente Car"/>
    <w:basedOn w:val="DefaultParagraphFont"/>
    <w:link w:val="Sangra3detindependiente"/>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 w:customStyle="1">
    <w:name w:val="Subtítulo Car"/>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Markedcontent" w:customStyle="1">
    <w:name w:val="markedcontent"/>
    <w:basedOn w:val="DefaultParagraphFont"/>
    <w:qFormat/>
    <w:rsid w:val="00d53dcf"/>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
    <w:qFormat/>
    <w:rsid w:val="00527765"/>
    <w:pPr>
      <w:widowControl w:val="false"/>
      <w:jc w:val="center"/>
    </w:pPr>
    <w:rPr>
      <w:rFonts w:ascii="Humanst521 BT" w:hAnsi="Humanst521 BT"/>
      <w:b/>
      <w:szCs w:val="20"/>
      <w:lang w:val="es-ES_tradnl"/>
    </w:rPr>
  </w:style>
  <w:style w:type="paragraph" w:styleId="BodyText3">
    <w:name w:val="Body Text 3"/>
    <w:basedOn w:val="Normal"/>
    <w:link w:val="Textoindependiente3Car"/>
    <w:uiPriority w:val="99"/>
    <w:qFormat/>
    <w:rsid w:val="00527765"/>
    <w:pPr>
      <w:spacing w:lineRule="exact" w:line="300"/>
      <w:jc w:val="both"/>
    </w:pPr>
    <w:rPr>
      <w:sz w:val="22"/>
      <w:szCs w:val="20"/>
    </w:rPr>
  </w:style>
  <w:style w:type="paragraph" w:styleId="ListParagraph">
    <w:name w:val="List Paragraph"/>
    <w:basedOn w:val="Normal"/>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EncabezadoCar"/>
    <w:unhideWhenUsed/>
    <w:rsid w:val="00811b89"/>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811b89"/>
    <w:pPr>
      <w:tabs>
        <w:tab w:val="clear" w:pos="708"/>
        <w:tab w:val="center" w:pos="4252" w:leader="none"/>
        <w:tab w:val="right" w:pos="8504" w:leader="none"/>
      </w:tabs>
    </w:pPr>
    <w:rPr/>
  </w:style>
  <w:style w:type="paragraph" w:styleId="NormalWeb">
    <w:name w:val="Normal (Web)"/>
    <w:basedOn w:val="Normal"/>
    <w:uiPriority w:val="99"/>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Times New Roman" w:hAnsi="Times New Roman"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auto"/>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independiente2Car"/>
    <w:uiPriority w:val="99"/>
    <w:unhideWhenUsed/>
    <w:qFormat/>
    <w:rsid w:val="006d6a80"/>
    <w:pPr>
      <w:spacing w:lineRule="auto" w:line="480" w:before="0" w:after="120"/>
    </w:pPr>
    <w:rPr/>
  </w:style>
  <w:style w:type="paragraph" w:styleId="BodyTextIndent2">
    <w:name w:val="Body Text Indent 2"/>
    <w:basedOn w:val="Normal"/>
    <w:link w:val="Sangra2detindependienteCar"/>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color w:val="000000"/>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etextonormalCar"/>
    <w:rsid w:val="00fc39bb"/>
    <w:pPr>
      <w:spacing w:lineRule="exact" w:line="300"/>
      <w:ind w:left="1065" w:hanging="0"/>
      <w:jc w:val="both"/>
    </w:pPr>
    <w:rPr>
      <w:szCs w:val="20"/>
    </w:rPr>
  </w:style>
  <w:style w:type="paragraph" w:styleId="Prrafodelista1" w:customStyle="1">
    <w:name w:val="Párrafo de lista1"/>
    <w:basedOn w:val="Normal"/>
    <w:qFormat/>
    <w:rsid w:val="00fc39bb"/>
    <w:pPr>
      <w:ind w:left="720" w:hanging="0"/>
      <w:jc w:val="both"/>
    </w:pPr>
    <w:rPr>
      <w:szCs w:val="22"/>
      <w:lang w:eastAsia="en-US"/>
    </w:rPr>
  </w:style>
  <w:style w:type="paragraph" w:styleId="Notaalpie">
    <w:name w:val="Footnote Text"/>
    <w:basedOn w:val="Normal"/>
    <w:link w:val="TextonotapieCar"/>
    <w:uiPriority w:val="99"/>
    <w:unhideWhenUsed/>
    <w:rsid w:val="00fc39bb"/>
    <w:pPr>
      <w:jc w:val="both"/>
    </w:pPr>
    <w:rPr>
      <w:rFonts w:ascii="Times New Roman" w:hAnsi="Times New Roman"/>
      <w:sz w:val="20"/>
      <w:szCs w:val="20"/>
    </w:rPr>
  </w:style>
  <w:style w:type="paragraph" w:styleId="HTMLPreformatted">
    <w:name w:val="HTML Preformatted"/>
    <w:basedOn w:val="Normal"/>
    <w:link w:val="HTMLconformatoprevioCar"/>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color w:val="000000"/>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ascii="Garamond" w:hAnsi="Garamond" w:eastAsia="Calibri" w:cs="Times New Roman"/>
      <w:color w:val="auto"/>
      <w:kern w:val="0"/>
      <w:sz w:val="24"/>
      <w:szCs w:val="22"/>
      <w:lang w:eastAsia="en-US" w:val="es-ES" w:bidi="ar-SA"/>
    </w:rPr>
  </w:style>
  <w:style w:type="paragraph" w:styleId="PlainText">
    <w:name w:val="Plain Text"/>
    <w:basedOn w:val="Normal"/>
    <w:link w:val="TextosinformatoCar"/>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etindependienteCar"/>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color w:val="000000"/>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color w:val="000000"/>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ascii="Garamond" w:hAnsi="Garamond" w:eastAsia="SimSun" w:cs="Calibri"/>
      <w:color w:val="auto"/>
      <w:kern w:val="2"/>
      <w:sz w:val="24"/>
      <w:szCs w:val="22"/>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paragraph" w:styleId="Standard" w:customStyle="1">
    <w:name w:val="Standard"/>
    <w:qFormat/>
    <w:rsid w:val="00c6302c"/>
    <w:pPr>
      <w:widowControl w:val="false"/>
      <w:suppressAutoHyphens w:val="true"/>
      <w:bidi w:val="0"/>
      <w:spacing w:before="0" w:after="0"/>
      <w:jc w:val="left"/>
    </w:pPr>
    <w:rPr>
      <w:rFonts w:ascii="Liberation Serif" w:hAnsi="Liberation Serif" w:eastAsia="SimSun" w:cs="Mangal"/>
      <w:color w:val="auto"/>
      <w:kern w:val="2"/>
      <w:sz w:val="24"/>
      <w:szCs w:val="24"/>
      <w:lang w:eastAsia="zh-CN" w:bidi="hi-IN"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8a0f6c"/>
    <w:pPr>
      <w:jc w:val="both"/>
    </w:pPr>
    <w:rPr>
      <w:rFonts w:asciiTheme="minorHAnsi" w:hAnsiTheme="minorHAnsi" w:eastAsiaTheme="minorHAnsi" w:cstheme="minorBidi"/>
      <w:lang w:eastAsia="en-US"/>
      <w:sz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abl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abl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abl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424DEB-C7C6-4E7F-A557-480FB0414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LibreOffice/7.0.0.3$Windows_X86_64 LibreOffice_project/8061b3e9204bef6b321a21033174034a5e2ea88e</Application>
  <Pages>6</Pages>
  <Words>2782</Words>
  <Characters>15017</Characters>
  <CharactersWithSpaces>17774</CharactersWithSpaces>
  <Paragraphs>99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2025-12-12T09:57:00Z</dcterms:created>
  <dc:creator>Toshiba</dc:creator>
  <dc:description/>
  <dc:language>es-ES</dc:language>
  <cp:lastModifiedBy>Luz Mery Barral Bouzón</cp:lastModifiedBy>
  <cp:lastPrinted>2024-04-08T13:56:00Z</cp:lastPrinted>
  <dcterms:modified xsi:type="dcterms:W3CDTF">2025-12-12T09:57:00Z</dcterms:modified>
  <cp:revision>2</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