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74433" w14:textId="77777777" w:rsidR="006432B6" w:rsidRPr="00707076" w:rsidRDefault="006432B6" w:rsidP="006432B6">
      <w:pPr>
        <w:pStyle w:val="Standard"/>
        <w:spacing w:line="360" w:lineRule="auto"/>
        <w:jc w:val="both"/>
        <w:rPr>
          <w:rFonts w:ascii="Times New Roman" w:hAnsi="Times New Roman" w:cs="Times New Roman"/>
          <w:bCs/>
        </w:rPr>
      </w:pPr>
      <w:bookmarkStart w:id="0" w:name="_Hlk198812110"/>
      <w:r w:rsidRPr="00707076">
        <w:rPr>
          <w:rFonts w:ascii="Times New Roman" w:hAnsi="Times New Roman" w:cs="Times New Roman"/>
          <w:bCs/>
        </w:rPr>
        <w:t xml:space="preserve">RESOLUCIÓ de 31 de juliol de la Conselleria d’Innovació, Indústria, Comerç i Turisme, per la qual s’aproven les bases </w:t>
      </w:r>
      <w:bookmarkStart w:id="1" w:name="_Hlk198572455"/>
      <w:r w:rsidRPr="00707076">
        <w:rPr>
          <w:rFonts w:ascii="Times New Roman" w:hAnsi="Times New Roman" w:cs="Times New Roman"/>
          <w:bCs/>
        </w:rPr>
        <w:t>reguladores per a la concessió d’ajudes destinades a la reactivació del comerç i l’artesania en la zona afectada pel temporal de vent i pluges iniciat el 29 d’octubre en la Comunitat Valenciana i convocatòria d’ajudes per a l’exercici 2025</w:t>
      </w:r>
    </w:p>
    <w:p w14:paraId="7F60028F" w14:textId="77777777" w:rsidR="006432B6" w:rsidRPr="00707076" w:rsidRDefault="006432B6" w:rsidP="006432B6">
      <w:pPr>
        <w:pStyle w:val="Standard"/>
        <w:spacing w:line="360" w:lineRule="auto"/>
        <w:jc w:val="both"/>
        <w:rPr>
          <w:rFonts w:ascii="Times New Roman" w:hAnsi="Times New Roman" w:cs="Times New Roman"/>
          <w:bCs/>
        </w:rPr>
      </w:pPr>
    </w:p>
    <w:bookmarkEnd w:id="0"/>
    <w:bookmarkEnd w:id="1"/>
    <w:p w14:paraId="214F2455"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El 29 d’octubre de 2024, la Comunitat Valenciana va ser afectada per un episodi de pluges torrencials a conseqüència d’una depressió aïllada en nivells alts (d’ara en avant, DANA), excepcionalment destructiva, amb registres de precipitacions superiors als 600 litres acumulats per metre quadrat que va provocar la pèrdua irreparable de nombroses vides humanes, vivendes i objectes, infraestructures públiques i privades, elements de transport, etc., amb la consegüent pèrdua de llocs de treball i capacitat productiva de les empreses comercials situades en el territori afectat per este temporal.</w:t>
      </w:r>
    </w:p>
    <w:p w14:paraId="7431986F"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Des del primer moment, la Generalitat Valenciana ha estat sobretot al costat de les persones, però també dels municipis afectats, fent un important esforç financer per a tractar de pal·liar els efectes catastròfics provocats i coadjuvar en la reconstrucció, recuperació i reactivació de l’activitat econòmica en els municipis devastats per la DANA i, així, poder tornar tan prompte com es puga a l’anhelada normalitat.</w:t>
      </w:r>
    </w:p>
    <w:p w14:paraId="2DB1C613"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Amb el càlcul d’un total de més de 7.000 comerços minoristes i al voltant de 42.000 ocupacions afectades o directament destruïdes en el sector comercial en la zona afectada per la DANA a la província de València, és una obligació ineludible de la Generalitat coadjuvar en la recuperació i reactivació econòmica de la zona devastada pel temporal i tractar de pal·liar els efectes negatius ocasionats per la DANA, cooperant amb les entitats locals en la promoció, dinamització, foment i impuls de l’activitat comercial de les zones afectades, així com ajudar les pimes comercials i artesanes situades en esta zona a recuperar la seua activitat econòmica prèvia a la catàstrofe, amb la digitalització de les seues empreses i establiments comercials o artesans, cosa que contribuirà a incrementar la seua competitivitat.</w:t>
      </w:r>
    </w:p>
    <w:p w14:paraId="1808822C"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I en este sentit, la present resolució es dirigix, per mitjà d’ajudes a les entitats locals destinades a la implementació dels bons comerç, a fomentar i incentivar el consum, tant en el comerç minorista i de proximitat com en els establiments artesans, per a aconseguir la reactivació de l’activitat econòmica de la zona afectada i recuperar els servicis necessaris per al benestar de la població i la recuperació de la normalitat. </w:t>
      </w:r>
    </w:p>
    <w:p w14:paraId="19769F77"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Així mateix, les ajudes regulades en esta resolució es dirigixen també a la modernització i millora de les infraestructures comercials de titularitat municipal, com són els mercats, mitjançant el suport a les obres i instal·lacions de reforma i l’adquisició de nou equipament, amb l’afany per coadjuvar en la recuperació econòmica de la zona, fomentant i incentivant el comerç en tots els seus formats.</w:t>
      </w:r>
    </w:p>
    <w:p w14:paraId="76D044A9"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A més, s’ha considerat convenient recuperar el suport a la realització dels plans d’acció comercial, que incloguen íntegrament l’àmbit territorial de l’entitat local competent, per a estudiar i analitzar la situació existent en el comerç, i valorar el model comercial que es pretén aconseguir a mitjà termini, definint les inversions i actuacions a desenrotllar, amb la finalitat d’iniciar la recuperació econòmica de la zona afectada de manera viable i sostenible.</w:t>
      </w:r>
    </w:p>
    <w:p w14:paraId="2EE6FC95"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Finalment, es regulen també ajudes a la digitalització de les pimes comercials i artesanes situades en la zona afectada per la DANA, per a afavorir que es modernitzen i incrementen la seua competitivitat.</w:t>
      </w:r>
    </w:p>
    <w:p w14:paraId="6E74BD43"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S’han inclòs, com a potencials beneficiàries de les ajudes, en funció del tipus de subvenció de què es tracte, les 103 entitats locals afectades a la província de València, i les pimes comercials i artesanes situades en estes entitats locals, segons l’annex de relació de municipis afectats que s’han anat arreplegant en la normativa reguladora de les ajudes i subvencions autonòmiques, després de l’Acord de 4 de novembre de 2024, del Consell, publicat en el DOGV núm. 9974 bis, d’eixa mateixa data, pel qual es van adoptar mesures urgents per a pal·liar els danys produïts pel temporal iniciat el 29 d’octubre de 2024 en la Comunitat Valenciana.</w:t>
      </w:r>
    </w:p>
    <w:p w14:paraId="0F8DAB14"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Així mateix, en esta data, es va publicar el Decret 164/2024, de 4 de novembre, del Consell, d’aprovació de les bases reguladores i del procediment de concessió directa d’ajudes urgents als municipis afectats pels danys produïts pel temporal de vent i pluges iniciat en la Comunitat Valenciana el 29 d’octubre de 2024, amb la finalitat de destinar-les a cobrir els gastos urgents i extraordinaris, tant corrents com de personal, que van haver d’escometre els municipis durant l’episodi d’emergència.</w:t>
      </w:r>
    </w:p>
    <w:p w14:paraId="48E8DBEE"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En data 5 de novembre de 2024, el Consell de Ministres va acordar declarar el territori afectat com a «zona afectada greument per una emergència de protecció civil».</w:t>
      </w:r>
    </w:p>
    <w:p w14:paraId="284A261C"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Amb posterioritat, es va publicar en el DOGV núm. 9988, de 20 de novembre de 2024, la Resolució de 19 de novembre de 2024, de la Conselleria de Justícia i Interior, per la qual es modifica la relació de municipis annexada en el Decret 164/2024, de 4 de novembre, del Consell, d’aprovació de les bases reguladores i del procediment de concessió directa </w:t>
      </w:r>
      <w:r w:rsidRPr="00707076">
        <w:rPr>
          <w:rFonts w:ascii="Times New Roman" w:hAnsi="Times New Roman" w:cs="Times New Roman"/>
        </w:rPr>
        <w:lastRenderedPageBreak/>
        <w:t>d’ajudes urgents als municipis afectats pels danys produïts pel temporal de vent i pluges iniciat en la Comunitat Valenciana el 29 d’octubre de 2024, a on es van sumar quinze municipis als inicialment relacionats, per considerar-los també afectats pel temporal.</w:t>
      </w:r>
    </w:p>
    <w:p w14:paraId="3FA4C22F"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A continuació, es va publicar en el DOGV núm. 9998 bis, de 3 de desembre de 2024, la Resolució de 2 de desembre de 2024, de la Presidència de l’Agència Valenciana de Seguretat i Resposta a les Emergències, per la qual s’amplia el termini de presentació de les sol·licituds de les ajudes incloses en el Decret 164/2024, de 4 de novembre, del Consell, d’aprovació de les bases reguladores i del procediment de concessió directa d’ajudes urgents als municipis afectats pels danys produïts pel temporal de vent i pluges iniciat en la Comunitat Valenciana el 29 d’octubre de 2024, que en l’article 2, en relació amb la disposició final primera del Decret 164/2024, a propòsit dels beneficiaris d’estes ajudes, permet incorporar municipis nous als relacionats, en qualitat d’afectats, tant en l’annex del mateix decret com en la Resolució de 19 de novembre de 2024, de la Conselleria de Justícia i Interior, per la qual cosa, en virtut d’això, i després de les comunicacions rebudes i l’anàlisi de les afectacions produïdes, amb impactes en vivendes, explotacions agràries i infraestructures, s’afigen els municipis d’Aras de los Olmos, </w:t>
      </w:r>
      <w:proofErr w:type="spellStart"/>
      <w:r w:rsidRPr="00707076">
        <w:rPr>
          <w:rFonts w:ascii="Times New Roman" w:hAnsi="Times New Roman" w:cs="Times New Roman"/>
        </w:rPr>
        <w:t>Benagéber</w:t>
      </w:r>
      <w:proofErr w:type="spellEnd"/>
      <w:r w:rsidRPr="00707076">
        <w:rPr>
          <w:rFonts w:ascii="Times New Roman" w:hAnsi="Times New Roman" w:cs="Times New Roman"/>
        </w:rPr>
        <w:t xml:space="preserve">, Benimuslem, Casinos, </w:t>
      </w:r>
      <w:proofErr w:type="spellStart"/>
      <w:r w:rsidRPr="00707076">
        <w:rPr>
          <w:rFonts w:ascii="Times New Roman" w:hAnsi="Times New Roman" w:cs="Times New Roman"/>
        </w:rPr>
        <w:t>Chelva</w:t>
      </w:r>
      <w:proofErr w:type="spellEnd"/>
      <w:r w:rsidRPr="00707076">
        <w:rPr>
          <w:rFonts w:ascii="Times New Roman" w:hAnsi="Times New Roman" w:cs="Times New Roman"/>
        </w:rPr>
        <w:t xml:space="preserve">, Gavarda, </w:t>
      </w:r>
      <w:proofErr w:type="spellStart"/>
      <w:r w:rsidRPr="00707076">
        <w:rPr>
          <w:rFonts w:ascii="Times New Roman" w:hAnsi="Times New Roman" w:cs="Times New Roman"/>
        </w:rPr>
        <w:t>Losa</w:t>
      </w:r>
      <w:proofErr w:type="spellEnd"/>
      <w:r w:rsidRPr="00707076">
        <w:rPr>
          <w:rFonts w:ascii="Times New Roman" w:hAnsi="Times New Roman" w:cs="Times New Roman"/>
        </w:rPr>
        <w:t xml:space="preserve"> del </w:t>
      </w:r>
      <w:proofErr w:type="spellStart"/>
      <w:r w:rsidRPr="00707076">
        <w:rPr>
          <w:rFonts w:ascii="Times New Roman" w:hAnsi="Times New Roman" w:cs="Times New Roman"/>
        </w:rPr>
        <w:t>Obispo</w:t>
      </w:r>
      <w:proofErr w:type="spellEnd"/>
      <w:r w:rsidRPr="00707076">
        <w:rPr>
          <w:rFonts w:ascii="Times New Roman" w:hAnsi="Times New Roman" w:cs="Times New Roman"/>
        </w:rPr>
        <w:t xml:space="preserve">, Massalavés, Sant Joanet, </w:t>
      </w:r>
      <w:proofErr w:type="spellStart"/>
      <w:r w:rsidRPr="00707076">
        <w:rPr>
          <w:rFonts w:ascii="Times New Roman" w:hAnsi="Times New Roman" w:cs="Times New Roman"/>
        </w:rPr>
        <w:t>Titaguas</w:t>
      </w:r>
      <w:proofErr w:type="spellEnd"/>
      <w:r w:rsidRPr="00707076">
        <w:rPr>
          <w:rFonts w:ascii="Times New Roman" w:hAnsi="Times New Roman" w:cs="Times New Roman"/>
        </w:rPr>
        <w:t xml:space="preserve">, </w:t>
      </w:r>
      <w:proofErr w:type="spellStart"/>
      <w:r w:rsidRPr="00707076">
        <w:rPr>
          <w:rFonts w:ascii="Times New Roman" w:hAnsi="Times New Roman" w:cs="Times New Roman"/>
        </w:rPr>
        <w:t>Tuéjar</w:t>
      </w:r>
      <w:proofErr w:type="spellEnd"/>
      <w:r w:rsidRPr="00707076">
        <w:rPr>
          <w:rFonts w:ascii="Times New Roman" w:hAnsi="Times New Roman" w:cs="Times New Roman"/>
        </w:rPr>
        <w:t xml:space="preserve">, Villar del </w:t>
      </w:r>
      <w:proofErr w:type="spellStart"/>
      <w:r w:rsidRPr="00707076">
        <w:rPr>
          <w:rFonts w:ascii="Times New Roman" w:hAnsi="Times New Roman" w:cs="Times New Roman"/>
        </w:rPr>
        <w:t>Arzobispo</w:t>
      </w:r>
      <w:proofErr w:type="spellEnd"/>
      <w:r w:rsidRPr="00707076">
        <w:rPr>
          <w:rFonts w:ascii="Times New Roman" w:hAnsi="Times New Roman" w:cs="Times New Roman"/>
        </w:rPr>
        <w:t xml:space="preserve"> i Xeraco per haver resultat afectats pel temporal de vent i pluges iniciat en la Comunitat Valenciana el 29 d’octubre de 2024.</w:t>
      </w:r>
    </w:p>
    <w:p w14:paraId="2EBA5FE4"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S’ha aplicat el que disposa el Decret 128/2017, de 29 de setembre, del Consell, pel qual es regula el procediment de notificació i comunicació a la Comissió Europea dels projectes de la Generalitat dirigits a establir, concedir o modificar ajudes públiques. Les subvencions que es destinen a entitats locals no necessiten la notificació mencionada adés, ja que no reunixen els requisits de l’article 107 del Tractat de funcionament de la Unió Europea; en concret, per no suposar cap avantatge econòmic, ja que les entitats a les quals va dirigida la subvenció no exercixen cap activitat econòmica que puga oferir béns o servicis en el mercat i, per això, no hi ha possibilitat de falsejament de la competència que afecte els intercanvis comercials entre estats membres. Tanmateix, les ajudes que tinguen pimes com a beneficiàries estaran subjectes al règim de </w:t>
      </w:r>
      <w:proofErr w:type="spellStart"/>
      <w:r w:rsidRPr="00707076">
        <w:rPr>
          <w:rFonts w:ascii="Times New Roman" w:hAnsi="Times New Roman" w:cs="Times New Roman"/>
          <w:i/>
        </w:rPr>
        <w:t>minimis</w:t>
      </w:r>
      <w:proofErr w:type="spellEnd"/>
      <w:r w:rsidRPr="00707076">
        <w:rPr>
          <w:rFonts w:ascii="Times New Roman" w:hAnsi="Times New Roman" w:cs="Times New Roman"/>
        </w:rPr>
        <w:t xml:space="preserve"> del Reglament (UE) 2023/2831 de la Comissió, de 13 de desembre de 2023, relatiu a l’aplicació dels articles 107 i 108 del Tractat de funcionament de la Unió Europea a les ajudes de </w:t>
      </w:r>
      <w:proofErr w:type="spellStart"/>
      <w:r w:rsidRPr="00707076">
        <w:rPr>
          <w:rFonts w:ascii="Times New Roman" w:hAnsi="Times New Roman" w:cs="Times New Roman"/>
          <w:i/>
        </w:rPr>
        <w:t>minimis</w:t>
      </w:r>
      <w:proofErr w:type="spellEnd"/>
      <w:r w:rsidRPr="00707076">
        <w:rPr>
          <w:rFonts w:ascii="Times New Roman" w:hAnsi="Times New Roman" w:cs="Times New Roman"/>
        </w:rPr>
        <w:t xml:space="preserve"> (DO L 15/12/2023).</w:t>
      </w:r>
    </w:p>
    <w:p w14:paraId="3EFD6700"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A banda, l’article 165.1 de la Llei 1/2015, de 6 de febrer, d’hisenda pública, del sector públic instrumental i de subvencions, disposa que les bases reguladores de subvencions que no prevegen un contingut normatiu que desplegue o complemente una llei sectorial o norma comunitària tinguen la naturalesa d’acte administratiu i s’aproven per resolució de la persona titular de la conselleria competent per raó de matèria, sense que els seus efectes puguen superar la vigència del pla estratègic de subvencions en el qual s’integre.</w:t>
      </w:r>
    </w:p>
    <w:p w14:paraId="1A65352E"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Esta modificació, que afecta l’activitat de foment, té com a finalitat agilitzar la tramitació de les subvencions, contribuir a una major eficiència administrativa, permetre més agilitat en l’execució dels projectes i iniciatives, i oferir una resposta ràpida de l’Administració a les necessitats de la població. En conseqüència, estes bases reguladores que s’aproven en esta resolució tenen la naturalesa d’acte administratiu, amb la vigència determinada pel Pla estratègic de subvencions aprovat per esta conselleria.</w:t>
      </w:r>
    </w:p>
    <w:p w14:paraId="37B5F8CF"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El Pla estratègic de subvencions de la Conselleria d’Innovació, Indústria, Comerç i Turisme, 2024-2026, aprovat per la Resolució de 21 de maig de 2024, i modificat per la Resolució de 5 de març de 2025, incorpora de manera expressa entre els principals objectius estratègics el </w:t>
      </w:r>
      <w:r>
        <w:rPr>
          <w:rFonts w:ascii="Times New Roman" w:hAnsi="Times New Roman" w:cs="Times New Roman"/>
        </w:rPr>
        <w:t>«</w:t>
      </w:r>
      <w:r w:rsidRPr="00707076">
        <w:rPr>
          <w:rFonts w:ascii="Times New Roman" w:hAnsi="Times New Roman" w:cs="Times New Roman"/>
        </w:rPr>
        <w:t>Foment i promoció del comerç i l’artesania local i la defensa de la seguretat i els drets de les persones consumidores</w:t>
      </w:r>
      <w:r>
        <w:rPr>
          <w:rFonts w:ascii="Times New Roman" w:hAnsi="Times New Roman" w:cs="Times New Roman"/>
        </w:rPr>
        <w:t>»</w:t>
      </w:r>
      <w:r w:rsidRPr="00707076">
        <w:rPr>
          <w:rFonts w:ascii="Times New Roman" w:hAnsi="Times New Roman" w:cs="Times New Roman"/>
        </w:rPr>
        <w:t xml:space="preserve">. (Objectiu estratègic 6), on s'incardinen les línies de subvenció, objecte de regulació en esta Resolució. </w:t>
      </w:r>
      <w:r>
        <w:rPr>
          <w:rFonts w:ascii="Times New Roman" w:hAnsi="Times New Roman" w:cs="Times New Roman"/>
        </w:rPr>
        <w:t>Dit</w:t>
      </w:r>
      <w:r w:rsidRPr="00707076">
        <w:rPr>
          <w:rFonts w:ascii="Times New Roman" w:hAnsi="Times New Roman" w:cs="Times New Roman"/>
        </w:rPr>
        <w:t xml:space="preserve"> PES ha sigut objecte de modificació, fins a esta data, per Resolució de 5 de març de 2025 i Resolució de 19 de maig de 2025, sent imminent l'aprovació i publicació d'una nova modificació.</w:t>
      </w:r>
    </w:p>
    <w:p w14:paraId="5B16E188"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Així mateix, d’acord amb l’article 164.e de la dita Llei 1/2015, en el cas que les bases tinguen naturalesa d’acte administratiu, es podran aprovar conjuntament les bases i la convocatòria quan així ho considere el centre directiu que ho propose, previ informe justificatiu, en atenció a l’especificitat, material o temporal, de les ajudes que es vullguen atorgar.</w:t>
      </w:r>
    </w:p>
    <w:p w14:paraId="17D7116D"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Les circumstàncies excepcionals descrites prèviament i la urgent necessitat de donar una resposta immediata a les entitats locals i empreses afectades justifiquen la concessió d’estes ajudes i l’aprovació conjunta de la convocatòria per al present exercici 2025.</w:t>
      </w:r>
    </w:p>
    <w:p w14:paraId="30C42F1B"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Per tot això, la Conselleria d’Innovació, Indústria, Comerç i Turisme, com a departament del Consell competent, a través de la present resolució, establix les bases reguladores i la convocatòria conjunta de les ajudes, en règim de concurrència competitiva, destinades a impulsar i fomentar la competitivitat, la innovació, la modernització i la sostenibilitat dels </w:t>
      </w:r>
      <w:r w:rsidRPr="00707076">
        <w:rPr>
          <w:rFonts w:ascii="Times New Roman" w:hAnsi="Times New Roman" w:cs="Times New Roman"/>
        </w:rPr>
        <w:lastRenderedPageBreak/>
        <w:t>sectors del comerç i l’artesania en la zona afectada per la DANA i la recuperació i reactivació econòmica de la zona.</w:t>
      </w:r>
    </w:p>
    <w:p w14:paraId="714FF499" w14:textId="77777777" w:rsidR="006432B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Per tot això, i en virtut de la competència atribuïda per l’article 165.1 de l’LHPS, en relació amb el Decret 17/2024, de 12 de juliol, del president de la Generalitat, pel qual es determinen el nombre i la denominació de les conselleries i les seues atribucions, i el Decret 226/2023, de 19 de desembre, del Consell, pel qual s’aprova el Reglament orgànic i funcional de la Conselleria d’Innovació, Indústria, Comerç i Turisme, </w:t>
      </w:r>
    </w:p>
    <w:p w14:paraId="236790F6" w14:textId="77777777" w:rsidR="006432B6" w:rsidRPr="00707076" w:rsidRDefault="006432B6" w:rsidP="006432B6">
      <w:pPr>
        <w:pStyle w:val="Standard"/>
        <w:spacing w:line="360" w:lineRule="auto"/>
        <w:jc w:val="both"/>
        <w:rPr>
          <w:rFonts w:ascii="Times New Roman" w:hAnsi="Times New Roman" w:cs="Times New Roman"/>
        </w:rPr>
      </w:pPr>
    </w:p>
    <w:p w14:paraId="5730FF1D" w14:textId="77777777" w:rsidR="006432B6" w:rsidRPr="00707076" w:rsidRDefault="006432B6" w:rsidP="006432B6">
      <w:pPr>
        <w:pStyle w:val="Standard"/>
        <w:spacing w:line="360" w:lineRule="auto"/>
        <w:jc w:val="center"/>
        <w:rPr>
          <w:rFonts w:ascii="Times New Roman" w:hAnsi="Times New Roman" w:cs="Times New Roman"/>
        </w:rPr>
      </w:pPr>
      <w:r w:rsidRPr="00707076">
        <w:rPr>
          <w:rFonts w:ascii="Times New Roman" w:hAnsi="Times New Roman" w:cs="Times New Roman"/>
        </w:rPr>
        <w:t>RESOLC</w:t>
      </w:r>
    </w:p>
    <w:p w14:paraId="0DB7DBE5"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Primer. Objecte</w:t>
      </w:r>
    </w:p>
    <w:p w14:paraId="617BAA4B"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1. Aprovar les bases reguladores i establir el procediment per a concedir, en règim de concurrència competitiva, ajudes dirigides a reactivar l’activitat econòmica en el comerç de proximitat i l’artesania local en l’àmbit territorial de les entitats locals afectades per la DANA iniciada en la Comunitat Valenciana el dia 29 d’octubre de 2024.</w:t>
      </w:r>
    </w:p>
    <w:p w14:paraId="6040F1BC"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2. Convocar les subvencions dirigides a reactivar l’activitat econòmica en el comerç de proximitat i l’artesania local en l’àmbit territorial de les entitats locals afectades per la DANA iniciada en la Comunitat Valenciana el dia 29 d’octubre de 2024.</w:t>
      </w:r>
    </w:p>
    <w:p w14:paraId="3686A81E"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Segon. Finançament</w:t>
      </w:r>
    </w:p>
    <w:p w14:paraId="66EC532C"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Les ajudes convocades per al present exercici 2025 es finançaran amb càrrec a les corresponents línies de subvenció habilitades a este efecte en els respectius annexos de transferències corrents i de capital del pressupost de la Generalitat, per un import total de 21.000.000 d’euros, i per a l’exercici 2026, 5.000.000 d’euros per al cas de les ajudes a la inversió de caràcter plurianual, condicionat a l’existència de crèdit adequat i suficient.</w:t>
      </w:r>
    </w:p>
    <w:p w14:paraId="133FBBBE"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Tercer. Habilitació</w:t>
      </w:r>
    </w:p>
    <w:p w14:paraId="0F122C10"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Es faculta la persona titular de la Direcció General de Comerç, Artesania i Consum a dictar totes les resolucions i instruccions que calguen per a interpretar, desplegar i executar esta resolució i les convocatòries corresponents.</w:t>
      </w:r>
    </w:p>
    <w:p w14:paraId="47311297"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Quart. Entrada en vigor</w:t>
      </w:r>
    </w:p>
    <w:p w14:paraId="40A30E36" w14:textId="77777777" w:rsidR="006432B6" w:rsidRPr="0070707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Esta resolució entrarà en vigor l’endemà de publicar-se en el Diari Oficial de la Generalitat Valenciana.</w:t>
      </w:r>
    </w:p>
    <w:p w14:paraId="4A6501E9" w14:textId="77777777" w:rsidR="006432B6" w:rsidRDefault="006432B6" w:rsidP="006432B6">
      <w:pPr>
        <w:pStyle w:val="Standard"/>
        <w:spacing w:line="360" w:lineRule="auto"/>
        <w:jc w:val="both"/>
        <w:rPr>
          <w:rFonts w:ascii="Times New Roman" w:hAnsi="Times New Roman" w:cs="Times New Roman"/>
        </w:rPr>
      </w:pPr>
      <w:r w:rsidRPr="00707076">
        <w:rPr>
          <w:rFonts w:ascii="Times New Roman" w:hAnsi="Times New Roman" w:cs="Times New Roman"/>
        </w:rPr>
        <w:t xml:space="preserve">Contra esta resolució es podrà interposar un recurs contenciós administratiu a la Sala Contenciosa Administrativa del Tribunal Superior de Justícia de la Comunitat Valenciana, en el termini de dos mesos comptats a partir de l’endemà de publicar-se, d’acord amb el que establixen els articles 10 i 46 de la Llei 29/1998, de 13 de juliol, </w:t>
      </w:r>
      <w:r w:rsidRPr="00707076">
        <w:rPr>
          <w:rFonts w:ascii="Times New Roman" w:hAnsi="Times New Roman" w:cs="Times New Roman"/>
        </w:rPr>
        <w:lastRenderedPageBreak/>
        <w:t>reguladora de la jurisdicció contenciosa administrativa o, potestativament, un recurs de reposició a la consellera d’Innovació, Indústria, Comerç i Turisme, en el termini d’un mes comptat a partir de l’endemà de publicar-se, d’acord amb els articles 123 i 124 de la Llei 39/2015, d’1 d’octubre, del procediment administratiu comú i de les administracions públiques.</w:t>
      </w:r>
    </w:p>
    <w:p w14:paraId="20072EC0" w14:textId="77777777" w:rsidR="006432B6" w:rsidRPr="00707076" w:rsidRDefault="006432B6" w:rsidP="006432B6">
      <w:pPr>
        <w:pStyle w:val="Standard"/>
        <w:spacing w:line="360" w:lineRule="auto"/>
        <w:jc w:val="both"/>
        <w:rPr>
          <w:rFonts w:ascii="Times New Roman" w:hAnsi="Times New Roman" w:cs="Times New Roman"/>
        </w:rPr>
      </w:pPr>
    </w:p>
    <w:p w14:paraId="4E992CD4" w14:textId="77777777" w:rsidR="006432B6" w:rsidRDefault="006432B6" w:rsidP="006432B6">
      <w:pPr>
        <w:pStyle w:val="Standard"/>
        <w:spacing w:line="360" w:lineRule="auto"/>
        <w:rPr>
          <w:rFonts w:ascii="Times New Roman" w:hAnsi="Times New Roman" w:cs="Times New Roman"/>
        </w:rPr>
      </w:pPr>
      <w:r w:rsidRPr="00707076">
        <w:rPr>
          <w:rFonts w:ascii="Times New Roman" w:hAnsi="Times New Roman" w:cs="Times New Roman"/>
        </w:rPr>
        <w:t xml:space="preserve">València, </w:t>
      </w:r>
      <w:r>
        <w:rPr>
          <w:rFonts w:ascii="Times New Roman" w:hAnsi="Times New Roman" w:cs="Times New Roman"/>
        </w:rPr>
        <w:t>31 de juliol de 2025</w:t>
      </w:r>
    </w:p>
    <w:p w14:paraId="655999E1" w14:textId="77777777" w:rsidR="006432B6" w:rsidRPr="00707076" w:rsidRDefault="006432B6" w:rsidP="006432B6">
      <w:pPr>
        <w:pStyle w:val="Standard"/>
        <w:spacing w:line="360" w:lineRule="auto"/>
        <w:rPr>
          <w:rFonts w:ascii="Times New Roman" w:hAnsi="Times New Roman" w:cs="Times New Roman"/>
        </w:rPr>
      </w:pPr>
      <w:r>
        <w:rPr>
          <w:rFonts w:ascii="Times New Roman" w:hAnsi="Times New Roman" w:cs="Times New Roman"/>
        </w:rPr>
        <w:t>Marian Cano García</w:t>
      </w:r>
    </w:p>
    <w:p w14:paraId="397136EA" w14:textId="77777777" w:rsidR="006432B6" w:rsidRPr="00707076" w:rsidRDefault="006432B6" w:rsidP="006432B6">
      <w:pPr>
        <w:pStyle w:val="Standard"/>
        <w:spacing w:line="360" w:lineRule="auto"/>
        <w:rPr>
          <w:rFonts w:ascii="Times New Roman" w:hAnsi="Times New Roman" w:cs="Times New Roman"/>
        </w:rPr>
      </w:pPr>
      <w:r w:rsidRPr="00707076">
        <w:rPr>
          <w:rFonts w:ascii="Times New Roman" w:hAnsi="Times New Roman" w:cs="Times New Roman"/>
        </w:rPr>
        <w:t xml:space="preserve">La consellera d’Innovació, Indústria, Comerç i Turisme, </w:t>
      </w:r>
    </w:p>
    <w:sectPr w:rsidR="006432B6" w:rsidRPr="00707076" w:rsidSect="008636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B6"/>
    <w:rsid w:val="001B62DD"/>
    <w:rsid w:val="00242863"/>
    <w:rsid w:val="004C23C9"/>
    <w:rsid w:val="006432B6"/>
    <w:rsid w:val="00863668"/>
    <w:rsid w:val="00B90C44"/>
    <w:rsid w:val="00C57C36"/>
    <w:rsid w:val="00C6705D"/>
    <w:rsid w:val="00DC343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736A"/>
  <w15:chartTrackingRefBased/>
  <w15:docId w15:val="{F48A4540-9438-457F-94CA-6E7DDFFCC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2B6"/>
    <w:pPr>
      <w:widowControl w:val="0"/>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paragraph" w:styleId="Ttulo1">
    <w:name w:val="heading 1"/>
    <w:basedOn w:val="Normal"/>
    <w:next w:val="Normal"/>
    <w:link w:val="Ttulo1Car"/>
    <w:uiPriority w:val="9"/>
    <w:qFormat/>
    <w:rsid w:val="00C6705D"/>
    <w:pPr>
      <w:keepNext/>
      <w:keepLines/>
      <w:widowControl/>
      <w:suppressAutoHyphens w:val="0"/>
      <w:autoSpaceDN/>
      <w:spacing w:before="240" w:line="259" w:lineRule="auto"/>
      <w:textAlignment w:val="auto"/>
      <w:outlineLvl w:val="0"/>
    </w:pPr>
    <w:rPr>
      <w:rFonts w:asciiTheme="majorHAnsi" w:eastAsiaTheme="majorEastAsia" w:hAnsiTheme="majorHAnsi" w:cstheme="majorBidi"/>
      <w:color w:val="0F4761" w:themeColor="accent1" w:themeShade="BF"/>
      <w:kern w:val="2"/>
      <w:sz w:val="32"/>
      <w:szCs w:val="32"/>
      <w:lang w:val="es-ES_tradnl"/>
      <w14:ligatures w14:val="standardContextual"/>
    </w:rPr>
  </w:style>
  <w:style w:type="paragraph" w:styleId="Ttulo2">
    <w:name w:val="heading 2"/>
    <w:basedOn w:val="Normal"/>
    <w:next w:val="Normal"/>
    <w:link w:val="Ttulo2Car"/>
    <w:uiPriority w:val="9"/>
    <w:semiHidden/>
    <w:unhideWhenUsed/>
    <w:qFormat/>
    <w:rsid w:val="006432B6"/>
    <w:pPr>
      <w:keepNext/>
      <w:keepLines/>
      <w:widowControl/>
      <w:suppressAutoHyphens w:val="0"/>
      <w:autoSpaceDN/>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val="es-ES_tradnl"/>
      <w14:ligatures w14:val="standardContextual"/>
    </w:rPr>
  </w:style>
  <w:style w:type="paragraph" w:styleId="Ttulo3">
    <w:name w:val="heading 3"/>
    <w:basedOn w:val="Normal"/>
    <w:next w:val="Normal"/>
    <w:link w:val="Ttulo3Car"/>
    <w:uiPriority w:val="9"/>
    <w:semiHidden/>
    <w:unhideWhenUsed/>
    <w:qFormat/>
    <w:rsid w:val="006432B6"/>
    <w:pPr>
      <w:keepNext/>
      <w:keepLines/>
      <w:widowControl/>
      <w:suppressAutoHyphens w:val="0"/>
      <w:autoSpaceDN/>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val="es-ES_tradnl"/>
      <w14:ligatures w14:val="standardContextual"/>
    </w:rPr>
  </w:style>
  <w:style w:type="paragraph" w:styleId="Ttulo4">
    <w:name w:val="heading 4"/>
    <w:basedOn w:val="Normal"/>
    <w:next w:val="Normal"/>
    <w:link w:val="Ttulo4Car"/>
    <w:uiPriority w:val="9"/>
    <w:semiHidden/>
    <w:unhideWhenUsed/>
    <w:qFormat/>
    <w:rsid w:val="006432B6"/>
    <w:pPr>
      <w:keepNext/>
      <w:keepLines/>
      <w:widowControl/>
      <w:suppressAutoHyphens w:val="0"/>
      <w:autoSpaceDN/>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val="es-ES_tradnl"/>
      <w14:ligatures w14:val="standardContextual"/>
    </w:rPr>
  </w:style>
  <w:style w:type="paragraph" w:styleId="Ttulo5">
    <w:name w:val="heading 5"/>
    <w:basedOn w:val="Normal"/>
    <w:next w:val="Normal"/>
    <w:link w:val="Ttulo5Car"/>
    <w:uiPriority w:val="9"/>
    <w:semiHidden/>
    <w:unhideWhenUsed/>
    <w:qFormat/>
    <w:rsid w:val="006432B6"/>
    <w:pPr>
      <w:keepNext/>
      <w:keepLines/>
      <w:widowControl/>
      <w:suppressAutoHyphens w:val="0"/>
      <w:autoSpaceDN/>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val="es-ES_tradnl"/>
      <w14:ligatures w14:val="standardContextual"/>
    </w:rPr>
  </w:style>
  <w:style w:type="paragraph" w:styleId="Ttulo6">
    <w:name w:val="heading 6"/>
    <w:basedOn w:val="Normal"/>
    <w:next w:val="Normal"/>
    <w:link w:val="Ttulo6Car"/>
    <w:uiPriority w:val="9"/>
    <w:semiHidden/>
    <w:unhideWhenUsed/>
    <w:qFormat/>
    <w:rsid w:val="006432B6"/>
    <w:pPr>
      <w:keepNext/>
      <w:keepLines/>
      <w:widowControl/>
      <w:suppressAutoHyphens w:val="0"/>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val="es-ES_tradnl"/>
      <w14:ligatures w14:val="standardContextual"/>
    </w:rPr>
  </w:style>
  <w:style w:type="paragraph" w:styleId="Ttulo7">
    <w:name w:val="heading 7"/>
    <w:basedOn w:val="Normal"/>
    <w:next w:val="Normal"/>
    <w:link w:val="Ttulo7Car"/>
    <w:uiPriority w:val="9"/>
    <w:semiHidden/>
    <w:unhideWhenUsed/>
    <w:qFormat/>
    <w:rsid w:val="006432B6"/>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es-ES_tradnl"/>
      <w14:ligatures w14:val="standardContextual"/>
    </w:rPr>
  </w:style>
  <w:style w:type="paragraph" w:styleId="Ttulo8">
    <w:name w:val="heading 8"/>
    <w:basedOn w:val="Normal"/>
    <w:next w:val="Normal"/>
    <w:link w:val="Ttulo8Car"/>
    <w:uiPriority w:val="9"/>
    <w:semiHidden/>
    <w:unhideWhenUsed/>
    <w:qFormat/>
    <w:rsid w:val="006432B6"/>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es-ES_tradnl"/>
      <w14:ligatures w14:val="standardContextual"/>
    </w:rPr>
  </w:style>
  <w:style w:type="paragraph" w:styleId="Ttulo9">
    <w:name w:val="heading 9"/>
    <w:basedOn w:val="Normal"/>
    <w:next w:val="Normal"/>
    <w:link w:val="Ttulo9Car"/>
    <w:uiPriority w:val="9"/>
    <w:semiHidden/>
    <w:unhideWhenUsed/>
    <w:qFormat/>
    <w:rsid w:val="006432B6"/>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val="es-ES_tradnl"/>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accesible">
    <w:name w:val="Estilo accesible"/>
    <w:basedOn w:val="Ttulo1"/>
    <w:link w:val="EstiloaccesibleCar"/>
    <w:qFormat/>
    <w:rsid w:val="00C6705D"/>
    <w:pPr>
      <w:suppressAutoHyphens/>
      <w:spacing w:before="360" w:after="120" w:line="360" w:lineRule="auto"/>
    </w:pPr>
    <w:rPr>
      <w:rFonts w:ascii="Calibri" w:hAnsi="Calibri"/>
      <w:b/>
      <w:sz w:val="28"/>
    </w:rPr>
  </w:style>
  <w:style w:type="character" w:customStyle="1" w:styleId="EstiloaccesibleCar">
    <w:name w:val="Estilo accesible Car"/>
    <w:basedOn w:val="Ttulo1Car"/>
    <w:link w:val="Estiloaccesible"/>
    <w:rsid w:val="00C6705D"/>
    <w:rPr>
      <w:rFonts w:ascii="Calibri" w:eastAsiaTheme="majorEastAsia" w:hAnsi="Calibri" w:cstheme="majorBidi"/>
      <w:b/>
      <w:color w:val="0F4761" w:themeColor="accent1" w:themeShade="BF"/>
      <w:sz w:val="28"/>
      <w:szCs w:val="32"/>
    </w:rPr>
  </w:style>
  <w:style w:type="character" w:customStyle="1" w:styleId="Ttulo1Car">
    <w:name w:val="Título 1 Car"/>
    <w:basedOn w:val="Fuentedeprrafopredeter"/>
    <w:link w:val="Ttulo1"/>
    <w:uiPriority w:val="9"/>
    <w:rsid w:val="00C6705D"/>
    <w:rPr>
      <w:rFonts w:asciiTheme="majorHAnsi" w:eastAsiaTheme="majorEastAsia" w:hAnsiTheme="majorHAnsi" w:cstheme="majorBidi"/>
      <w:color w:val="0F4761" w:themeColor="accent1" w:themeShade="BF"/>
      <w:sz w:val="32"/>
      <w:szCs w:val="32"/>
    </w:rPr>
  </w:style>
  <w:style w:type="character" w:customStyle="1" w:styleId="Ttulo2Car">
    <w:name w:val="Título 2 Car"/>
    <w:basedOn w:val="Fuentedeprrafopredeter"/>
    <w:link w:val="Ttulo2"/>
    <w:uiPriority w:val="9"/>
    <w:semiHidden/>
    <w:rsid w:val="006432B6"/>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6432B6"/>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6432B6"/>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6432B6"/>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6432B6"/>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6432B6"/>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6432B6"/>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6432B6"/>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6432B6"/>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val="es-ES_tradnl"/>
      <w14:ligatures w14:val="standardContextual"/>
    </w:rPr>
  </w:style>
  <w:style w:type="character" w:customStyle="1" w:styleId="TtuloCar">
    <w:name w:val="Título Car"/>
    <w:basedOn w:val="Fuentedeprrafopredeter"/>
    <w:link w:val="Ttulo"/>
    <w:uiPriority w:val="10"/>
    <w:rsid w:val="006432B6"/>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6432B6"/>
    <w:pPr>
      <w:widowControl/>
      <w:numPr>
        <w:ilvl w:val="1"/>
      </w:numPr>
      <w:suppressAutoHyphens w:val="0"/>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val="es-ES_tradnl"/>
      <w14:ligatures w14:val="standardContextual"/>
    </w:rPr>
  </w:style>
  <w:style w:type="character" w:customStyle="1" w:styleId="SubttuloCar">
    <w:name w:val="Subtítulo Car"/>
    <w:basedOn w:val="Fuentedeprrafopredeter"/>
    <w:link w:val="Subttulo"/>
    <w:uiPriority w:val="11"/>
    <w:rsid w:val="006432B6"/>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6432B6"/>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es-ES_tradnl"/>
      <w14:ligatures w14:val="standardContextual"/>
    </w:rPr>
  </w:style>
  <w:style w:type="character" w:customStyle="1" w:styleId="CitaCar">
    <w:name w:val="Cita Car"/>
    <w:basedOn w:val="Fuentedeprrafopredeter"/>
    <w:link w:val="Cita"/>
    <w:uiPriority w:val="29"/>
    <w:rsid w:val="006432B6"/>
    <w:rPr>
      <w:i/>
      <w:iCs/>
      <w:color w:val="404040" w:themeColor="text1" w:themeTint="BF"/>
      <w:lang w:val="es-ES_tradnl"/>
    </w:rPr>
  </w:style>
  <w:style w:type="paragraph" w:styleId="Prrafodelista">
    <w:name w:val="List Paragraph"/>
    <w:basedOn w:val="Normal"/>
    <w:uiPriority w:val="34"/>
    <w:qFormat/>
    <w:rsid w:val="006432B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s-ES_tradnl"/>
      <w14:ligatures w14:val="standardContextual"/>
    </w:rPr>
  </w:style>
  <w:style w:type="character" w:styleId="nfasisintenso">
    <w:name w:val="Intense Emphasis"/>
    <w:basedOn w:val="Fuentedeprrafopredeter"/>
    <w:uiPriority w:val="21"/>
    <w:qFormat/>
    <w:rsid w:val="006432B6"/>
    <w:rPr>
      <w:i/>
      <w:iCs/>
      <w:color w:val="0F4761" w:themeColor="accent1" w:themeShade="BF"/>
    </w:rPr>
  </w:style>
  <w:style w:type="paragraph" w:styleId="Citadestacada">
    <w:name w:val="Intense Quote"/>
    <w:basedOn w:val="Normal"/>
    <w:next w:val="Normal"/>
    <w:link w:val="CitadestacadaCar"/>
    <w:uiPriority w:val="30"/>
    <w:qFormat/>
    <w:rsid w:val="006432B6"/>
    <w:pPr>
      <w:widowControl/>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val="es-ES_tradnl"/>
      <w14:ligatures w14:val="standardContextual"/>
    </w:rPr>
  </w:style>
  <w:style w:type="character" w:customStyle="1" w:styleId="CitadestacadaCar">
    <w:name w:val="Cita destacada Car"/>
    <w:basedOn w:val="Fuentedeprrafopredeter"/>
    <w:link w:val="Citadestacada"/>
    <w:uiPriority w:val="30"/>
    <w:rsid w:val="006432B6"/>
    <w:rPr>
      <w:i/>
      <w:iCs/>
      <w:color w:val="0F4761" w:themeColor="accent1" w:themeShade="BF"/>
      <w:lang w:val="es-ES_tradnl"/>
    </w:rPr>
  </w:style>
  <w:style w:type="character" w:styleId="Referenciaintensa">
    <w:name w:val="Intense Reference"/>
    <w:basedOn w:val="Fuentedeprrafopredeter"/>
    <w:uiPriority w:val="32"/>
    <w:qFormat/>
    <w:rsid w:val="006432B6"/>
    <w:rPr>
      <w:b/>
      <w:bCs/>
      <w:smallCaps/>
      <w:color w:val="0F4761" w:themeColor="accent1" w:themeShade="BF"/>
      <w:spacing w:val="5"/>
    </w:rPr>
  </w:style>
  <w:style w:type="paragraph" w:customStyle="1" w:styleId="Standard">
    <w:name w:val="Standard"/>
    <w:rsid w:val="006432B6"/>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2101</Words>
  <Characters>11560</Characters>
  <Application>Microsoft Office Word</Application>
  <DocSecurity>0</DocSecurity>
  <Lines>96</Lines>
  <Paragraphs>27</Paragraphs>
  <ScaleCrop>false</ScaleCrop>
  <Company>Generalitat Valenciana</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MONTESINOS ARTUÑEDO, Mª LUISA</dc:creator>
  <cp:keywords/>
  <dc:description/>
  <cp:lastModifiedBy>MONTESINOS ARTUÑEDO, Mª LUISA</cp:lastModifiedBy>
  <cp:revision>1</cp:revision>
  <dcterms:created xsi:type="dcterms:W3CDTF">2025-07-31T12:55:00Z</dcterms:created>
  <dcterms:modified xsi:type="dcterms:W3CDTF">2025-07-31T12:57:00Z</dcterms:modified>
</cp:coreProperties>
</file>