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76" w:before="280" w:after="120"/>
        <w:jc w:val="both"/>
        <w:rPr>
          <w:lang w:val="es-ES"/>
        </w:rPr>
      </w:pPr>
      <w:r>
        <w:rPr>
          <w:rFonts w:ascii="Brother 1816" w:hAnsi="Brother 1816"/>
          <w:b/>
          <w:bCs/>
          <w:lang w:val="es-ES"/>
        </w:rPr>
        <w:t xml:space="preserve">CONVENIO DE COLABORACIÓN PARA </w:t>
      </w:r>
      <w:r>
        <w:rPr>
          <w:rFonts w:ascii="Brother 1816" w:hAnsi="Brother 1816"/>
          <w:b/>
          <w:bCs/>
          <w:lang w:val="es-ES"/>
        </w:rPr>
        <w:t>LA</w:t>
      </w:r>
      <w:r>
        <w:rPr>
          <w:rFonts w:ascii="Brother 1816" w:hAnsi="Brother 1816"/>
          <w:b/>
          <w:bCs/>
          <w:lang w:val="es-ES"/>
        </w:rPr>
        <w:t xml:space="preserve"> CONCESIÓN D</w:t>
      </w:r>
      <w:r>
        <w:rPr>
          <w:rFonts w:ascii="Brother 1816" w:hAnsi="Brother 1816"/>
          <w:b/>
          <w:bCs/>
          <w:lang w:val="es-ES"/>
        </w:rPr>
        <w:t xml:space="preserve">E </w:t>
      </w:r>
      <w:r>
        <w:rPr>
          <w:rFonts w:ascii="Brother 1816" w:hAnsi="Brother 1816"/>
          <w:b/>
          <w:bCs/>
          <w:lang w:val="es-ES"/>
        </w:rPr>
        <w:t>UN</w:t>
      </w:r>
      <w:r>
        <w:rPr>
          <w:rFonts w:ascii="Brother 1816" w:hAnsi="Brother 1816"/>
          <w:b/>
          <w:bCs/>
          <w:lang w:val="es-ES"/>
        </w:rPr>
        <w:t xml:space="preserve">A SUBVENCIÓN DIRECTA DE CARÁCTER EXCEPCIONAL POR PARTE DEL AYUNTAMIENTO DE PONTEAREAS A </w:t>
      </w:r>
      <w:r>
        <w:rPr>
          <w:rFonts w:ascii="Brother 1816" w:hAnsi="Brother 1816"/>
          <w:b/>
          <w:bCs/>
          <w:lang w:val="es-ES"/>
        </w:rPr>
        <w:t>FAVOR</w:t>
      </w:r>
      <w:r>
        <w:rPr>
          <w:rFonts w:ascii="Brother 1816" w:hAnsi="Brother 1816"/>
          <w:b/>
          <w:bCs/>
          <w:color w:val="auto"/>
          <w:lang w:val="es-ES"/>
        </w:rPr>
        <w:t xml:space="preserve"> D</w:t>
      </w:r>
      <w:r>
        <w:rPr>
          <w:rFonts w:ascii="Brother 1816" w:hAnsi="Brother 1816"/>
          <w:b/>
          <w:bCs/>
          <w:color w:val="auto"/>
          <w:lang w:val="es-ES"/>
        </w:rPr>
        <w:t>E LA</w:t>
      </w:r>
      <w:r>
        <w:rPr>
          <w:rFonts w:ascii="Brother 1816" w:hAnsi="Brother 1816"/>
          <w:b/>
          <w:bCs/>
          <w:lang w:val="es-ES"/>
        </w:rPr>
        <w:t xml:space="preserve"> COMUNIDAD DE MONTES VECINALES EN MANO COMÚN DE XINZO PARA El MANTENIMIENTO DEL ASCENSOR Y SALVAESCALEIRAS DEL EDIFICIO DEL CENTRO CULTURAL XINZO</w:t>
      </w:r>
    </w:p>
    <w:p>
      <w:pPr>
        <w:pStyle w:val="Normal"/>
        <w:spacing w:lineRule="auto" w:line="276" w:before="280" w:after="120"/>
        <w:jc w:val="center"/>
        <w:rPr>
          <w:lang w:val="es-ES"/>
        </w:rPr>
      </w:pPr>
      <w:r>
        <w:rPr>
          <w:rFonts w:ascii="Brother 1816" w:hAnsi="Brother 1816"/>
          <w:b/>
          <w:lang w:val="es-ES"/>
        </w:rPr>
        <w:t>REUNIDOS</w:t>
      </w:r>
    </w:p>
    <w:p>
      <w:pPr>
        <w:pStyle w:val="Normal"/>
        <w:spacing w:lineRule="auto" w:line="276" w:before="280" w:after="120"/>
        <w:jc w:val="center"/>
        <w:rPr>
          <w:rFonts w:ascii="Brother 1816" w:hAnsi="Brother 1816"/>
          <w:lang w:val="es-ES"/>
        </w:rPr>
      </w:pPr>
      <w:r>
        <w:rPr>
          <w:rFonts w:ascii="Brother 1816" w:hAnsi="Brother 1816"/>
          <w:lang w:val="es-ES"/>
        </w:rPr>
      </w:r>
    </w:p>
    <w:p>
      <w:pPr>
        <w:pStyle w:val="Normal"/>
        <w:bidi w:val="0"/>
        <w:spacing w:lineRule="auto" w:line="276" w:before="57" w:after="57"/>
        <w:ind w:left="0" w:right="0" w:hanging="0"/>
        <w:jc w:val="both"/>
        <w:rPr>
          <w:lang w:val="es-ES"/>
        </w:rPr>
      </w:pPr>
      <w:r>
        <w:rPr>
          <w:rFonts w:cs="Brother 1816" w:ascii="Brother 1816" w:hAnsi="Brother 1816"/>
          <w:color w:val="000000"/>
          <w:sz w:val="22"/>
          <w:szCs w:val="22"/>
          <w:lang w:val="es-ES" w:bidi="hi-IN"/>
        </w:rPr>
        <w:t xml:space="preserve">De una parte, don JUAN CARLOS GONZÁLEZ CARRERA, con DNI 35561703T, 1º </w:t>
      </w:r>
      <w:r>
        <w:rPr>
          <w:rFonts w:cs="Brother 1816" w:ascii="Brother 1816" w:hAnsi="Brother 1816"/>
          <w:color w:val="000000"/>
          <w:sz w:val="22"/>
          <w:szCs w:val="22"/>
          <w:lang w:val="es-ES" w:bidi="hi-IN"/>
        </w:rPr>
        <w:t>T</w:t>
      </w:r>
      <w:r>
        <w:rPr>
          <w:rFonts w:cs="Brother 1816" w:ascii="Brother 1816" w:hAnsi="Brother 1816"/>
          <w:color w:val="000000"/>
          <w:sz w:val="22"/>
          <w:szCs w:val="22"/>
          <w:lang w:val="es-ES" w:bidi="hi-IN"/>
        </w:rPr>
        <w:t>te. de la alcaldesa del Ayuntamiento de Ponteareas, que tiene la competencia delegada mediante Decreto de Alcaldía núm. 2023-2084, de 19 de octubre de 2023,  que interviene en nombre del Ayuntamiento de Ponteareas</w:t>
      </w:r>
    </w:p>
    <w:p>
      <w:pPr>
        <w:pStyle w:val="Normal"/>
        <w:spacing w:lineRule="auto" w:line="276" w:before="280" w:after="120"/>
        <w:jc w:val="both"/>
        <w:rPr>
          <w:lang w:val="es-ES"/>
        </w:rPr>
      </w:pPr>
      <w:r>
        <w:rPr>
          <w:rFonts w:ascii="Brother 1816" w:hAnsi="Brother 1816"/>
          <w:sz w:val="22"/>
          <w:szCs w:val="22"/>
          <w:lang w:val="es-ES"/>
        </w:rPr>
        <w:t>De otra parte, don José Manuel Lorenzo Varela, que interviene en el nombre y representación de la COMUNIDAD DE MONTES VECINALES EN MANO COMÚN DE XINZO (en adelante, CMVMC de Xinzo), con CIF V36021756 y dirección a efectos de notificaciones en Edificio Centro Cultural Xinzo, Lugar La Portela, 34 en la parroquia de Xinzo - Ponteareas,</w:t>
      </w:r>
      <w:r>
        <w:rPr>
          <w:rFonts w:ascii="Brother 1816" w:hAnsi="Brother 1816"/>
          <w:sz w:val="22"/>
          <w:szCs w:val="22"/>
          <w:shd w:fill="auto" w:val="clear"/>
          <w:lang w:val="es-ES"/>
        </w:rPr>
        <w:t xml:space="preserve"> y con capacidad legal en base al acuerdo tomado por la Asamblea General de la Comunidad en el día 22 de enero del 2022.</w:t>
      </w:r>
    </w:p>
    <w:p>
      <w:pPr>
        <w:pStyle w:val="Normal"/>
        <w:spacing w:lineRule="auto" w:line="276" w:before="280" w:after="120"/>
        <w:jc w:val="both"/>
        <w:rPr>
          <w:lang w:val="es-ES"/>
        </w:rPr>
      </w:pPr>
      <w:r>
        <w:rPr>
          <w:rFonts w:ascii="Brother 1816" w:hAnsi="Brother 1816"/>
          <w:sz w:val="22"/>
          <w:szCs w:val="22"/>
          <w:lang w:val="es-ES"/>
        </w:rPr>
        <w:t>A</w:t>
      </w:r>
      <w:r>
        <w:rPr>
          <w:rFonts w:ascii="Brother 1816" w:hAnsi="Brother 1816"/>
          <w:sz w:val="22"/>
          <w:szCs w:val="22"/>
          <w:lang w:val="es-ES"/>
        </w:rPr>
        <w:t xml:space="preserve">mbas partes se reconocen con capacidad de sobra para formalizar el presente convenio. </w:t>
      </w:r>
    </w:p>
    <w:p>
      <w:pPr>
        <w:pStyle w:val="Normal"/>
        <w:spacing w:lineRule="auto" w:line="276" w:before="280" w:after="120"/>
        <w:jc w:val="center"/>
        <w:rPr>
          <w:lang w:val="es-ES"/>
        </w:rPr>
      </w:pPr>
      <w:r>
        <w:rPr>
          <w:rFonts w:ascii="Brother 1816" w:hAnsi="Brother 1816"/>
          <w:b/>
          <w:lang w:val="es-ES"/>
        </w:rPr>
        <w:t>EXPONEN y ACUERDAN:</w:t>
      </w:r>
    </w:p>
    <w:p>
      <w:pPr>
        <w:pStyle w:val="Normal"/>
        <w:spacing w:lineRule="auto" w:line="276" w:before="280" w:after="120"/>
        <w:jc w:val="both"/>
        <w:rPr>
          <w:lang w:val="es-ES"/>
        </w:rPr>
      </w:pPr>
      <w:r>
        <w:rPr>
          <w:rFonts w:ascii="Brother 1816" w:hAnsi="Brother 1816"/>
          <w:b w:val="false"/>
          <w:bCs w:val="false"/>
          <w:lang w:val="es-ES"/>
        </w:rPr>
        <w:t>1.- Vista la memoria justificativa firmada por el Concejal de Cultura, Juan Carlos González Carrera</w:t>
      </w:r>
    </w:p>
    <w:p>
      <w:pPr>
        <w:pStyle w:val="Normal"/>
        <w:widowControl/>
        <w:suppressAutoHyphens w:val="true"/>
        <w:bidi w:val="0"/>
        <w:spacing w:lineRule="auto" w:line="240" w:before="0" w:after="0"/>
        <w:ind w:left="680" w:right="0" w:hanging="0"/>
        <w:jc w:val="both"/>
        <w:rPr>
          <w:lang w:val="es-ES"/>
        </w:rPr>
      </w:pPr>
      <w:r>
        <w:rPr>
          <w:rFonts w:eastAsia="Calibri" w:cs="Brother 1816" w:ascii="Brother 1816" w:hAnsi="Brother 1816"/>
          <w:b w:val="false"/>
          <w:bCs w:val="false"/>
          <w:i/>
          <w:iCs/>
          <w:color w:val="auto"/>
          <w:kern w:val="0"/>
          <w:sz w:val="18"/>
          <w:szCs w:val="18"/>
          <w:lang w:val="es-ES" w:eastAsia="zh-CN" w:bidi="ar-SA"/>
        </w:rPr>
        <w:t xml:space="preserve">La CMVMC de Xinzo es la entidad propietaria del Centro Cultural Xinzo. Esta entidad financió en su momento la construcción de este edificio, sin embargo, desde su inauguración este Centro Cultural está abierto a todo el público, no estando limitado su acceso a ningún condicionante social ni económico. Esto significa que funciona subsidiariamente como un edificio público con gran actividad social. </w:t>
      </w:r>
    </w:p>
    <w:p>
      <w:pPr>
        <w:pStyle w:val="Normal"/>
        <w:widowControl/>
        <w:suppressAutoHyphens w:val="true"/>
        <w:bidi w:val="0"/>
        <w:spacing w:lineRule="auto" w:line="240" w:before="0" w:after="0"/>
        <w:ind w:left="680" w:right="0" w:hanging="0"/>
        <w:jc w:val="both"/>
        <w:rPr>
          <w:rFonts w:ascii="Brother 1816" w:hAnsi="Brother 1816" w:eastAsia="Calibri" w:cs="Brother 1816"/>
          <w:b w:val="false"/>
          <w:b w:val="false"/>
          <w:bCs w:val="false"/>
          <w:i/>
          <w:i/>
          <w:iCs/>
          <w:color w:val="auto"/>
          <w:kern w:val="0"/>
          <w:sz w:val="18"/>
          <w:szCs w:val="18"/>
          <w:lang w:val="es-ES" w:eastAsia="zh-CN" w:bidi="ar-SA"/>
        </w:rPr>
      </w:pPr>
      <w:r>
        <w:rPr>
          <w:rFonts w:eastAsia="Calibri" w:cs="Brother 1816" w:ascii="Brother 1816" w:hAnsi="Brother 1816"/>
          <w:b w:val="false"/>
          <w:bCs w:val="false"/>
          <w:i/>
          <w:iCs/>
          <w:color w:val="auto"/>
          <w:kern w:val="0"/>
          <w:sz w:val="18"/>
          <w:szCs w:val="18"/>
          <w:lang w:val="es-ES" w:eastAsia="zh-CN" w:bidi="ar-SA"/>
        </w:rPr>
      </w:r>
    </w:p>
    <w:p>
      <w:pPr>
        <w:pStyle w:val="Normal"/>
        <w:widowControl/>
        <w:suppressAutoHyphens w:val="true"/>
        <w:bidi w:val="0"/>
        <w:spacing w:lineRule="auto" w:line="240" w:before="0" w:after="0"/>
        <w:ind w:left="680" w:right="0" w:hanging="0"/>
        <w:jc w:val="both"/>
        <w:rPr>
          <w:lang w:val="es-ES"/>
        </w:rPr>
      </w:pPr>
      <w:r>
        <w:rPr>
          <w:rFonts w:eastAsia="Calibri" w:cs="Brother 1816" w:ascii="Brother 1816" w:hAnsi="Brother 1816"/>
          <w:b w:val="false"/>
          <w:bCs w:val="false"/>
          <w:i/>
          <w:iCs/>
          <w:color w:val="auto"/>
          <w:kern w:val="0"/>
          <w:sz w:val="18"/>
          <w:szCs w:val="18"/>
          <w:lang w:val="es-ES" w:eastAsia="zh-CN" w:bidi="ar-SA"/>
        </w:rPr>
        <w:t>El propio Ayuntamiento de Ponteareas celebra y organiza actividades en el propio Centro Cultural Xinzo, siendo también sed de todos los procesos electorales.</w:t>
      </w:r>
    </w:p>
    <w:p>
      <w:pPr>
        <w:pStyle w:val="Normal"/>
        <w:widowControl/>
        <w:suppressAutoHyphens w:val="true"/>
        <w:bidi w:val="0"/>
        <w:spacing w:lineRule="auto" w:line="240" w:before="0" w:after="0"/>
        <w:ind w:left="680" w:right="0" w:hanging="0"/>
        <w:jc w:val="both"/>
        <w:rPr>
          <w:rFonts w:ascii="Brother 1816" w:hAnsi="Brother 1816" w:eastAsia="Calibri" w:cs="Brother 1816"/>
          <w:b w:val="false"/>
          <w:b w:val="false"/>
          <w:bCs w:val="false"/>
          <w:i/>
          <w:i/>
          <w:iCs/>
          <w:color w:val="auto"/>
          <w:kern w:val="0"/>
          <w:sz w:val="18"/>
          <w:szCs w:val="18"/>
          <w:lang w:val="es-ES" w:eastAsia="zh-CN" w:bidi="ar-SA"/>
        </w:rPr>
      </w:pPr>
      <w:r>
        <w:rPr>
          <w:rFonts w:eastAsia="Calibri" w:cs="Brother 1816" w:ascii="Brother 1816" w:hAnsi="Brother 1816"/>
          <w:b w:val="false"/>
          <w:bCs w:val="false"/>
          <w:i/>
          <w:iCs/>
          <w:color w:val="auto"/>
          <w:kern w:val="0"/>
          <w:sz w:val="18"/>
          <w:szCs w:val="18"/>
          <w:lang w:val="es-ES" w:eastAsia="zh-CN" w:bidi="ar-SA"/>
        </w:rPr>
      </w:r>
    </w:p>
    <w:p>
      <w:pPr>
        <w:pStyle w:val="Normal"/>
        <w:widowControl/>
        <w:suppressAutoHyphens w:val="true"/>
        <w:bidi w:val="0"/>
        <w:spacing w:lineRule="auto" w:line="240" w:before="0" w:after="0"/>
        <w:ind w:left="680" w:right="0" w:hanging="0"/>
        <w:jc w:val="both"/>
        <w:rPr>
          <w:lang w:val="es-ES"/>
        </w:rPr>
      </w:pPr>
      <w:r>
        <w:rPr>
          <w:rFonts w:eastAsia="Calibri" w:cs="Brother 1816" w:ascii="Brother 1816" w:hAnsi="Brother 1816"/>
          <w:b w:val="false"/>
          <w:bCs w:val="false"/>
          <w:i/>
          <w:iCs/>
          <w:color w:val="auto"/>
          <w:kern w:val="0"/>
          <w:sz w:val="18"/>
          <w:szCs w:val="18"/>
          <w:lang w:val="es-ES" w:eastAsia="zh-CN" w:bidi="ar-SA"/>
        </w:rPr>
        <w:t>Este Centro Cultural es el único edificio de estas características que es gestionado por una entidad privada. Esto justifica la convocatoria de esta subvención directa de carácter excepcional, porque se optáramos por la convocatoria de esta subvención en concurrencia competitiva, ninguna entidad análoga podría concurrir al no cumplir los requisitos de participación atendiendo exclusivamente a las suyas propias características.</w:t>
      </w:r>
    </w:p>
    <w:p>
      <w:pPr>
        <w:pStyle w:val="Normal"/>
        <w:widowControl/>
        <w:suppressAutoHyphens w:val="true"/>
        <w:bidi w:val="0"/>
        <w:spacing w:lineRule="auto" w:line="240" w:before="0" w:after="0"/>
        <w:ind w:left="680" w:right="0" w:hanging="0"/>
        <w:jc w:val="both"/>
        <w:rPr>
          <w:rFonts w:ascii="Brother 1816" w:hAnsi="Brother 1816" w:eastAsia="Calibri" w:cs="Brother 1816"/>
          <w:b w:val="false"/>
          <w:b w:val="false"/>
          <w:bCs w:val="false"/>
          <w:i/>
          <w:i/>
          <w:iCs/>
          <w:color w:val="auto"/>
          <w:kern w:val="0"/>
          <w:sz w:val="18"/>
          <w:szCs w:val="18"/>
          <w:lang w:val="es-ES" w:eastAsia="zh-CN" w:bidi="ar-SA"/>
        </w:rPr>
      </w:pPr>
      <w:r>
        <w:rPr>
          <w:rFonts w:eastAsia="Calibri" w:cs="Brother 1816" w:ascii="Brother 1816" w:hAnsi="Brother 1816"/>
          <w:b w:val="false"/>
          <w:bCs w:val="false"/>
          <w:i/>
          <w:iCs/>
          <w:color w:val="auto"/>
          <w:kern w:val="0"/>
          <w:sz w:val="18"/>
          <w:szCs w:val="18"/>
          <w:lang w:val="es-ES" w:eastAsia="zh-CN" w:bidi="ar-SA"/>
        </w:rPr>
      </w:r>
    </w:p>
    <w:p>
      <w:pPr>
        <w:pStyle w:val="Normal"/>
        <w:widowControl/>
        <w:suppressAutoHyphens w:val="true"/>
        <w:bidi w:val="0"/>
        <w:spacing w:lineRule="auto" w:line="240" w:before="0" w:after="0"/>
        <w:ind w:left="680" w:right="0" w:hanging="0"/>
        <w:jc w:val="both"/>
        <w:rPr>
          <w:lang w:val="es-ES"/>
        </w:rPr>
      </w:pPr>
      <w:r>
        <w:rPr>
          <w:rFonts w:eastAsia="Calibri" w:cs="Brother 1816" w:ascii="Brother 1816" w:hAnsi="Brother 1816"/>
          <w:b w:val="false"/>
          <w:bCs w:val="false"/>
          <w:i/>
          <w:iCs/>
          <w:color w:val="auto"/>
          <w:kern w:val="0"/>
          <w:sz w:val="18"/>
          <w:szCs w:val="18"/>
          <w:lang w:val="es-ES" w:eastAsia="zh-CN" w:bidi="ar-SA"/>
        </w:rPr>
        <w:t>El importe de la subvención es de 2.000,00 euros que estará regulado por un convenio nominativo que se firmará. Este importe deberá justificarse antes de 10 de noviembre de 2025.</w:t>
      </w:r>
    </w:p>
    <w:p>
      <w:pPr>
        <w:pStyle w:val="Normal"/>
        <w:widowControl/>
        <w:suppressAutoHyphens w:val="true"/>
        <w:bidi w:val="0"/>
        <w:spacing w:lineRule="auto" w:line="240" w:before="0" w:after="0"/>
        <w:ind w:left="680" w:right="0" w:hanging="0"/>
        <w:jc w:val="both"/>
        <w:rPr>
          <w:rFonts w:ascii="Brother 1816" w:hAnsi="Brother 1816" w:eastAsia="Calibri" w:cs="Brother 1816"/>
          <w:b w:val="false"/>
          <w:b w:val="false"/>
          <w:bCs w:val="false"/>
          <w:i/>
          <w:i/>
          <w:iCs/>
          <w:color w:val="auto"/>
          <w:kern w:val="0"/>
          <w:sz w:val="18"/>
          <w:szCs w:val="18"/>
          <w:lang w:val="es-ES" w:eastAsia="zh-CN" w:bidi="ar-SA"/>
        </w:rPr>
      </w:pPr>
      <w:r>
        <w:rPr>
          <w:rFonts w:eastAsia="Calibri" w:cs="Brother 1816" w:ascii="Brother 1816" w:hAnsi="Brother 1816"/>
          <w:b w:val="false"/>
          <w:bCs w:val="false"/>
          <w:i/>
          <w:iCs/>
          <w:color w:val="auto"/>
          <w:kern w:val="0"/>
          <w:sz w:val="18"/>
          <w:szCs w:val="18"/>
          <w:lang w:val="es-ES" w:eastAsia="zh-CN" w:bidi="ar-SA"/>
        </w:rPr>
      </w:r>
    </w:p>
    <w:p>
      <w:pPr>
        <w:pStyle w:val="Normal"/>
        <w:widowControl/>
        <w:suppressAutoHyphens w:val="true"/>
        <w:bidi w:val="0"/>
        <w:spacing w:lineRule="auto" w:line="240" w:before="0" w:after="0"/>
        <w:ind w:left="680" w:right="0" w:hanging="0"/>
        <w:jc w:val="both"/>
        <w:rPr>
          <w:lang w:val="es-ES"/>
        </w:rPr>
      </w:pPr>
      <w:r>
        <w:rPr>
          <w:rFonts w:eastAsia="Calibri" w:cs="Brother 1816" w:ascii="Brother 1816" w:hAnsi="Brother 1816"/>
          <w:b w:val="false"/>
          <w:bCs w:val="false"/>
          <w:i/>
          <w:iCs/>
          <w:color w:val="auto"/>
          <w:kern w:val="0"/>
          <w:sz w:val="18"/>
          <w:szCs w:val="18"/>
          <w:lang w:val="es-ES" w:eastAsia="zh-CN" w:bidi="ar-SA"/>
        </w:rPr>
        <w:t>El objeto de esta subvención se destina a financiar el mantenimiento anual 2025 del elevador y de la plataforma salvaescaleras con la que cuenta el edificio, y la adquisición de una consola para la plataforma  por un importe máximo de 2.000,00 euros.</w:t>
      </w:r>
    </w:p>
    <w:p>
      <w:pPr>
        <w:pStyle w:val="Normal"/>
        <w:widowControl/>
        <w:suppressAutoHyphens w:val="true"/>
        <w:bidi w:val="0"/>
        <w:spacing w:lineRule="auto" w:line="240" w:before="0" w:after="0"/>
        <w:ind w:left="680" w:right="0" w:hanging="0"/>
        <w:jc w:val="both"/>
        <w:rPr>
          <w:rFonts w:ascii="Brother 1816" w:hAnsi="Brother 1816" w:eastAsia="Calibri" w:cs="Brother 1816"/>
          <w:b w:val="false"/>
          <w:b w:val="false"/>
          <w:bCs w:val="false"/>
          <w:i/>
          <w:i/>
          <w:iCs/>
          <w:color w:val="auto"/>
          <w:kern w:val="0"/>
          <w:sz w:val="18"/>
          <w:szCs w:val="18"/>
          <w:lang w:val="es-ES" w:eastAsia="zh-CN" w:bidi="ar-SA"/>
        </w:rPr>
      </w:pPr>
      <w:r>
        <w:rPr>
          <w:rFonts w:eastAsia="Calibri" w:cs="Brother 1816" w:ascii="Brother 1816" w:hAnsi="Brother 1816"/>
          <w:b w:val="false"/>
          <w:bCs w:val="false"/>
          <w:i/>
          <w:iCs/>
          <w:color w:val="auto"/>
          <w:kern w:val="0"/>
          <w:sz w:val="18"/>
          <w:szCs w:val="18"/>
          <w:lang w:val="es-ES" w:eastAsia="zh-CN" w:bidi="ar-SA"/>
        </w:rPr>
      </w:r>
    </w:p>
    <w:p>
      <w:pPr>
        <w:pStyle w:val="Normal"/>
        <w:widowControl/>
        <w:suppressAutoHyphens w:val="true"/>
        <w:bidi w:val="0"/>
        <w:spacing w:lineRule="auto" w:line="240" w:before="0" w:after="0"/>
        <w:ind w:left="680" w:right="0" w:hanging="0"/>
        <w:jc w:val="both"/>
        <w:rPr>
          <w:lang w:val="es-ES"/>
        </w:rPr>
      </w:pPr>
      <w:r>
        <w:rPr>
          <w:rFonts w:eastAsia="Calibri" w:cs="Brother 1816" w:ascii="Brother 1816" w:hAnsi="Brother 1816"/>
          <w:b w:val="false"/>
          <w:bCs w:val="false"/>
          <w:i/>
          <w:iCs/>
          <w:color w:val="auto"/>
          <w:kern w:val="0"/>
          <w:sz w:val="18"/>
          <w:szCs w:val="18"/>
          <w:lang w:val="es-ES" w:eastAsia="zh-CN" w:bidi="ar-SA"/>
        </w:rPr>
        <w:t xml:space="preserve">El elevador y salvaescaleras tiene una función esencial para permitir la participación de todas las personas en la actividad del Centro Cultural. Una falta de su mantenimiento afecta negativamente a la accesibilidad de la población con movilidad reducida, por lo que garantizar el mantenimiento de este edificio contribuye la inclusión de personas con discapacidad promoviendo su vez la participación de un público mas diverso. </w:t>
      </w:r>
    </w:p>
    <w:p>
      <w:pPr>
        <w:pStyle w:val="Normal"/>
        <w:widowControl/>
        <w:suppressAutoHyphens w:val="true"/>
        <w:bidi w:val="0"/>
        <w:spacing w:lineRule="auto" w:line="240" w:before="0" w:after="0"/>
        <w:ind w:left="680" w:right="0" w:hanging="0"/>
        <w:jc w:val="both"/>
        <w:rPr>
          <w:rFonts w:ascii="Brother 1816" w:hAnsi="Brother 1816" w:eastAsia="Calibri" w:cs="Brother 1816"/>
          <w:b w:val="false"/>
          <w:b w:val="false"/>
          <w:bCs w:val="false"/>
          <w:i/>
          <w:i/>
          <w:iCs/>
          <w:color w:val="auto"/>
          <w:kern w:val="0"/>
          <w:sz w:val="18"/>
          <w:szCs w:val="18"/>
          <w:lang w:val="es-ES" w:eastAsia="zh-CN" w:bidi="ar-SA"/>
        </w:rPr>
      </w:pPr>
      <w:r>
        <w:rPr>
          <w:rFonts w:eastAsia="Calibri" w:cs="Brother 1816" w:ascii="Brother 1816" w:hAnsi="Brother 1816"/>
          <w:b w:val="false"/>
          <w:bCs w:val="false"/>
          <w:i/>
          <w:iCs/>
          <w:color w:val="auto"/>
          <w:kern w:val="0"/>
          <w:sz w:val="18"/>
          <w:szCs w:val="18"/>
          <w:lang w:val="es-ES" w:eastAsia="zh-CN" w:bidi="ar-SA"/>
        </w:rPr>
      </w:r>
    </w:p>
    <w:p>
      <w:pPr>
        <w:pStyle w:val="Normal"/>
        <w:spacing w:lineRule="auto" w:line="276" w:before="280" w:after="120"/>
        <w:jc w:val="both"/>
        <w:rPr>
          <w:lang w:val="es-ES"/>
        </w:rPr>
      </w:pPr>
      <w:r>
        <w:rPr>
          <w:rFonts w:ascii="Brother 1816" w:hAnsi="Brother 1816"/>
          <w:b w:val="false"/>
          <w:bCs w:val="false"/>
          <w:sz w:val="22"/>
          <w:szCs w:val="22"/>
          <w:lang w:val="es-ES"/>
        </w:rPr>
        <w:t>2.- Que, en base a los</w:t>
      </w:r>
      <w:r>
        <w:rPr>
          <w:rFonts w:ascii="Brother 1816" w:hAnsi="Brother 1816"/>
          <w:sz w:val="22"/>
          <w:szCs w:val="22"/>
          <w:lang w:val="es-ES"/>
        </w:rPr>
        <w:t xml:space="preserve"> principios de colaboración, cooperación, coordinación y eficacia que deben presidir las actuaciones de las Administraciones Públicas, el Ayuntamiento de Ponteareas y la Comunidad de Montes Vecinales en mano común de Xinzo (CMVMC de Xinzo) firman un convenio de colaboración para la mejora de la accesibilidad al edificio del Centro Cultural Xinzo, por lo que el Ayuntamiento de Ponteareas se compromete a colaborar con la CMVMC de Xinzo con una subvención directa de carácter excepcional segundo</w:t>
      </w:r>
      <w:r>
        <w:rPr>
          <w:rFonts w:cs="Brother 1816" w:ascii="Brother 1816" w:hAnsi="Brother 1816"/>
          <w:b w:val="false"/>
          <w:bCs w:val="false"/>
          <w:i w:val="false"/>
          <w:iCs w:val="false"/>
          <w:color w:val="auto"/>
          <w:sz w:val="22"/>
          <w:szCs w:val="22"/>
          <w:lang w:val="es-ES"/>
        </w:rPr>
        <w:t xml:space="preserve"> lo recogido en el apartado 46 de las bases de ejecución del presupuesto 2025. Esta subvención tiene un importe de 2.000,00 euros (dos mil euros), IVA incluido, que corresponden con los gastos de mantenimiento del salvaescaleras y el  ascensor y la adquisición de una consola para la plataforma salvaescaleras con los que cuenta lo edifico del Centro Cultural Xinzo. </w:t>
      </w:r>
      <w:r>
        <w:rPr>
          <w:rFonts w:ascii="Brother 1816" w:hAnsi="Brother 1816"/>
          <w:sz w:val="22"/>
          <w:szCs w:val="22"/>
          <w:shd w:fill="auto" w:val="clear"/>
          <w:lang w:val="es-ES"/>
        </w:rPr>
        <w:t>Para esto se disponen del crédito necesario en la partida presupuestaria</w:t>
      </w:r>
      <w:r>
        <w:rPr>
          <w:rFonts w:eastAsia="Calibri" w:cs="Brother 1816" w:ascii="Brother 1816" w:hAnsi="Brother 1816"/>
          <w:b w:val="false"/>
          <w:bCs w:val="false"/>
          <w:i w:val="false"/>
          <w:iCs w:val="false"/>
          <w:color w:val="000000"/>
          <w:kern w:val="0"/>
          <w:sz w:val="22"/>
          <w:szCs w:val="22"/>
          <w:shd w:fill="auto" w:val="clear"/>
          <w:lang w:val="es-ES" w:eastAsia="zh-CN" w:bidi="ar-SA"/>
        </w:rPr>
        <w:t xml:space="preserve"> 33000/4802601.</w:t>
      </w:r>
    </w:p>
    <w:p>
      <w:pPr>
        <w:pStyle w:val="Normal"/>
        <w:spacing w:lineRule="auto" w:line="276" w:before="280" w:after="120"/>
        <w:jc w:val="both"/>
        <w:rPr>
          <w:lang w:val="es-ES"/>
        </w:rPr>
      </w:pPr>
      <w:r>
        <w:rPr>
          <w:rFonts w:ascii="Brother 1816" w:hAnsi="Brother 1816"/>
          <w:sz w:val="22"/>
          <w:szCs w:val="22"/>
          <w:lang w:val="es-ES"/>
        </w:rPr>
        <w:t xml:space="preserve">3.- Que la Comunidad de Montes Vecinales en mano común de Xinzo se compromete a aplicar la subvención solamente a los gastos indicados en el punto anterior, comprometiéndose a presentarle al Ayuntamiento las facturas y los justificantes de los pagos realizados por estas actuaciones. </w:t>
      </w:r>
    </w:p>
    <w:p>
      <w:pPr>
        <w:pStyle w:val="Normal"/>
        <w:spacing w:lineRule="auto" w:line="276" w:before="280" w:after="120"/>
        <w:jc w:val="both"/>
        <w:rPr>
          <w:lang w:val="es-ES"/>
        </w:rPr>
      </w:pPr>
      <w:r>
        <w:rPr>
          <w:rFonts w:ascii="Brother 1816" w:hAnsi="Brother 1816"/>
          <w:sz w:val="22"/>
          <w:szCs w:val="22"/>
          <w:lang w:val="es-ES"/>
        </w:rPr>
        <w:t xml:space="preserve">4.- Se establece como objeto de esta subvención las facturas pagadas por la CMVMC de Xinzo en el período comprendido entre 1 de enero y 15 de noviembre del 2025, para realización de las acciones comprometidas que justifican el destino de esta subvención. </w:t>
      </w:r>
    </w:p>
    <w:p>
      <w:pPr>
        <w:pStyle w:val="Normal"/>
        <w:spacing w:lineRule="auto" w:line="276" w:before="280" w:after="120"/>
        <w:jc w:val="both"/>
        <w:rPr>
          <w:lang w:val="es-ES"/>
        </w:rPr>
      </w:pPr>
      <w:r>
        <w:rPr>
          <w:rFonts w:ascii="Brother 1816" w:hAnsi="Brother 1816"/>
          <w:sz w:val="22"/>
          <w:szCs w:val="22"/>
          <w:lang w:val="es-ES"/>
        </w:rPr>
        <w:t xml:space="preserve">5.- Estas actuaciones deberán estar acreditadas y justificadas ante el Ayuntamiento de Ponteareas antes del 15 de noviembre del año 2025. </w:t>
      </w:r>
    </w:p>
    <w:p>
      <w:pPr>
        <w:pStyle w:val="Normal"/>
        <w:spacing w:lineRule="auto" w:line="276" w:before="280" w:after="120"/>
        <w:jc w:val="both"/>
        <w:rPr>
          <w:lang w:val="es-ES"/>
        </w:rPr>
      </w:pPr>
      <w:r>
        <w:rPr>
          <w:rFonts w:ascii="Brother 1816" w:hAnsi="Brother 1816"/>
          <w:sz w:val="22"/>
          <w:szCs w:val="22"/>
          <w:lang w:val="es-ES"/>
        </w:rPr>
        <w:t xml:space="preserve">6.- Para considerar acreditadas y justificadas las actuaciones de la Comunidad de Montes, deberá presentar a través del Registro General del Ayuntamiento la siguiente documentación,  tal y como se establece en la Base 46ª.X del presupuesto municipal </w:t>
      </w:r>
      <w:r>
        <w:rPr>
          <w:rFonts w:ascii="Brother 1816" w:hAnsi="Brother 1816"/>
          <w:sz w:val="22"/>
          <w:szCs w:val="22"/>
          <w:shd w:fill="auto" w:val="clear"/>
          <w:lang w:val="es-ES"/>
        </w:rPr>
        <w:t>de 2025 como</w:t>
      </w:r>
      <w:r>
        <w:rPr>
          <w:rFonts w:ascii="Brother 1816" w:hAnsi="Brother 1816"/>
          <w:color w:val="FF0000"/>
          <w:sz w:val="22"/>
          <w:szCs w:val="22"/>
          <w:shd w:fill="auto" w:val="clear"/>
          <w:lang w:val="es-ES"/>
        </w:rPr>
        <w:t xml:space="preserve"> </w:t>
      </w:r>
      <w:r>
        <w:rPr>
          <w:rFonts w:ascii="Brother 1816" w:hAnsi="Brother 1816"/>
          <w:sz w:val="22"/>
          <w:szCs w:val="22"/>
          <w:shd w:fill="auto" w:val="clear"/>
          <w:lang w:val="es-ES"/>
        </w:rPr>
        <w:t>cuenta</w:t>
      </w:r>
      <w:r>
        <w:rPr>
          <w:rFonts w:ascii="Brother 1816" w:hAnsi="Brother 1816"/>
          <w:color w:val="000000"/>
          <w:sz w:val="22"/>
          <w:szCs w:val="22"/>
          <w:shd w:fill="auto" w:val="clear"/>
          <w:lang w:val="es-ES"/>
        </w:rPr>
        <w:t xml:space="preserve"> justificativa</w:t>
      </w:r>
      <w:r>
        <w:rPr>
          <w:rFonts w:ascii="Brother 1816" w:hAnsi="Brother 1816"/>
          <w:color w:val="000000"/>
          <w:sz w:val="22"/>
          <w:szCs w:val="22"/>
          <w:lang w:val="es-ES"/>
        </w:rPr>
        <w:t xml:space="preserve"> del gasto realizado</w:t>
      </w:r>
      <w:r>
        <w:rPr>
          <w:rFonts w:ascii="Brother 1816" w:hAnsi="Brother 1816"/>
          <w:sz w:val="22"/>
          <w:szCs w:val="22"/>
          <w:lang w:val="es-ES"/>
        </w:rPr>
        <w:t>:</w:t>
      </w:r>
    </w:p>
    <w:p>
      <w:pPr>
        <w:pStyle w:val="Normal"/>
        <w:numPr>
          <w:ilvl w:val="0"/>
          <w:numId w:val="1"/>
        </w:numPr>
        <w:spacing w:lineRule="auto" w:line="276"/>
        <w:ind w:left="709" w:hanging="283"/>
        <w:jc w:val="both"/>
        <w:rPr>
          <w:lang w:val="es-ES"/>
        </w:rPr>
      </w:pPr>
      <w:r>
        <w:rPr>
          <w:rFonts w:ascii="Brother 1816" w:hAnsi="Brother 1816"/>
          <w:color w:val="000000"/>
          <w:sz w:val="22"/>
          <w:szCs w:val="22"/>
          <w:lang w:val="es-ES"/>
        </w:rPr>
        <w:t>Facturas originales de gasto o fotocopias debidamente compulsadas.</w:t>
      </w:r>
    </w:p>
    <w:p>
      <w:pPr>
        <w:pStyle w:val="Normal"/>
        <w:numPr>
          <w:ilvl w:val="0"/>
          <w:numId w:val="1"/>
        </w:numPr>
        <w:spacing w:lineRule="auto" w:line="276"/>
        <w:ind w:left="709" w:hanging="283"/>
        <w:jc w:val="both"/>
        <w:rPr>
          <w:lang w:val="es-ES"/>
        </w:rPr>
      </w:pPr>
      <w:r>
        <w:rPr>
          <w:rFonts w:ascii="Brother 1816" w:hAnsi="Brother 1816"/>
          <w:color w:val="000000"/>
          <w:sz w:val="22"/>
          <w:szCs w:val="22"/>
          <w:lang w:val="es-ES"/>
        </w:rPr>
        <w:t>Indicación expresa de que se realizó el fin para lo cual fue concedida.</w:t>
      </w:r>
    </w:p>
    <w:p>
      <w:pPr>
        <w:pStyle w:val="Normal"/>
        <w:numPr>
          <w:ilvl w:val="0"/>
          <w:numId w:val="1"/>
        </w:numPr>
        <w:spacing w:lineRule="auto" w:line="276" w:before="0" w:after="0"/>
        <w:ind w:left="709" w:hanging="283"/>
        <w:jc w:val="both"/>
        <w:rPr>
          <w:lang w:val="es-ES"/>
        </w:rPr>
      </w:pPr>
      <w:r>
        <w:rPr>
          <w:rFonts w:ascii="Brother 1816" w:hAnsi="Brother 1816"/>
          <w:color w:val="000000"/>
          <w:sz w:val="22"/>
          <w:szCs w:val="22"/>
          <w:lang w:val="es-ES"/>
        </w:rPr>
        <w:t>En todos los casos, deberá acreditarse el pago mediante presentación del justificante de transferencia bancaria o recibí del preceptor, si el pago fue en metálico, con indicación del Documento de Identidad, firma y nombre y apellidos del mismo, así como las acreditaciones de no tener deudas fiscales ni sociales con la Seguridad Social, Administración del Estado y Administración autonómica.</w:t>
      </w:r>
    </w:p>
    <w:p>
      <w:pPr>
        <w:pStyle w:val="Normal"/>
        <w:numPr>
          <w:ilvl w:val="0"/>
          <w:numId w:val="0"/>
        </w:numPr>
        <w:spacing w:lineRule="auto" w:line="276" w:before="0" w:after="0"/>
        <w:ind w:left="709" w:hanging="0"/>
        <w:jc w:val="both"/>
        <w:rPr>
          <w:sz w:val="22"/>
          <w:szCs w:val="22"/>
          <w:lang w:val="es-ES"/>
        </w:rPr>
      </w:pPr>
      <w:r>
        <w:rPr>
          <w:sz w:val="22"/>
          <w:szCs w:val="22"/>
          <w:lang w:val="es-ES"/>
        </w:rPr>
      </w:r>
    </w:p>
    <w:p>
      <w:pPr>
        <w:pStyle w:val="Normal"/>
        <w:numPr>
          <w:ilvl w:val="0"/>
          <w:numId w:val="1"/>
        </w:numPr>
        <w:spacing w:lineRule="auto" w:line="276"/>
        <w:ind w:left="709" w:hanging="283"/>
        <w:jc w:val="both"/>
        <w:rPr>
          <w:lang w:val="es-ES"/>
        </w:rPr>
      </w:pPr>
      <w:r>
        <w:rPr>
          <w:rFonts w:ascii="Brother 1816" w:hAnsi="Brother 1816"/>
          <w:color w:val="000000" w:themeColor="text1"/>
          <w:sz w:val="22"/>
          <w:szCs w:val="22"/>
          <w:lang w:val="es-ES"/>
        </w:rPr>
        <w:t>Declaración de no ser beneficiaria de otras subvenciones públicas para la misma finalidad.</w:t>
      </w:r>
    </w:p>
    <w:p>
      <w:pPr>
        <w:pStyle w:val="Normal"/>
        <w:spacing w:lineRule="auto" w:line="276" w:before="280" w:after="120"/>
        <w:jc w:val="both"/>
        <w:rPr>
          <w:lang w:val="es-ES"/>
        </w:rPr>
      </w:pPr>
      <w:r>
        <w:rPr>
          <w:rFonts w:ascii="Brother 1816" w:hAnsi="Brother 1816"/>
          <w:sz w:val="22"/>
          <w:szCs w:val="22"/>
          <w:lang w:val="es-ES"/>
        </w:rPr>
        <w:t>7.- El Ayuntamiento de Ponteareas se compromete a hacer efectivo el importe de las subvenciones a la Comunidad de Montes de Xinzo mediante ingreso en la cuenta bancaria que regenta la Comunidad de Montes.</w:t>
      </w:r>
    </w:p>
    <w:p>
      <w:pPr>
        <w:pStyle w:val="Normal"/>
        <w:spacing w:lineRule="auto" w:line="276" w:before="280" w:after="120"/>
        <w:jc w:val="both"/>
        <w:rPr>
          <w:lang w:val="es-ES"/>
        </w:rPr>
      </w:pPr>
      <w:r>
        <w:rPr>
          <w:rFonts w:ascii="Brother 1816" w:hAnsi="Brother 1816"/>
          <w:sz w:val="22"/>
          <w:szCs w:val="22"/>
          <w:lang w:val="es-ES"/>
        </w:rPr>
        <w:t xml:space="preserve">8.- Las actuaciones de la Comunidad de Montes que resulten cubiertas con esta subvención no podrán ser aplicadas a ninguna otra subvención o ayuda económica de cualquier organismo público. El incumplimiento de este requerimiento obligación a la Comunidad de Montes a la devolución inmediata de la parte de la subvención recibida correspondiente las actuaciones por las que se incumpla, o la totalidad de la subvención, si fuere el caso.  </w:t>
      </w:r>
    </w:p>
    <w:p>
      <w:pPr>
        <w:pStyle w:val="Normal"/>
        <w:spacing w:lineRule="auto" w:line="276" w:before="280" w:after="120"/>
        <w:jc w:val="both"/>
        <w:rPr>
          <w:lang w:val="es-ES"/>
        </w:rPr>
      </w:pPr>
      <w:r>
        <w:rPr>
          <w:rFonts w:ascii="Brother 1816" w:hAnsi="Brother 1816"/>
          <w:sz w:val="22"/>
          <w:szCs w:val="22"/>
          <w:lang w:val="es-ES"/>
        </w:rPr>
        <w:t>9.- Este convenio, una vez firmado, debe remitirse a la Base de Datos Nacional de Subvenciones y publicarse en el portal de transparencia del Ayuntamiento de Ponteareas.</w:t>
      </w:r>
    </w:p>
    <w:p>
      <w:pPr>
        <w:pStyle w:val="Normal"/>
        <w:spacing w:lineRule="auto" w:line="276" w:before="0" w:after="0"/>
        <w:jc w:val="both"/>
        <w:rPr>
          <w:rFonts w:ascii="Brother 1816" w:hAnsi="Brother 1816" w:eastAsia="Times New Roman"/>
          <w:color w:val="000000"/>
          <w:sz w:val="22"/>
          <w:szCs w:val="22"/>
          <w:lang w:val="es-ES" w:eastAsia="es-ES"/>
        </w:rPr>
      </w:pPr>
      <w:r>
        <w:rPr>
          <w:rFonts w:eastAsia="Times New Roman" w:ascii="Brother 1816" w:hAnsi="Brother 1816"/>
          <w:color w:val="000000"/>
          <w:sz w:val="22"/>
          <w:szCs w:val="22"/>
          <w:lang w:val="es-ES" w:eastAsia="es-ES"/>
        </w:rPr>
      </w:r>
    </w:p>
    <w:p>
      <w:pPr>
        <w:pStyle w:val="Normal"/>
        <w:spacing w:lineRule="auto" w:line="276" w:before="0" w:after="0"/>
        <w:jc w:val="both"/>
        <w:rPr>
          <w:lang w:val="es-ES"/>
        </w:rPr>
      </w:pPr>
      <w:r>
        <w:rPr>
          <w:rFonts w:eastAsia="Times New Roman" w:ascii="Brother 1816" w:hAnsi="Brother 1816"/>
          <w:color w:val="000000"/>
          <w:sz w:val="22"/>
          <w:szCs w:val="22"/>
          <w:lang w:val="es-ES" w:eastAsia="es-ES"/>
        </w:rPr>
        <w:t>En prueba de conformidad, las partes firman electrónicamente el presente convenio.</w:t>
      </w:r>
    </w:p>
    <w:p>
      <w:pPr>
        <w:pStyle w:val="Normal"/>
        <w:spacing w:lineRule="auto" w:line="276" w:before="0" w:after="0"/>
        <w:jc w:val="both"/>
        <w:rPr>
          <w:lang w:val="es-ES"/>
        </w:rPr>
      </w:pPr>
      <w:r>
        <w:rPr>
          <w:lang w:val="es-ES"/>
        </w:rPr>
      </w:r>
    </w:p>
    <w:sectPr>
      <w:headerReference w:type="default" r:id="rId2"/>
      <w:headerReference w:type="first" r:id="rId3"/>
      <w:footerReference w:type="default" r:id="rId4"/>
      <w:footerReference w:type="first" r:id="rId5"/>
      <w:type w:val="nextPage"/>
      <w:pgSz w:w="11906" w:h="16838"/>
      <w:pgMar w:left="1701" w:right="1701" w:gutter="0" w:header="632" w:top="1369" w:footer="385" w:bottom="141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auto"/>
    <w:pitch w:val="default"/>
  </w:font>
  <w:font w:name="Calibri">
    <w:charset w:val="01"/>
    <w:family w:val="auto"/>
    <w:pitch w:val="default"/>
  </w:font>
  <w:font w:name="Symbol">
    <w:charset w:val="01"/>
    <w:family w:val="auto"/>
    <w:pitch w:val="default"/>
  </w:font>
  <w:font w:name="Courier New">
    <w:charset w:val="01"/>
    <w:family w:val="auto"/>
    <w:pitch w:val="default"/>
  </w:font>
  <w:font w:name="Wingdings">
    <w:charset w:val="01"/>
    <w:family w:val="auto"/>
    <w:pitch w:val="default"/>
  </w:font>
  <w:font w:name="Tahoma">
    <w:charset w:val="01"/>
    <w:family w:val="auto"/>
    <w:pitch w:val="default"/>
  </w:font>
  <w:font w:name="Liberation Sans">
    <w:altName w:val="Arial"/>
    <w:charset w:val="01"/>
    <w:family w:val="auto"/>
    <w:pitch w:val="default"/>
  </w:font>
  <w:font w:name="Brother 1816">
    <w:charset w:val="01"/>
    <w:family w:val="auto"/>
    <w:pitch w:val="default"/>
  </w:font>
  <w:font w:name="Arial Narrow">
    <w:charset w:val="01"/>
    <w:family w:val="auto"/>
    <w:pitch w:val="default"/>
  </w:font>
  <w:font w:name="Brother 1816">
    <w:charset w:val="01"/>
    <w:family w:val="moder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rFonts w:ascii="Arial Narrow" w:hAnsi="Arial Narrow" w:cs="Arial Narrow"/>
        <w:color w:val="948A54"/>
        <w:sz w:val="12"/>
        <w:szCs w:val="12"/>
      </w:rPr>
    </w:pPr>
    <w:r>
      <w:rPr>
        <w:rFonts w:cs="Arial Narrow" w:ascii="Arial Narrow" w:hAnsi="Arial Narrow"/>
        <w:color w:val="948A54"/>
        <w:sz w:val="12"/>
        <w:szCs w:val="12"/>
        <w:lang w:val="es-ES"/>
      </w:rPr>
      <w:t>CONVENIO DE COLABORACIÓN</w:t>
    </w:r>
    <w:r>
      <w:rPr>
        <w:rFonts w:cs="Arial Narrow" w:ascii="Arial Narrow" w:hAnsi="Arial Narrow"/>
        <w:color w:val="948A54"/>
        <w:sz w:val="12"/>
        <w:szCs w:val="12"/>
      </w:rPr>
      <w:tab/>
      <w:tab/>
    </w:r>
  </w:p>
  <w:p>
    <w:pPr>
      <w:pStyle w:val="Piedepgina"/>
      <w:spacing w:before="0" w:after="200"/>
      <w:rPr>
        <w:rFonts w:ascii="Arial Narrow" w:hAnsi="Arial Narrow" w:cs="Arial Narrow"/>
        <w:color w:val="948A54"/>
        <w:sz w:val="12"/>
        <w:szCs w:val="12"/>
      </w:rPr>
    </w:pPr>
    <w:r>
      <w:rPr>
        <w:rFonts w:cs="Arial Narrow" w:ascii="Arial Narrow" w:hAnsi="Arial Narrow"/>
        <w:color w:val="948A54"/>
        <w:sz w:val="12"/>
        <w:szCs w:val="1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rFonts w:ascii="Arial Narrow" w:hAnsi="Arial Narrow" w:cs="Arial Narrow"/>
        <w:color w:val="948A54"/>
        <w:sz w:val="12"/>
        <w:szCs w:val="12"/>
      </w:rPr>
    </w:pPr>
    <w:r>
      <w:rPr>
        <w:rFonts w:cs="Arial Narrow" w:ascii="Arial Narrow" w:hAnsi="Arial Narrow"/>
        <w:color w:val="948A54"/>
        <w:sz w:val="12"/>
        <w:szCs w:val="12"/>
        <w:lang w:val="es-ES"/>
      </w:rPr>
      <w:t>CONVENIO DE COLABORACIÓN</w:t>
    </w:r>
    <w:r>
      <w:rPr>
        <w:rFonts w:cs="Arial Narrow" w:ascii="Arial Narrow" w:hAnsi="Arial Narrow"/>
        <w:color w:val="948A54"/>
        <w:sz w:val="12"/>
        <w:szCs w:val="12"/>
      </w:rPr>
      <w:tab/>
      <w:tab/>
    </w:r>
  </w:p>
  <w:p>
    <w:pPr>
      <w:pStyle w:val="Piedepgina"/>
      <w:spacing w:before="0" w:after="200"/>
      <w:rPr>
        <w:rFonts w:ascii="Arial Narrow" w:hAnsi="Arial Narrow" w:cs="Arial Narrow"/>
        <w:color w:val="948A54"/>
        <w:sz w:val="12"/>
        <w:szCs w:val="12"/>
      </w:rPr>
    </w:pPr>
    <w:r>
      <w:rPr>
        <w:rFonts w:cs="Arial Narrow" w:ascii="Arial Narrow" w:hAnsi="Arial Narrow"/>
        <w:color w:val="948A54"/>
        <w:sz w:val="12"/>
        <w:szCs w:val="1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200"/>
      <w:rPr>
        <w:lang w:val="es-ES" w:eastAsia="ja-JP"/>
      </w:rPr>
    </w:pPr>
    <w:r>
      <w:rPr>
        <w:lang w:val="es-ES" w:eastAsia="ja-JP"/>
      </w:rPr>
      <w:drawing>
        <wp:anchor behindDoc="1" distT="0" distB="0" distL="0" distR="0" simplePos="0" locked="0" layoutInCell="0" allowOverlap="1" relativeHeight="4">
          <wp:simplePos x="0" y="0"/>
          <wp:positionH relativeFrom="column">
            <wp:posOffset>4969510</wp:posOffset>
          </wp:positionH>
          <wp:positionV relativeFrom="paragraph">
            <wp:posOffset>-313055</wp:posOffset>
          </wp:positionV>
          <wp:extent cx="605790" cy="60579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79" t="-79" r="-79" b="-79"/>
                  <a:stretch>
                    <a:fillRect/>
                  </a:stretch>
                </pic:blipFill>
                <pic:spPr bwMode="auto">
                  <a:xfrm>
                    <a:off x="0" y="0"/>
                    <a:ext cx="605790" cy="60579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200"/>
      <w:rPr>
        <w:lang w:val="es-ES" w:eastAsia="ja-JP"/>
      </w:rPr>
    </w:pPr>
    <w:r>
      <w:rPr>
        <w:lang w:val="es-ES" w:eastAsia="ja-JP"/>
      </w:rPr>
      <w:drawing>
        <wp:anchor behindDoc="1" distT="0" distB="0" distL="0" distR="0" simplePos="0" locked="0" layoutInCell="0" allowOverlap="1" relativeHeight="5">
          <wp:simplePos x="0" y="0"/>
          <wp:positionH relativeFrom="column">
            <wp:posOffset>-139700</wp:posOffset>
          </wp:positionH>
          <wp:positionV relativeFrom="paragraph">
            <wp:posOffset>-180340</wp:posOffset>
          </wp:positionV>
          <wp:extent cx="1785620" cy="741045"/>
          <wp:effectExtent l="0" t="0" r="0" b="0"/>
          <wp:wrapSquare wrapText="largest"/>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1"/>
                  <a:srcRect l="-22" t="-52" r="-22" b="-52"/>
                  <a:stretch>
                    <a:fillRect/>
                  </a:stretch>
                </pic:blipFill>
                <pic:spPr bwMode="auto">
                  <a:xfrm>
                    <a:off x="0" y="0"/>
                    <a:ext cx="1785620" cy="74104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428" w:hanging="360"/>
      </w:pPr>
      <w:rPr>
        <w:rFonts w:ascii="Brother 1816" w:hAnsi="Brother 1816" w:cs="Brother 1816" w:hint="default"/>
        <w:color w:val="000000"/>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47c9d"/>
    <w:pPr>
      <w:widowControl/>
      <w:suppressAutoHyphens w:val="true"/>
      <w:bidi w:val="0"/>
      <w:spacing w:lineRule="auto" w:line="276" w:before="0" w:after="200"/>
      <w:jc w:val="left"/>
    </w:pPr>
    <w:rPr>
      <w:rFonts w:ascii="Calibri" w:hAnsi="Calibri" w:eastAsia="Calibri" w:cs="Calibri"/>
      <w:color w:val="auto"/>
      <w:kern w:val="0"/>
      <w:sz w:val="22"/>
      <w:szCs w:val="22"/>
      <w:lang w:val="gl-ES"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sid w:val="00f47c9d"/>
    <w:rPr>
      <w:rFonts w:ascii="Symbol" w:hAnsi="Symbol" w:cs="Symbol"/>
      <w:sz w:val="20"/>
    </w:rPr>
  </w:style>
  <w:style w:type="character" w:styleId="WW8Num1z1" w:customStyle="1">
    <w:name w:val="WW8Num1z1"/>
    <w:qFormat/>
    <w:rsid w:val="00f47c9d"/>
    <w:rPr>
      <w:rFonts w:ascii="Courier New" w:hAnsi="Courier New" w:cs="Courier New"/>
      <w:sz w:val="20"/>
    </w:rPr>
  </w:style>
  <w:style w:type="character" w:styleId="WW8Num1z2" w:customStyle="1">
    <w:name w:val="WW8Num1z2"/>
    <w:qFormat/>
    <w:rsid w:val="00f47c9d"/>
    <w:rPr>
      <w:rFonts w:ascii="Wingdings" w:hAnsi="Wingdings" w:cs="Wingdings"/>
      <w:sz w:val="20"/>
    </w:rPr>
  </w:style>
  <w:style w:type="character" w:styleId="WW8Num2z0" w:customStyle="1">
    <w:name w:val="WW8Num2z0"/>
    <w:qFormat/>
    <w:rsid w:val="00f47c9d"/>
    <w:rPr>
      <w:rFonts w:ascii="Symbol" w:hAnsi="Symbol" w:cs="Symbol"/>
      <w:sz w:val="20"/>
    </w:rPr>
  </w:style>
  <w:style w:type="character" w:styleId="WW8Num2z1" w:customStyle="1">
    <w:name w:val="WW8Num2z1"/>
    <w:qFormat/>
    <w:rsid w:val="00f47c9d"/>
    <w:rPr>
      <w:rFonts w:ascii="Courier New" w:hAnsi="Courier New" w:cs="Courier New"/>
      <w:sz w:val="20"/>
    </w:rPr>
  </w:style>
  <w:style w:type="character" w:styleId="WW8Num2z2" w:customStyle="1">
    <w:name w:val="WW8Num2z2"/>
    <w:qFormat/>
    <w:rsid w:val="00f47c9d"/>
    <w:rPr>
      <w:rFonts w:ascii="Wingdings" w:hAnsi="Wingdings" w:cs="Wingdings"/>
      <w:sz w:val="20"/>
    </w:rPr>
  </w:style>
  <w:style w:type="character" w:styleId="WW8Num3z0" w:customStyle="1">
    <w:name w:val="WW8Num3z0"/>
    <w:qFormat/>
    <w:rsid w:val="00f47c9d"/>
    <w:rPr/>
  </w:style>
  <w:style w:type="character" w:styleId="WW8Num3z1" w:customStyle="1">
    <w:name w:val="WW8Num3z1"/>
    <w:qFormat/>
    <w:rsid w:val="00f47c9d"/>
    <w:rPr/>
  </w:style>
  <w:style w:type="character" w:styleId="WW8Num3z2" w:customStyle="1">
    <w:name w:val="WW8Num3z2"/>
    <w:qFormat/>
    <w:rsid w:val="00f47c9d"/>
    <w:rPr/>
  </w:style>
  <w:style w:type="character" w:styleId="WW8Num3z3" w:customStyle="1">
    <w:name w:val="WW8Num3z3"/>
    <w:qFormat/>
    <w:rsid w:val="00f47c9d"/>
    <w:rPr/>
  </w:style>
  <w:style w:type="character" w:styleId="WW8Num3z4" w:customStyle="1">
    <w:name w:val="WW8Num3z4"/>
    <w:qFormat/>
    <w:rsid w:val="00f47c9d"/>
    <w:rPr/>
  </w:style>
  <w:style w:type="character" w:styleId="WW8Num3z5" w:customStyle="1">
    <w:name w:val="WW8Num3z5"/>
    <w:qFormat/>
    <w:rsid w:val="00f47c9d"/>
    <w:rPr/>
  </w:style>
  <w:style w:type="character" w:styleId="WW8Num3z6" w:customStyle="1">
    <w:name w:val="WW8Num3z6"/>
    <w:qFormat/>
    <w:rsid w:val="00f47c9d"/>
    <w:rPr/>
  </w:style>
  <w:style w:type="character" w:styleId="WW8Num3z7" w:customStyle="1">
    <w:name w:val="WW8Num3z7"/>
    <w:qFormat/>
    <w:rsid w:val="00f47c9d"/>
    <w:rPr/>
  </w:style>
  <w:style w:type="character" w:styleId="WW8Num3z8" w:customStyle="1">
    <w:name w:val="WW8Num3z8"/>
    <w:qFormat/>
    <w:rsid w:val="00f47c9d"/>
    <w:rPr/>
  </w:style>
  <w:style w:type="character" w:styleId="WW8Num4z0" w:customStyle="1">
    <w:name w:val="WW8Num4z0"/>
    <w:qFormat/>
    <w:rsid w:val="00f47c9d"/>
    <w:rPr/>
  </w:style>
  <w:style w:type="character" w:styleId="WW8Num4z1" w:customStyle="1">
    <w:name w:val="WW8Num4z1"/>
    <w:qFormat/>
    <w:rsid w:val="00f47c9d"/>
    <w:rPr/>
  </w:style>
  <w:style w:type="character" w:styleId="WW8Num4z2" w:customStyle="1">
    <w:name w:val="WW8Num4z2"/>
    <w:qFormat/>
    <w:rsid w:val="00f47c9d"/>
    <w:rPr/>
  </w:style>
  <w:style w:type="character" w:styleId="WW8Num4z3" w:customStyle="1">
    <w:name w:val="WW8Num4z3"/>
    <w:qFormat/>
    <w:rsid w:val="00f47c9d"/>
    <w:rPr/>
  </w:style>
  <w:style w:type="character" w:styleId="WW8Num4z4" w:customStyle="1">
    <w:name w:val="WW8Num4z4"/>
    <w:qFormat/>
    <w:rsid w:val="00f47c9d"/>
    <w:rPr/>
  </w:style>
  <w:style w:type="character" w:styleId="WW8Num4z5" w:customStyle="1">
    <w:name w:val="WW8Num4z5"/>
    <w:qFormat/>
    <w:rsid w:val="00f47c9d"/>
    <w:rPr/>
  </w:style>
  <w:style w:type="character" w:styleId="WW8Num4z6" w:customStyle="1">
    <w:name w:val="WW8Num4z6"/>
    <w:qFormat/>
    <w:rsid w:val="00f47c9d"/>
    <w:rPr/>
  </w:style>
  <w:style w:type="character" w:styleId="WW8Num4z7" w:customStyle="1">
    <w:name w:val="WW8Num4z7"/>
    <w:qFormat/>
    <w:rsid w:val="00f47c9d"/>
    <w:rPr/>
  </w:style>
  <w:style w:type="character" w:styleId="WW8Num4z8" w:customStyle="1">
    <w:name w:val="WW8Num4z8"/>
    <w:qFormat/>
    <w:rsid w:val="00f47c9d"/>
    <w:rPr/>
  </w:style>
  <w:style w:type="character" w:styleId="Fuentedeprrafopredeter2" w:customStyle="1">
    <w:name w:val="Fuente de párrafo predeter.2"/>
    <w:qFormat/>
    <w:rsid w:val="00f47c9d"/>
    <w:rPr/>
  </w:style>
  <w:style w:type="character" w:styleId="Fuentedeprrafopredeter1" w:customStyle="1">
    <w:name w:val="Fuente de párrafo predeter.1"/>
    <w:qFormat/>
    <w:rsid w:val="00f47c9d"/>
    <w:rPr/>
  </w:style>
  <w:style w:type="character" w:styleId="EncabezadoCar" w:customStyle="1">
    <w:name w:val="Encabezado Car"/>
    <w:qFormat/>
    <w:rsid w:val="00f47c9d"/>
    <w:rPr>
      <w:sz w:val="22"/>
      <w:szCs w:val="22"/>
    </w:rPr>
  </w:style>
  <w:style w:type="character" w:styleId="PiedepginaCar" w:customStyle="1">
    <w:name w:val="Pie de página Car"/>
    <w:qFormat/>
    <w:rsid w:val="00f47c9d"/>
    <w:rPr>
      <w:sz w:val="22"/>
      <w:szCs w:val="22"/>
    </w:rPr>
  </w:style>
  <w:style w:type="character" w:styleId="TextoindependienteCar" w:customStyle="1">
    <w:name w:val="Texto independiente Car"/>
    <w:qFormat/>
    <w:rsid w:val="00f47c9d"/>
    <w:rPr>
      <w:rFonts w:ascii="Times New Roman" w:hAnsi="Times New Roman" w:eastAsia="Times New Roman" w:cs="Times New Roman"/>
      <w:b/>
      <w:bCs/>
      <w:sz w:val="24"/>
      <w:szCs w:val="24"/>
      <w:lang w:val="es-ES"/>
    </w:rPr>
  </w:style>
  <w:style w:type="character" w:styleId="TextodegloboCar" w:customStyle="1">
    <w:name w:val="Texto de globo Car"/>
    <w:qFormat/>
    <w:rsid w:val="00f47c9d"/>
    <w:rPr>
      <w:rFonts w:ascii="Tahoma" w:hAnsi="Tahoma" w:cs="Tahoma"/>
      <w:sz w:val="16"/>
      <w:szCs w:val="16"/>
    </w:rPr>
  </w:style>
  <w:style w:type="character" w:styleId="Annotationreference">
    <w:name w:val="annotation reference"/>
    <w:basedOn w:val="DefaultParagraphFont"/>
    <w:uiPriority w:val="99"/>
    <w:semiHidden/>
    <w:unhideWhenUsed/>
    <w:qFormat/>
    <w:rsid w:val="00be5059"/>
    <w:rPr>
      <w:sz w:val="16"/>
      <w:szCs w:val="16"/>
    </w:rPr>
  </w:style>
  <w:style w:type="character" w:styleId="TextodecomentarioCarc" w:customStyle="1">
    <w:name w:val="Texto de comentario Carác."/>
    <w:basedOn w:val="DefaultParagraphFont"/>
    <w:link w:val="Textodecomentario"/>
    <w:uiPriority w:val="99"/>
    <w:semiHidden/>
    <w:qFormat/>
    <w:rsid w:val="00be5059"/>
    <w:rPr>
      <w:rFonts w:ascii="Calibri" w:hAnsi="Calibri" w:eastAsia="Calibri" w:cs="Calibri"/>
      <w:lang w:val="gl-ES" w:eastAsia="zh-CN"/>
    </w:rPr>
  </w:style>
  <w:style w:type="character" w:styleId="AsuntodocomentarioCarc" w:customStyle="1">
    <w:name w:val="Asunto do comentario Carác."/>
    <w:basedOn w:val="TextodecomentarioCarc"/>
    <w:link w:val="Asuntodocomentario"/>
    <w:uiPriority w:val="99"/>
    <w:semiHidden/>
    <w:qFormat/>
    <w:rsid w:val="00be5059"/>
    <w:rPr>
      <w:rFonts w:ascii="Calibri" w:hAnsi="Calibri" w:eastAsia="Calibri" w:cs="Calibri"/>
      <w:b/>
      <w:bCs/>
      <w:lang w:val="gl-ES" w:eastAsia="zh-CN"/>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rsid w:val="00f47c9d"/>
    <w:pPr>
      <w:spacing w:lineRule="auto" w:line="240" w:before="0" w:after="0"/>
      <w:jc w:val="center"/>
    </w:pPr>
    <w:rPr>
      <w:rFonts w:ascii="Times New Roman" w:hAnsi="Times New Roman" w:eastAsia="Times New Roman" w:cs="Times New Roman"/>
      <w:b/>
      <w:bCs/>
      <w:sz w:val="24"/>
      <w:szCs w:val="24"/>
      <w:lang w:val="es-ES"/>
    </w:rPr>
  </w:style>
  <w:style w:type="paragraph" w:styleId="Lista">
    <w:name w:val="List"/>
    <w:basedOn w:val="Cuerpodetexto"/>
    <w:rsid w:val="00f47c9d"/>
    <w:pPr/>
    <w:rPr>
      <w:rFonts w:cs="Mangal"/>
    </w:rPr>
  </w:style>
  <w:style w:type="paragraph" w:styleId="Leyenda">
    <w:name w:val="Caption"/>
    <w:basedOn w:val="Normal"/>
    <w:qFormat/>
    <w:pPr>
      <w:suppressLineNumbers/>
      <w:spacing w:before="120" w:after="120"/>
    </w:pPr>
    <w:rPr>
      <w:rFonts w:ascii="Brother 1816" w:hAnsi="Brother 1816" w:cs="Arial"/>
      <w:i/>
      <w:iCs/>
      <w:sz w:val="24"/>
      <w:szCs w:val="24"/>
    </w:rPr>
  </w:style>
  <w:style w:type="paragraph" w:styleId="Ndice" w:customStyle="1">
    <w:name w:val="Índice"/>
    <w:basedOn w:val="Normal"/>
    <w:qFormat/>
    <w:rsid w:val="00f47c9d"/>
    <w:pPr>
      <w:suppressLineNumbers/>
    </w:pPr>
    <w:rPr>
      <w:rFonts w:cs="Mangal"/>
    </w:rPr>
  </w:style>
  <w:style w:type="paragraph" w:styleId="Ttulo2" w:customStyle="1">
    <w:name w:val="Título2"/>
    <w:basedOn w:val="Normal"/>
    <w:next w:val="Cuerpodetexto"/>
    <w:qFormat/>
    <w:rsid w:val="00f47c9d"/>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f47c9d"/>
    <w:pPr>
      <w:suppressLineNumbers/>
      <w:spacing w:before="120" w:after="120"/>
    </w:pPr>
    <w:rPr>
      <w:rFonts w:cs="Arial"/>
      <w:i/>
      <w:iCs/>
      <w:sz w:val="24"/>
      <w:szCs w:val="24"/>
    </w:rPr>
  </w:style>
  <w:style w:type="paragraph" w:styleId="Ttulo1" w:customStyle="1">
    <w:name w:val="Título1"/>
    <w:basedOn w:val="Normal"/>
    <w:next w:val="Cuerpodetexto"/>
    <w:qFormat/>
    <w:rsid w:val="00f47c9d"/>
    <w:pPr>
      <w:keepNext w:val="true"/>
      <w:spacing w:before="240" w:after="120"/>
    </w:pPr>
    <w:rPr>
      <w:rFonts w:ascii="Liberation Sans" w:hAnsi="Liberation Sans" w:eastAsia="Microsoft YaHei" w:cs="Mangal"/>
      <w:sz w:val="28"/>
      <w:szCs w:val="28"/>
    </w:rPr>
  </w:style>
  <w:style w:type="paragraph" w:styleId="Epgrafe1" w:customStyle="1">
    <w:name w:val="Epígrafe1"/>
    <w:basedOn w:val="Normal"/>
    <w:qFormat/>
    <w:rsid w:val="00f47c9d"/>
    <w:pPr>
      <w:suppressLineNumbers/>
      <w:spacing w:before="120" w:after="120"/>
    </w:pPr>
    <w:rPr>
      <w:rFonts w:cs="Mangal"/>
      <w:i/>
      <w:iCs/>
      <w:sz w:val="24"/>
      <w:szCs w:val="24"/>
    </w:rPr>
  </w:style>
  <w:style w:type="paragraph" w:styleId="Cabeceraypie" w:customStyle="1">
    <w:name w:val="Cabecera y pie"/>
    <w:basedOn w:val="Normal"/>
    <w:qFormat/>
    <w:rsid w:val="00f47c9d"/>
    <w:pPr>
      <w:suppressLineNumbers/>
      <w:tabs>
        <w:tab w:val="clear" w:pos="708"/>
        <w:tab w:val="center" w:pos="4819" w:leader="none"/>
        <w:tab w:val="right" w:pos="9638" w:leader="none"/>
      </w:tabs>
    </w:pPr>
    <w:rPr/>
  </w:style>
  <w:style w:type="paragraph" w:styleId="Cabecera">
    <w:name w:val="Header"/>
    <w:basedOn w:val="Normal"/>
    <w:rsid w:val="00f47c9d"/>
    <w:pPr>
      <w:tabs>
        <w:tab w:val="clear" w:pos="708"/>
        <w:tab w:val="center" w:pos="4252" w:leader="none"/>
        <w:tab w:val="right" w:pos="8504" w:leader="none"/>
      </w:tabs>
    </w:pPr>
    <w:rPr/>
  </w:style>
  <w:style w:type="paragraph" w:styleId="Piedepgina">
    <w:name w:val="Footer"/>
    <w:basedOn w:val="Normal"/>
    <w:rsid w:val="00f47c9d"/>
    <w:pPr>
      <w:tabs>
        <w:tab w:val="clear" w:pos="708"/>
        <w:tab w:val="center" w:pos="4252" w:leader="none"/>
        <w:tab w:val="right" w:pos="8504" w:leader="none"/>
      </w:tabs>
    </w:pPr>
    <w:rPr/>
  </w:style>
  <w:style w:type="paragraph" w:styleId="BalloonText">
    <w:name w:val="Balloon Text"/>
    <w:basedOn w:val="Normal"/>
    <w:qFormat/>
    <w:rsid w:val="00f47c9d"/>
    <w:pPr>
      <w:spacing w:lineRule="auto" w:line="240" w:before="0" w:after="0"/>
    </w:pPr>
    <w:rPr>
      <w:rFonts w:ascii="Tahoma" w:hAnsi="Tahoma" w:cs="Tahoma"/>
      <w:sz w:val="16"/>
      <w:szCs w:val="16"/>
    </w:rPr>
  </w:style>
  <w:style w:type="paragraph" w:styleId="Contenidodelmarco" w:customStyle="1">
    <w:name w:val="Contenido del marco"/>
    <w:basedOn w:val="Normal"/>
    <w:qFormat/>
    <w:rsid w:val="00f47c9d"/>
    <w:pPr/>
    <w:rPr/>
  </w:style>
  <w:style w:type="paragraph" w:styleId="Annotationtext">
    <w:name w:val="annotation text"/>
    <w:basedOn w:val="Normal"/>
    <w:link w:val="TextodecomentarioCarc"/>
    <w:uiPriority w:val="99"/>
    <w:semiHidden/>
    <w:unhideWhenUsed/>
    <w:qFormat/>
    <w:rsid w:val="00be5059"/>
    <w:pPr>
      <w:spacing w:lineRule="auto" w:line="240"/>
    </w:pPr>
    <w:rPr>
      <w:sz w:val="20"/>
      <w:szCs w:val="20"/>
    </w:rPr>
  </w:style>
  <w:style w:type="paragraph" w:styleId="Annotationsubject">
    <w:name w:val="annotation subject"/>
    <w:basedOn w:val="Annotationtext"/>
    <w:next w:val="Annotationtext"/>
    <w:link w:val="AsuntodocomentarioCarc"/>
    <w:uiPriority w:val="99"/>
    <w:semiHidden/>
    <w:unhideWhenUsed/>
    <w:qFormat/>
    <w:rsid w:val="00be5059"/>
    <w:pPr/>
    <w:rPr>
      <w:b/>
      <w:bCs/>
    </w:rPr>
  </w:style>
  <w:style w:type="paragraph" w:styleId="NormalTable">
    <w:name w:val="Normal Table"/>
    <w:qFormat/>
    <w:pPr>
      <w:widowControl/>
      <w:suppressAutoHyphens w:val="true"/>
      <w:bidi w:val="0"/>
      <w:spacing w:before="0" w:after="0"/>
      <w:jc w:val="left"/>
      <w:textAlignment w:val="auto"/>
    </w:pPr>
    <w:rPr>
      <w:rFonts w:ascii="Times New Roman" w:hAnsi="Times New Roman" w:eastAsia="Calibri" w:cs="Times New Roman"/>
      <w:color w:val="auto"/>
      <w:kern w:val="0"/>
      <w:sz w:val="20"/>
      <w:szCs w:val="20"/>
      <w:lang w:val="es-ES" w:eastAsia="es-ES" w:bidi="ar-SA"/>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7DF35-DB7F-4A49-A888-A371BA020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Application>LibreOffice/7.2.6.2$Windows_X86_64 LibreOffice_project/b0ec3a565991f7569a5a7f5d24fed7f52653d754</Application>
  <AppVersion>15.0000</AppVersion>
  <Pages>4</Pages>
  <Words>1030</Words>
  <Characters>5593</Characters>
  <CharactersWithSpaces>6607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2022-06-16T20:50:00Z</dcterms:created>
  <dc:creator>tesusr1</dc:creator>
  <dc:description/>
  <dc:language>gl-ES</dc:language>
  <cp:lastModifiedBy/>
  <dcterms:modified xsi:type="dcterms:W3CDTF">2025-11-14T12:48:07Z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