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8F4" w:rsidRDefault="00AC38F4" w:rsidP="00AC38F4">
      <w:pPr>
        <w:jc w:val="both"/>
        <w:rPr>
          <w:rFonts w:ascii="Arial" w:hAnsi="Arial" w:cs="Arial"/>
        </w:rPr>
      </w:pPr>
    </w:p>
    <w:p w:rsid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Anexo I Bases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b/>
        </w:rPr>
      </w:pPr>
      <w:r w:rsidRPr="00AC38F4">
        <w:rPr>
          <w:rFonts w:ascii="Arial" w:hAnsi="Arial" w:cs="Arial"/>
          <w:b/>
        </w:rPr>
        <w:t>CONVOCATORIA PARA LA CONCESIÓN DE SUBVENCIONES, EN RÉGIMEN DE CONCURRENCIA COMPETITIVA, PARA ACTIVIDADES DEPORTIVAS EXTRAESCOLARES, DESTINADAS A LA PREVENCIÓN DEL RIESGO DE EXCLUSIÓN SOCIAL INFANTIL DE SENTMENAT. CURSO 2025-2026</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1.- Bases Reguladoras Específicas y diario oficial donde se han publicado</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Reglamento Municipal sobre los Criterios para el otorgamiento de las prestaciones económicas de carácter social, aprobado inicialmente mediante acuerdo plenario del Ayuntamiento de </w:t>
      </w:r>
      <w:proofErr w:type="spellStart"/>
      <w:r w:rsidRPr="00AC38F4">
        <w:rPr>
          <w:rFonts w:ascii="Arial" w:hAnsi="Arial" w:cs="Arial"/>
        </w:rPr>
        <w:t>Sentmenat</w:t>
      </w:r>
      <w:proofErr w:type="spellEnd"/>
      <w:r w:rsidRPr="00AC38F4">
        <w:rPr>
          <w:rFonts w:ascii="Arial" w:hAnsi="Arial" w:cs="Arial"/>
        </w:rPr>
        <w:t xml:space="preserve"> adoptado el día 28 de noviembre de 2019 y publicado en el Boletín Oficial de la Provincia de Barcelona de 11 de junio de 2020.</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2.- Cuantía total máxima de las subvenciones a otorgar y consignación presupuestaria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El presupuesto máximo que se destinará este año 2025 para la concesión de las subvenciones objeto de la presente convocatoria será de 10.000€ con cargo a la aplicación 330-2311-48000 Becas y ayudas sociales del presupuesto del ejercicio 2025 de la concejalía de acción social. No podrán otorgarse subvenciones por importe superior al citado.</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3.- Objeto, condiciones y finalidad de las subvenciones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El objeto de las subvenciones de la presente convocatoria es financiar actividades deportivas para la prevención del riesgo de exclusión social infantil de </w:t>
      </w:r>
      <w:proofErr w:type="spellStart"/>
      <w:r w:rsidRPr="00AC38F4">
        <w:rPr>
          <w:rFonts w:ascii="Arial" w:hAnsi="Arial" w:cs="Arial"/>
        </w:rPr>
        <w:t>Sentmenat</w:t>
      </w:r>
      <w:proofErr w:type="spellEnd"/>
      <w:r w:rsidRPr="00AC38F4">
        <w:rPr>
          <w:rFonts w:ascii="Arial" w:hAnsi="Arial" w:cs="Arial"/>
        </w:rPr>
        <w:t xml:space="preserve"> para el curso 2025-2026.</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4.- Procedimiento de concesión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El procedimiento de concesión de las subvenciones objeto de esta convocatoria será el de concurrencia competitiva.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5.- Requisitos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Podrán ser beneficiarios/as de estas subvenciones los niños de entre 6 y 16 años empadronados en </w:t>
      </w:r>
      <w:proofErr w:type="spellStart"/>
      <w:r w:rsidRPr="00AC38F4">
        <w:rPr>
          <w:rFonts w:ascii="Arial" w:hAnsi="Arial" w:cs="Arial"/>
        </w:rPr>
        <w:t>Sentmenat</w:t>
      </w:r>
      <w:proofErr w:type="spellEnd"/>
      <w:r w:rsidRPr="00AC38F4">
        <w:rPr>
          <w:rFonts w:ascii="Arial" w:hAnsi="Arial" w:cs="Arial"/>
        </w:rPr>
        <w:t xml:space="preserve">, con ficha en Clubs deportivos y otras entidades deportivas de </w:t>
      </w:r>
      <w:proofErr w:type="spellStart"/>
      <w:r w:rsidRPr="00AC38F4">
        <w:rPr>
          <w:rFonts w:ascii="Arial" w:hAnsi="Arial" w:cs="Arial"/>
        </w:rPr>
        <w:t>Sentmenat</w:t>
      </w:r>
      <w:proofErr w:type="spellEnd"/>
      <w:r w:rsidRPr="00AC38F4">
        <w:rPr>
          <w:rFonts w:ascii="Arial" w:hAnsi="Arial" w:cs="Arial"/>
        </w:rPr>
        <w:t xml:space="preserve"> inscritos en el registro del Ayuntamiento, siempre que no estén afectadas por ninguna de las prohibiciones contenidas en el art. 13 de la Ley 38/2003, de 17 de noviembre, General de Subvenciones (en adelante LGS).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Podrán solicitar las ayudas los padres, madres, tutores legales o personas encargadas temporal o definitivamente de la guarda de las personas beneficiarias siempre y cuando no reciban ninguna otra ayuda por el mismo concepto de otras administraciones o entes públicos o privados, o en todo caso que las subvenciones recibidas no superen la totalidad del coste del concepto por el que se solicita la ayuda.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Sin embargo, en casos excepcionales, cuando los servicios sociales municipales así lo consideren y lo propongan, se puede conceder la ayuda a pesar de no cumplir estos requisitos.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6.- Documentos que deben acompañar a la solicitud</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6.1 Documentación general:</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 Ficha de inscripción en el club deportivo o entidad deportiva para el curso 2025-26.</w:t>
      </w:r>
    </w:p>
    <w:p w:rsidR="00AC38F4" w:rsidRPr="00AC38F4" w:rsidRDefault="00AC38F4" w:rsidP="00AC38F4">
      <w:pPr>
        <w:jc w:val="both"/>
        <w:rPr>
          <w:rFonts w:ascii="Arial" w:hAnsi="Arial" w:cs="Arial"/>
        </w:rPr>
      </w:pPr>
      <w:r w:rsidRPr="00AC38F4">
        <w:rPr>
          <w:rFonts w:ascii="Arial" w:hAnsi="Arial" w:cs="Arial"/>
        </w:rPr>
        <w:t>b) Documentación que acredite la situación económica de la unidad familiar de convivencia:</w:t>
      </w:r>
    </w:p>
    <w:p w:rsidR="00AC38F4" w:rsidRPr="00AC38F4" w:rsidRDefault="00AC38F4" w:rsidP="00AC38F4">
      <w:pPr>
        <w:jc w:val="both"/>
        <w:rPr>
          <w:rFonts w:ascii="Arial" w:hAnsi="Arial" w:cs="Arial"/>
        </w:rPr>
      </w:pPr>
      <w:r w:rsidRPr="00AC38F4">
        <w:rPr>
          <w:rFonts w:ascii="Arial" w:hAnsi="Arial" w:cs="Arial"/>
        </w:rPr>
        <w:t>- Cualquier justificante admitido en derecho de la totalidad de ingresos de todos los miembros de la unidad familiar de convivencia correspondientes a los determinados meses para cada tipo de ayuda.</w:t>
      </w:r>
    </w:p>
    <w:p w:rsidR="00AC38F4" w:rsidRPr="00AC38F4" w:rsidRDefault="00AC38F4" w:rsidP="00AC38F4">
      <w:pPr>
        <w:jc w:val="both"/>
        <w:rPr>
          <w:rFonts w:ascii="Arial" w:hAnsi="Arial" w:cs="Arial"/>
        </w:rPr>
      </w:pPr>
      <w:r w:rsidRPr="00AC38F4">
        <w:rPr>
          <w:rFonts w:ascii="Arial" w:hAnsi="Arial" w:cs="Arial"/>
        </w:rPr>
        <w:t>- En caso de no disponer de los justificantes, será necesario aportar una declaración jurada de ingresos de la unidad familiar.</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6.2. Documentación Específica: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 En caso de divorcio/separación, sentencia y/o convenio regulador de los hijos.</w:t>
      </w:r>
    </w:p>
    <w:p w:rsidR="00AC38F4" w:rsidRPr="00AC38F4" w:rsidRDefault="00AC38F4" w:rsidP="00AC38F4">
      <w:pPr>
        <w:jc w:val="both"/>
        <w:rPr>
          <w:rFonts w:ascii="Arial" w:hAnsi="Arial" w:cs="Arial"/>
        </w:rPr>
      </w:pPr>
      <w:r w:rsidRPr="00AC38F4">
        <w:rPr>
          <w:rFonts w:ascii="Arial" w:hAnsi="Arial" w:cs="Arial"/>
        </w:rPr>
        <w:t>b) Si la solicitud fuera presentada en representación de la persona solicitante, esta solicitud deberá ser firmada por el/por la representante legal, y deberá acompañarse de la siguiente documentación:</w:t>
      </w:r>
    </w:p>
    <w:p w:rsidR="00AC38F4" w:rsidRPr="00AC38F4" w:rsidRDefault="00AC38F4" w:rsidP="00AC38F4">
      <w:pPr>
        <w:jc w:val="both"/>
        <w:rPr>
          <w:rFonts w:ascii="Arial" w:hAnsi="Arial" w:cs="Arial"/>
        </w:rPr>
      </w:pPr>
      <w:r w:rsidRPr="00AC38F4">
        <w:rPr>
          <w:rFonts w:ascii="Arial" w:hAnsi="Arial" w:cs="Arial"/>
        </w:rPr>
        <w:t>- Fotocopia del DNI de la persona representante legal.</w:t>
      </w:r>
    </w:p>
    <w:p w:rsidR="00AC38F4" w:rsidRPr="00AC38F4" w:rsidRDefault="00AC38F4" w:rsidP="00AC38F4">
      <w:pPr>
        <w:jc w:val="both"/>
        <w:rPr>
          <w:rFonts w:ascii="Arial" w:hAnsi="Arial" w:cs="Arial"/>
        </w:rPr>
      </w:pPr>
      <w:r w:rsidRPr="00AC38F4">
        <w:rPr>
          <w:rFonts w:ascii="Arial" w:hAnsi="Arial" w:cs="Arial"/>
        </w:rPr>
        <w:lastRenderedPageBreak/>
        <w:t>- Documentación que acredite la condición de representante legal de la persona solicitante.</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6.3 Los equipos básicos de atención social podrán solicitar aquella documentación, datos, o aclaraciones que se consideren necesarias para resolver la solicitud.</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En ningún caso se reclamará documentación que ya </w:t>
      </w:r>
      <w:proofErr w:type="gramStart"/>
      <w:r w:rsidRPr="00AC38F4">
        <w:rPr>
          <w:rFonts w:ascii="Arial" w:hAnsi="Arial" w:cs="Arial"/>
        </w:rPr>
        <w:t>conste</w:t>
      </w:r>
      <w:proofErr w:type="gramEnd"/>
      <w:r w:rsidRPr="00AC38F4">
        <w:rPr>
          <w:rFonts w:ascii="Arial" w:hAnsi="Arial" w:cs="Arial"/>
        </w:rPr>
        <w:t xml:space="preserve"> en el expediente del solicitante o de la unidad familiar, ni aquella que se pueda conseguir de oficio en otros servicios municipales u otras administraciones según lo previsto en los arts. 28 y 53.d) de la Ley 39/2015, de 1 de octubre, del Procedimiento Administrativo Común de las Administraciones Públicas.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Toda esta documentación acreditativa será incorporada en el expediente de la persona o la unidad familiar.</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7.- Plazo, forma y lugar de presentación de las solicitudes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El plazo de presentación de las solicitudes será desde el día 18 de </w:t>
      </w:r>
      <w:proofErr w:type="gramStart"/>
      <w:r w:rsidRPr="00AC38F4">
        <w:rPr>
          <w:rFonts w:ascii="Arial" w:hAnsi="Arial" w:cs="Arial"/>
        </w:rPr>
        <w:t>Septiembre</w:t>
      </w:r>
      <w:proofErr w:type="gramEnd"/>
      <w:r w:rsidRPr="00AC38F4">
        <w:rPr>
          <w:rFonts w:ascii="Arial" w:hAnsi="Arial" w:cs="Arial"/>
        </w:rPr>
        <w:t xml:space="preserve"> al 17 de Octubre de 2025, ambos inclusive.</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Las solicitudes conjuntamente con la documentación exigida se tendrán que presentar en el Registro del Ayuntamiento por cualquiera de las siguientes vías: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a) Preferentemente, de forma telemática, en la Sede electrónica de la web del ayuntamiento de </w:t>
      </w:r>
      <w:proofErr w:type="spellStart"/>
      <w:r w:rsidRPr="00AC38F4">
        <w:rPr>
          <w:rFonts w:ascii="Arial" w:hAnsi="Arial" w:cs="Arial"/>
        </w:rPr>
        <w:t>Sentmenat</w:t>
      </w:r>
      <w:proofErr w:type="spellEnd"/>
      <w:r w:rsidRPr="00AC38F4">
        <w:rPr>
          <w:rFonts w:ascii="Arial" w:hAnsi="Arial" w:cs="Arial"/>
        </w:rPr>
        <w:t xml:space="preserve"> https://sentmenat.eadministracio.cat. Para utilizar esta vía será necesario tener un certificado digital (</w:t>
      </w:r>
      <w:proofErr w:type="spellStart"/>
      <w:r w:rsidRPr="00AC38F4">
        <w:rPr>
          <w:rFonts w:ascii="Arial" w:hAnsi="Arial" w:cs="Arial"/>
        </w:rPr>
        <w:t>idcat</w:t>
      </w:r>
      <w:proofErr w:type="spellEnd"/>
      <w:r w:rsidRPr="00AC38F4">
        <w:rPr>
          <w:rFonts w:ascii="Arial" w:hAnsi="Arial" w:cs="Arial"/>
        </w:rPr>
        <w:t xml:space="preserve">, </w:t>
      </w:r>
      <w:proofErr w:type="spellStart"/>
      <w:r w:rsidRPr="00AC38F4">
        <w:rPr>
          <w:rFonts w:ascii="Arial" w:hAnsi="Arial" w:cs="Arial"/>
        </w:rPr>
        <w:t>Idcatmóvil</w:t>
      </w:r>
      <w:proofErr w:type="spellEnd"/>
      <w:r w:rsidRPr="00AC38F4">
        <w:rPr>
          <w:rFonts w:ascii="Arial" w:hAnsi="Arial" w:cs="Arial"/>
        </w:rPr>
        <w:t>, Clave, clave PIN, etc.)</w:t>
      </w:r>
    </w:p>
    <w:p w:rsidR="00AC38F4" w:rsidRPr="00AC38F4" w:rsidRDefault="00AC38F4" w:rsidP="00AC38F4">
      <w:pPr>
        <w:jc w:val="both"/>
        <w:rPr>
          <w:rFonts w:ascii="Arial" w:hAnsi="Arial" w:cs="Arial"/>
        </w:rPr>
      </w:pPr>
      <w:r w:rsidRPr="00AC38F4">
        <w:rPr>
          <w:rFonts w:ascii="Arial" w:hAnsi="Arial" w:cs="Arial"/>
        </w:rPr>
        <w:t>b) Presencialmente en la oficina de atención ciudadana (plaza de la Vila, 1)</w:t>
      </w:r>
    </w:p>
    <w:p w:rsidR="00AC38F4" w:rsidRPr="00AC38F4" w:rsidRDefault="00AC38F4" w:rsidP="00AC38F4">
      <w:pPr>
        <w:jc w:val="both"/>
        <w:rPr>
          <w:rFonts w:ascii="Arial" w:hAnsi="Arial" w:cs="Arial"/>
        </w:rPr>
      </w:pPr>
      <w:r w:rsidRPr="00AC38F4">
        <w:rPr>
          <w:rFonts w:ascii="Arial" w:hAnsi="Arial" w:cs="Arial"/>
        </w:rPr>
        <w:t>c) También se podrán presentar en cualquiera de los lugares previstos en el artículo 16 de la Ley 39/2015, de 1 de octubre, de Procedimiento Administrativo Común de las Administraciones Públicas.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La presentación de la solicitud de subvención presupone el conocimiento y aceptación de las normas que la regulan. Dicha documentación deberá presentarse en cualquiera de las lenguas cooficiales de Cataluña, irá debidamente firmada por la persona solicitante y será original o copia debidamente autenticada.</w:t>
      </w:r>
    </w:p>
    <w:p w:rsidR="00AC38F4" w:rsidRPr="00AC38F4" w:rsidRDefault="00AC38F4" w:rsidP="00AC38F4">
      <w:pPr>
        <w:jc w:val="both"/>
        <w:rPr>
          <w:rFonts w:ascii="Arial" w:hAnsi="Arial" w:cs="Arial"/>
        </w:rPr>
      </w:pPr>
      <w:r w:rsidRPr="00AC38F4">
        <w:rPr>
          <w:rFonts w:ascii="Arial" w:hAnsi="Arial" w:cs="Arial"/>
        </w:rPr>
        <w:t xml:space="preserve">Todas las solicitudes tendrán que tener marcadas las casillas de declaración responsable y consentimiento de tratamiento de datos. Todas aquellas solicitudes que </w:t>
      </w:r>
      <w:r w:rsidRPr="00AC38F4">
        <w:rPr>
          <w:rFonts w:ascii="Arial" w:hAnsi="Arial" w:cs="Arial"/>
        </w:rPr>
        <w:lastRenderedPageBreak/>
        <w:t>no tengan marcadas las casillas de autorización tendrán que ir acompañadas de la documentación pertinente para poder comprobar los requisitos.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8.- Rectificación de defectos u omisiones en la documentación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En caso de que la documentación presentada sea incorrecta o incompleta, se requerirá al/a la beneficiario/a, a fin de </w:t>
      </w:r>
      <w:proofErr w:type="gramStart"/>
      <w:r w:rsidRPr="00AC38F4">
        <w:rPr>
          <w:rFonts w:ascii="Arial" w:hAnsi="Arial" w:cs="Arial"/>
        </w:rPr>
        <w:t>que</w:t>
      </w:r>
      <w:proofErr w:type="gramEnd"/>
      <w:r w:rsidRPr="00AC38F4">
        <w:rPr>
          <w:rFonts w:ascii="Arial" w:hAnsi="Arial" w:cs="Arial"/>
        </w:rPr>
        <w:t xml:space="preserve"> en el plazo de diez días hábiles a partir del día siguiente a la notificación, proceda a su rectificación </w:t>
      </w:r>
      <w:proofErr w:type="spellStart"/>
      <w:r w:rsidRPr="00AC38F4">
        <w:rPr>
          <w:rFonts w:ascii="Arial" w:hAnsi="Arial" w:cs="Arial"/>
        </w:rPr>
        <w:t>oa</w:t>
      </w:r>
      <w:proofErr w:type="spellEnd"/>
      <w:r w:rsidRPr="00AC38F4">
        <w:rPr>
          <w:rFonts w:ascii="Arial" w:hAnsi="Arial" w:cs="Arial"/>
        </w:rPr>
        <w:t xml:space="preserve"> las enmiendas necesarias, con la indicación de que si no lo hace así se entenderá por desistido de su solicitud.</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9.- Órganos competentes para la instrucción y la propuesta de concesión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Dentro de los límites del crédito presupuestario, corresponde al Alcalde la competencia para otorgar las subvenciones que se regulan en estas bases. Esta competencia se extenderá también a todos los actos posteriores referidos a las propias subvenciones.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10.- Resolución y notificación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Se examinarán conjuntamente, en un solo procedimiento todas las solicitudes presentadas dentro del plazo establecido, resolviéndose en un único acto administrativo. El acto que resuelva el procedimiento de concesión de la subvención será motivado y deberá producirse en el plazo máximo de dos meses desde la expiración del plazo de presentación de solicitudes. El acto de concesión debe expresar el solicitante o la relación de solicitantes a los que se concede la subvención y la cuantía otorgada, haciendo constar expresamente que el acto resolutorio es denegatorio del resto de las solicitudes. El acto de concesión agota la vía administrativa y se notificará individualmente a los interesados. Si no se produce resolución expresa dentro de dicho plazo, las solicitudes se entenderán desestimadas.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El Ayuntamiento de </w:t>
      </w:r>
      <w:proofErr w:type="spellStart"/>
      <w:r w:rsidRPr="00AC38F4">
        <w:rPr>
          <w:rFonts w:ascii="Arial" w:hAnsi="Arial" w:cs="Arial"/>
        </w:rPr>
        <w:t>Sentmenat</w:t>
      </w:r>
      <w:proofErr w:type="spellEnd"/>
      <w:r w:rsidRPr="00AC38F4">
        <w:rPr>
          <w:rFonts w:ascii="Arial" w:hAnsi="Arial" w:cs="Arial"/>
        </w:rPr>
        <w:t xml:space="preserve"> notificará a los beneficiarios ya los clubes y otras entidades deportivas inscritas en el registro del ayuntamiento de </w:t>
      </w:r>
      <w:proofErr w:type="spellStart"/>
      <w:r w:rsidRPr="00AC38F4">
        <w:rPr>
          <w:rFonts w:ascii="Arial" w:hAnsi="Arial" w:cs="Arial"/>
        </w:rPr>
        <w:t>Sentmenat</w:t>
      </w:r>
      <w:proofErr w:type="spellEnd"/>
      <w:r w:rsidRPr="00AC38F4">
        <w:rPr>
          <w:rFonts w:ascii="Arial" w:hAnsi="Arial" w:cs="Arial"/>
        </w:rPr>
        <w:t xml:space="preserve"> el nombre de los/las jugadores/as que disfrutarán de esta ayuda, así como la cantidad de la ayuda.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En caso de empate de puntuación entre beneficiarios y que por motivos presupuestarios no se pudiera cubrir a todos los beneficiarios que han obtenido la misma puntuación, se tendrá en cuenta el número de registro de entrada, teniendo preferencia los que entraron la solicitud primero.</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lastRenderedPageBreak/>
        <w:t xml:space="preserve">Dado el carácter excepcional de las ayudas contempladas en estas bases se exceptúa a los beneficiarios de estar al corriente de obligaciones tributarias con el Ayuntamiento de </w:t>
      </w:r>
      <w:proofErr w:type="spellStart"/>
      <w:r w:rsidRPr="00AC38F4">
        <w:rPr>
          <w:rFonts w:ascii="Arial" w:hAnsi="Arial" w:cs="Arial"/>
        </w:rPr>
        <w:t>Sentmenat</w:t>
      </w:r>
      <w:proofErr w:type="spellEnd"/>
      <w:r w:rsidRPr="00AC38F4">
        <w:rPr>
          <w:rFonts w:ascii="Arial" w:hAnsi="Arial" w:cs="Arial"/>
        </w:rPr>
        <w:t>.</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Las ayudas pueden ser revocadas de oficio </w:t>
      </w:r>
      <w:proofErr w:type="spellStart"/>
      <w:r w:rsidRPr="00AC38F4">
        <w:rPr>
          <w:rFonts w:ascii="Arial" w:hAnsi="Arial" w:cs="Arial"/>
        </w:rPr>
        <w:t>oa</w:t>
      </w:r>
      <w:proofErr w:type="spellEnd"/>
      <w:r w:rsidRPr="00AC38F4">
        <w:rPr>
          <w:rFonts w:ascii="Arial" w:hAnsi="Arial" w:cs="Arial"/>
        </w:rPr>
        <w:t xml:space="preserve"> instancia de parte, mediante comunicación del Ayuntamiento de </w:t>
      </w:r>
      <w:proofErr w:type="spellStart"/>
      <w:r w:rsidRPr="00AC38F4">
        <w:rPr>
          <w:rFonts w:ascii="Arial" w:hAnsi="Arial" w:cs="Arial"/>
        </w:rPr>
        <w:t>Sentmenat</w:t>
      </w:r>
      <w:proofErr w:type="spellEnd"/>
      <w:r w:rsidRPr="00AC38F4">
        <w:rPr>
          <w:rFonts w:ascii="Arial" w:hAnsi="Arial" w:cs="Arial"/>
        </w:rPr>
        <w:t>.</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Son causa de revocación de la ayuda:</w:t>
      </w:r>
    </w:p>
    <w:p w:rsidR="00AC38F4" w:rsidRPr="00AC38F4" w:rsidRDefault="00AC38F4" w:rsidP="00AC38F4">
      <w:pPr>
        <w:jc w:val="both"/>
        <w:rPr>
          <w:rFonts w:ascii="Arial" w:hAnsi="Arial" w:cs="Arial"/>
        </w:rPr>
      </w:pPr>
      <w:r w:rsidRPr="00AC38F4">
        <w:rPr>
          <w:rFonts w:ascii="Arial" w:hAnsi="Arial" w:cs="Arial"/>
        </w:rPr>
        <w:t>a) La ocultación o falsedad en la documentación presentada.</w:t>
      </w:r>
    </w:p>
    <w:p w:rsidR="00AC38F4" w:rsidRPr="00AC38F4" w:rsidRDefault="00AC38F4" w:rsidP="00AC38F4">
      <w:pPr>
        <w:jc w:val="both"/>
        <w:rPr>
          <w:rFonts w:ascii="Arial" w:hAnsi="Arial" w:cs="Arial"/>
        </w:rPr>
      </w:pPr>
      <w:r w:rsidRPr="00AC38F4">
        <w:rPr>
          <w:rFonts w:ascii="Arial" w:hAnsi="Arial" w:cs="Arial"/>
        </w:rPr>
        <w:t>b) El incumplimiento de las condiciones establecidas en estas bases.</w:t>
      </w:r>
    </w:p>
    <w:p w:rsidR="00AC38F4" w:rsidRPr="00AC38F4" w:rsidRDefault="00AC38F4" w:rsidP="00AC38F4">
      <w:pPr>
        <w:jc w:val="both"/>
        <w:rPr>
          <w:rFonts w:ascii="Arial" w:hAnsi="Arial" w:cs="Arial"/>
        </w:rPr>
      </w:pPr>
      <w:r w:rsidRPr="00AC38F4">
        <w:rPr>
          <w:rFonts w:ascii="Arial" w:hAnsi="Arial" w:cs="Arial"/>
        </w:rPr>
        <w:t xml:space="preserve">El Ayuntamiento de </w:t>
      </w:r>
      <w:proofErr w:type="spellStart"/>
      <w:r w:rsidRPr="00AC38F4">
        <w:rPr>
          <w:rFonts w:ascii="Arial" w:hAnsi="Arial" w:cs="Arial"/>
        </w:rPr>
        <w:t>Sentmenat</w:t>
      </w:r>
      <w:proofErr w:type="spellEnd"/>
      <w:r w:rsidRPr="00AC38F4">
        <w:rPr>
          <w:rFonts w:ascii="Arial" w:hAnsi="Arial" w:cs="Arial"/>
        </w:rPr>
        <w:t xml:space="preserve"> se reserva la posibilidad de establecer mecanismos de inspección para comprobar que el uso de las ayudas concedidas es el correcto.</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El plazo para el otorgamiento de las subvenciones será, como máximo, de cuatro meses a contar desde la fecha de resolución del procedimiento.</w:t>
      </w:r>
    </w:p>
    <w:p w:rsidR="00AC38F4" w:rsidRPr="00AC38F4" w:rsidRDefault="00AC38F4" w:rsidP="00AC38F4">
      <w:pPr>
        <w:jc w:val="both"/>
        <w:rPr>
          <w:rFonts w:ascii="Arial" w:hAnsi="Arial" w:cs="Arial"/>
        </w:rPr>
      </w:pPr>
      <w:r w:rsidRPr="00AC38F4">
        <w:rPr>
          <w:rFonts w:ascii="Arial" w:hAnsi="Arial" w:cs="Arial"/>
        </w:rPr>
        <w:t>11.- Régimen de recursos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La resolución del procedimiento pone fin a la vía administrativa, pudiendo contra la misma interponerse recurso contencioso administrativo en el plazo de dos meses a contar desde el día siguiente a su notificación.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Alternativamente y de forma potestativa, se puede interponer recurso de reposición ante el mismo órgano que lo ha dictado en el plazo de un mes a contar desde el día siguiente a su notificación.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12.- Criterios objetivos de otorgamiento de la subvención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Las subvenciones se otorgarán a aquellos solicitantes en base a la aplicación de los siguientes Baremos, tal y como se estipula en el artículo 8 del Reglamento Municipal sobre los Criterios para el otorgamiento de las prestaciones económicas de carácter social:</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Artículo 8. Criterios de otorgamiento</w:t>
      </w:r>
    </w:p>
    <w:p w:rsidR="00AC38F4" w:rsidRPr="00AC38F4" w:rsidRDefault="00AC38F4" w:rsidP="00AC38F4">
      <w:pPr>
        <w:jc w:val="both"/>
        <w:rPr>
          <w:rFonts w:ascii="Arial" w:hAnsi="Arial" w:cs="Arial"/>
        </w:rPr>
      </w:pPr>
      <w:r w:rsidRPr="00AC38F4">
        <w:rPr>
          <w:rFonts w:ascii="Arial" w:hAnsi="Arial" w:cs="Arial"/>
        </w:rPr>
        <w:t>(...)</w:t>
      </w:r>
    </w:p>
    <w:p w:rsidR="00AC38F4" w:rsidRPr="00AC38F4" w:rsidRDefault="00AC38F4" w:rsidP="00AC38F4">
      <w:pPr>
        <w:jc w:val="both"/>
        <w:rPr>
          <w:rFonts w:ascii="Arial" w:hAnsi="Arial" w:cs="Arial"/>
        </w:rPr>
      </w:pPr>
      <w:r w:rsidRPr="00AC38F4">
        <w:rPr>
          <w:rFonts w:ascii="Arial" w:hAnsi="Arial" w:cs="Arial"/>
        </w:rPr>
        <w:lastRenderedPageBreak/>
        <w:t>8.4. A efectos del cálculo final de la valoración de la situación de cada unidad familiar de convivencia, la valoración económica representará un 70% de la ponderación final y la valoración social el 30% restante.</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 Valoración económica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a.1) Para establecer la situación económica se considerarán los ingresos netos percibidos por el conjunto de miembros, la unidad familiar de convivencia durante los 3 meses anteriores a la fecha de solicitud. Para establecer el cómputo de ingresos se valorarán:</w:t>
      </w:r>
    </w:p>
    <w:p w:rsidR="00AC38F4" w:rsidRPr="00AC38F4" w:rsidRDefault="00AC38F4" w:rsidP="00AC38F4">
      <w:pPr>
        <w:jc w:val="both"/>
        <w:rPr>
          <w:rFonts w:ascii="Arial" w:hAnsi="Arial" w:cs="Arial"/>
        </w:rPr>
      </w:pPr>
      <w:r w:rsidRPr="00AC38F4">
        <w:rPr>
          <w:rFonts w:ascii="Arial" w:hAnsi="Arial" w:cs="Arial"/>
        </w:rPr>
        <w:t>1. Ingresos del trabajo por cuenta ajena.</w:t>
      </w:r>
    </w:p>
    <w:p w:rsidR="00AC38F4" w:rsidRPr="00AC38F4" w:rsidRDefault="00AC38F4" w:rsidP="00AC38F4">
      <w:pPr>
        <w:jc w:val="both"/>
        <w:rPr>
          <w:rFonts w:ascii="Arial" w:hAnsi="Arial" w:cs="Arial"/>
        </w:rPr>
      </w:pPr>
      <w:r w:rsidRPr="00AC38F4">
        <w:rPr>
          <w:rFonts w:ascii="Arial" w:hAnsi="Arial" w:cs="Arial"/>
        </w:rPr>
        <w:t>2. Beneficios y pérdidas del trabajo por cuenta propia.</w:t>
      </w:r>
    </w:p>
    <w:p w:rsidR="00AC38F4" w:rsidRPr="00AC38F4" w:rsidRDefault="00AC38F4" w:rsidP="00AC38F4">
      <w:pPr>
        <w:jc w:val="both"/>
        <w:rPr>
          <w:rFonts w:ascii="Arial" w:hAnsi="Arial" w:cs="Arial"/>
        </w:rPr>
      </w:pPr>
      <w:r w:rsidRPr="00AC38F4">
        <w:rPr>
          <w:rFonts w:ascii="Arial" w:hAnsi="Arial" w:cs="Arial"/>
        </w:rPr>
        <w:t>3. Prestaciones y ayudas sociales.</w:t>
      </w:r>
    </w:p>
    <w:p w:rsidR="00AC38F4" w:rsidRPr="00AC38F4" w:rsidRDefault="00AC38F4" w:rsidP="00AC38F4">
      <w:pPr>
        <w:jc w:val="both"/>
        <w:rPr>
          <w:rFonts w:ascii="Arial" w:hAnsi="Arial" w:cs="Arial"/>
        </w:rPr>
      </w:pPr>
      <w:r w:rsidRPr="00AC38F4">
        <w:rPr>
          <w:rFonts w:ascii="Arial" w:hAnsi="Arial" w:cs="Arial"/>
        </w:rPr>
        <w:t>4. Rentas de capital y de la propiedad.</w:t>
      </w:r>
    </w:p>
    <w:p w:rsidR="00AC38F4" w:rsidRPr="00AC38F4" w:rsidRDefault="00AC38F4" w:rsidP="00AC38F4">
      <w:pPr>
        <w:jc w:val="both"/>
        <w:rPr>
          <w:rFonts w:ascii="Arial" w:hAnsi="Arial" w:cs="Arial"/>
        </w:rPr>
      </w:pPr>
      <w:r w:rsidRPr="00AC38F4">
        <w:rPr>
          <w:rFonts w:ascii="Arial" w:hAnsi="Arial" w:cs="Arial"/>
        </w:rPr>
        <w:t>5. Transferencias recibidas y pagadas a otros hogares.</w:t>
      </w:r>
    </w:p>
    <w:p w:rsidR="00AC38F4" w:rsidRPr="00AC38F4" w:rsidRDefault="00AC38F4" w:rsidP="00AC38F4">
      <w:pPr>
        <w:jc w:val="both"/>
        <w:rPr>
          <w:rFonts w:ascii="Arial" w:hAnsi="Arial" w:cs="Arial"/>
        </w:rPr>
      </w:pPr>
      <w:r w:rsidRPr="00AC38F4">
        <w:rPr>
          <w:rFonts w:ascii="Arial" w:hAnsi="Arial" w:cs="Arial"/>
        </w:rPr>
        <w:t>6. Ingresos percibidos por niños.</w:t>
      </w:r>
    </w:p>
    <w:p w:rsidR="00AC38F4" w:rsidRPr="00AC38F4" w:rsidRDefault="00AC38F4" w:rsidP="00AC38F4">
      <w:pPr>
        <w:jc w:val="both"/>
        <w:rPr>
          <w:rFonts w:ascii="Arial" w:hAnsi="Arial" w:cs="Arial"/>
        </w:rPr>
      </w:pPr>
      <w:r w:rsidRPr="00AC38F4">
        <w:rPr>
          <w:rFonts w:ascii="Arial" w:hAnsi="Arial" w:cs="Arial"/>
        </w:rPr>
        <w:t>7. Resultados de declaraciones de impuestos.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a.2) Para calcular la Renta Disponible se descontará en el total de ingresos los gastos de acceso a la vivienda habitual de los últimos 3 meses. Por este concepto se establece un máximo de gasto mensual deducible, equivalente al valor del IRSC mensual del año en curso.</w:t>
      </w:r>
    </w:p>
    <w:p w:rsidR="00AC38F4" w:rsidRPr="00AC38F4" w:rsidRDefault="00AC38F4" w:rsidP="00AC38F4">
      <w:pPr>
        <w:jc w:val="both"/>
        <w:rPr>
          <w:rFonts w:ascii="Arial" w:hAnsi="Arial" w:cs="Arial"/>
        </w:rPr>
      </w:pPr>
    </w:p>
    <w:p w:rsidR="00AC38F4" w:rsidRDefault="00AC38F4" w:rsidP="00AC38F4">
      <w:pPr>
        <w:jc w:val="both"/>
        <w:rPr>
          <w:rFonts w:ascii="Arial" w:hAnsi="Arial" w:cs="Arial"/>
        </w:rPr>
      </w:pPr>
      <w:r w:rsidRPr="00AC38F4">
        <w:rPr>
          <w:rFonts w:ascii="Arial" w:hAnsi="Arial" w:cs="Arial"/>
        </w:rPr>
        <w:t>a.3) Se entiende, de forma general, que la unidad familiar de convivencia presenta una situación de carencia de recursos económicos cuando cumple los requisitos especificados en el artículo 7 apartado 2, letra c del presente reglamento. En función de los requisitos de acceso económico de cada tipo de unidad familiar de convivencia se establecerá la puntuación de la situación económica de la unidad que será de, como máximo, 7 puntos:</w:t>
      </w:r>
    </w:p>
    <w:p w:rsidR="00AC38F4" w:rsidRDefault="00AC38F4" w:rsidP="00AC38F4">
      <w:pPr>
        <w:jc w:val="both"/>
        <w:rPr>
          <w:rFonts w:ascii="Arial" w:hAnsi="Arial" w:cs="Arial"/>
        </w:rPr>
      </w:pPr>
    </w:p>
    <w:p w:rsidR="00AC38F4" w:rsidRDefault="00AC38F4" w:rsidP="00AC38F4">
      <w:pPr>
        <w:jc w:val="both"/>
        <w:rPr>
          <w:rFonts w:ascii="Arial" w:hAnsi="Arial" w:cs="Arial"/>
        </w:rPr>
      </w:pPr>
    </w:p>
    <w:p w:rsidR="00AC38F4" w:rsidRDefault="00AC38F4" w:rsidP="00AC38F4">
      <w:pPr>
        <w:jc w:val="both"/>
        <w:rPr>
          <w:rFonts w:ascii="Arial" w:hAnsi="Arial" w:cs="Arial"/>
        </w:rPr>
      </w:pPr>
    </w:p>
    <w:p w:rsidR="00AC38F4" w:rsidRDefault="00AC38F4" w:rsidP="00AC38F4">
      <w:pPr>
        <w:jc w:val="both"/>
        <w:rPr>
          <w:rFonts w:ascii="Arial" w:hAnsi="Arial" w:cs="Arial"/>
        </w:rPr>
      </w:pPr>
    </w:p>
    <w:p w:rsidR="00AC38F4" w:rsidRDefault="00AC38F4" w:rsidP="00AC38F4">
      <w:pPr>
        <w:jc w:val="both"/>
        <w:rPr>
          <w:rFonts w:ascii="Arial" w:hAnsi="Arial" w:cs="Arial"/>
        </w:rPr>
      </w:pPr>
    </w:p>
    <w:p w:rsidR="00AC38F4" w:rsidRPr="00AC38F4" w:rsidRDefault="00AC38F4" w:rsidP="00AC38F4">
      <w:pPr>
        <w:jc w:val="both"/>
        <w:rPr>
          <w:rFonts w:ascii="Arial" w:hAnsi="Arial" w:cs="Arial"/>
        </w:rPr>
      </w:pPr>
      <w:bookmarkStart w:id="0" w:name="_GoBack"/>
      <w:bookmarkEnd w:id="0"/>
    </w:p>
    <w:p w:rsidR="00AC38F4" w:rsidRPr="00AC38F4" w:rsidRDefault="00AC38F4" w:rsidP="00AC38F4">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4"/>
        <w:gridCol w:w="1701"/>
      </w:tblGrid>
      <w:tr w:rsidR="00AC38F4" w:rsidTr="00542B72">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p w:rsidR="00AC38F4" w:rsidRDefault="00AC38F4" w:rsidP="00542B72">
            <w:pPr>
              <w:tabs>
                <w:tab w:val="left" w:pos="4135"/>
              </w:tabs>
              <w:autoSpaceDE w:val="0"/>
              <w:autoSpaceDN w:val="0"/>
              <w:adjustRightInd w:val="0"/>
              <w:ind w:left="166" w:right="367"/>
              <w:jc w:val="both"/>
              <w:rPr>
                <w:rFonts w:cs="Arial"/>
                <w:i/>
                <w:color w:val="000000"/>
              </w:rPr>
            </w:pPr>
            <w:r>
              <w:rPr>
                <w:rFonts w:cs="Arial"/>
                <w:b/>
                <w:bCs/>
                <w:i/>
                <w:color w:val="000000"/>
              </w:rPr>
              <w:lastRenderedPageBreak/>
              <w:t xml:space="preserve">Taula de </w:t>
            </w:r>
            <w:proofErr w:type="spellStart"/>
            <w:r>
              <w:rPr>
                <w:rFonts w:cs="Arial"/>
                <w:b/>
                <w:bCs/>
                <w:i/>
                <w:color w:val="000000"/>
              </w:rPr>
              <w:t>puntuació</w:t>
            </w:r>
            <w:proofErr w:type="spellEnd"/>
            <w:r>
              <w:rPr>
                <w:rFonts w:cs="Arial"/>
                <w:b/>
                <w:bCs/>
                <w:i/>
                <w:color w:val="000000"/>
              </w:rPr>
              <w:t xml:space="preserve"> per la </w:t>
            </w:r>
            <w:proofErr w:type="spellStart"/>
            <w:r>
              <w:rPr>
                <w:rFonts w:cs="Arial"/>
                <w:b/>
                <w:bCs/>
                <w:i/>
                <w:color w:val="000000"/>
              </w:rPr>
              <w:t>valoració</w:t>
            </w:r>
            <w:proofErr w:type="spellEnd"/>
            <w:r>
              <w:rPr>
                <w:rFonts w:cs="Arial"/>
                <w:b/>
                <w:bCs/>
                <w:i/>
                <w:color w:val="000000"/>
              </w:rPr>
              <w:t xml:space="preserve"> </w:t>
            </w:r>
            <w:proofErr w:type="spellStart"/>
            <w:r>
              <w:rPr>
                <w:rFonts w:cs="Arial"/>
                <w:b/>
                <w:bCs/>
                <w:i/>
                <w:color w:val="000000"/>
              </w:rPr>
              <w:t>econòmica</w:t>
            </w:r>
            <w:proofErr w:type="spellEnd"/>
            <w:r>
              <w:rPr>
                <w:rFonts w:cs="Arial"/>
                <w:b/>
                <w:bCs/>
                <w:i/>
                <w:color w:val="000000"/>
              </w:rPr>
              <w:t xml:space="preserve"> </w:t>
            </w:r>
            <w:proofErr w:type="spellStart"/>
            <w:r>
              <w:rPr>
                <w:rFonts w:cs="Arial"/>
                <w:b/>
                <w:bCs/>
                <w:i/>
                <w:color w:val="000000"/>
              </w:rPr>
              <w:t>segons</w:t>
            </w:r>
            <w:proofErr w:type="spellEnd"/>
            <w:r>
              <w:rPr>
                <w:rFonts w:cs="Arial"/>
                <w:b/>
                <w:bCs/>
                <w:i/>
                <w:color w:val="000000"/>
              </w:rPr>
              <w:t xml:space="preserve"> el </w:t>
            </w:r>
            <w:proofErr w:type="spellStart"/>
            <w:r>
              <w:rPr>
                <w:rFonts w:cs="Arial"/>
                <w:b/>
                <w:bCs/>
                <w:i/>
                <w:color w:val="000000"/>
              </w:rPr>
              <w:t>tram</w:t>
            </w:r>
            <w:proofErr w:type="spellEnd"/>
            <w:r>
              <w:rPr>
                <w:rFonts w:cs="Arial"/>
                <w:b/>
                <w:bCs/>
                <w:i/>
                <w:color w:val="000000"/>
              </w:rPr>
              <w:t xml:space="preserve"> de renda disponible</w:t>
            </w:r>
          </w:p>
        </w:tc>
        <w:tc>
          <w:tcPr>
            <w:tcW w:w="1701" w:type="dxa"/>
            <w:tcBorders>
              <w:top w:val="single" w:sz="4" w:space="0" w:color="auto"/>
              <w:left w:val="single" w:sz="4" w:space="0" w:color="auto"/>
              <w:bottom w:val="single" w:sz="4" w:space="0" w:color="auto"/>
              <w:right w:val="single" w:sz="4" w:space="0" w:color="auto"/>
            </w:tcBorders>
            <w:hideMark/>
          </w:tcPr>
          <w:p w:rsidR="00AC38F4" w:rsidRDefault="00AC38F4" w:rsidP="00542B72">
            <w:pPr>
              <w:autoSpaceDE w:val="0"/>
              <w:autoSpaceDN w:val="0"/>
              <w:adjustRightInd w:val="0"/>
              <w:ind w:left="284" w:right="367"/>
              <w:jc w:val="both"/>
              <w:rPr>
                <w:rFonts w:cs="Arial"/>
                <w:i/>
                <w:color w:val="000000"/>
              </w:rPr>
            </w:pPr>
            <w:r>
              <w:rPr>
                <w:rFonts w:cs="Arial"/>
                <w:b/>
                <w:bCs/>
                <w:i/>
                <w:color w:val="000000"/>
              </w:rPr>
              <w:t>PUNTS</w:t>
            </w:r>
          </w:p>
        </w:tc>
      </w:tr>
      <w:tr w:rsidR="00AC38F4" w:rsidTr="00542B72">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p w:rsidR="00AC38F4" w:rsidRDefault="00AC38F4" w:rsidP="00542B72">
            <w:pPr>
              <w:tabs>
                <w:tab w:val="left" w:pos="4135"/>
              </w:tabs>
              <w:autoSpaceDE w:val="0"/>
              <w:autoSpaceDN w:val="0"/>
              <w:adjustRightInd w:val="0"/>
              <w:ind w:left="166" w:right="367"/>
              <w:jc w:val="both"/>
              <w:rPr>
                <w:rFonts w:cs="Arial"/>
                <w:i/>
                <w:color w:val="000000"/>
              </w:rPr>
            </w:pPr>
            <w:r>
              <w:rPr>
                <w:rFonts w:cs="Arial"/>
                <w:i/>
                <w:color w:val="000000"/>
              </w:rPr>
              <w:t xml:space="preserve">Renda inferior al 33,3% del </w:t>
            </w:r>
            <w:proofErr w:type="spellStart"/>
            <w:r>
              <w:rPr>
                <w:rFonts w:cs="Arial"/>
                <w:i/>
                <w:color w:val="000000"/>
              </w:rPr>
              <w:t>màxim</w:t>
            </w:r>
            <w:proofErr w:type="spellEnd"/>
            <w:r>
              <w:rPr>
                <w:rFonts w:cs="Arial"/>
                <w:i/>
                <w:color w:val="000000"/>
              </w:rPr>
              <w:t xml:space="preserve"> mensual </w:t>
            </w:r>
            <w:proofErr w:type="spellStart"/>
            <w:r>
              <w:rPr>
                <w:rFonts w:cs="Arial"/>
                <w:i/>
                <w:color w:val="000000"/>
              </w:rPr>
              <w:t>establert</w:t>
            </w:r>
            <w:proofErr w:type="spellEnd"/>
            <w:r>
              <w:rPr>
                <w:rFonts w:cs="Arial"/>
                <w:i/>
                <w:color w:val="000000"/>
              </w:rPr>
              <w:t xml:space="preserve"> </w:t>
            </w:r>
            <w:proofErr w:type="spellStart"/>
            <w:r>
              <w:rPr>
                <w:rFonts w:cs="Arial"/>
                <w:i/>
                <w:color w:val="000000"/>
              </w:rPr>
              <w:t>als</w:t>
            </w:r>
            <w:proofErr w:type="spellEnd"/>
            <w:r>
              <w:rPr>
                <w:rFonts w:cs="Arial"/>
                <w:i/>
                <w:color w:val="000000"/>
              </w:rPr>
              <w:t xml:space="preserve"> </w:t>
            </w:r>
            <w:proofErr w:type="spellStart"/>
            <w:r>
              <w:rPr>
                <w:rFonts w:cs="Arial"/>
                <w:i/>
                <w:color w:val="000000"/>
              </w:rPr>
              <w:t>requisits</w:t>
            </w:r>
            <w:proofErr w:type="spellEnd"/>
            <w:r>
              <w:rPr>
                <w:rFonts w:cs="Arial"/>
                <w:i/>
                <w:color w:val="000000"/>
              </w:rPr>
              <w:t xml:space="preserve"> </w:t>
            </w:r>
            <w:proofErr w:type="spellStart"/>
            <w:r>
              <w:rPr>
                <w:rFonts w:cs="Arial"/>
                <w:i/>
                <w:color w:val="000000"/>
              </w:rPr>
              <w:t>econòmics</w:t>
            </w:r>
            <w:proofErr w:type="spellEnd"/>
            <w:r>
              <w:rPr>
                <w:rFonts w:cs="Arial"/>
                <w:i/>
                <w:color w:val="000000"/>
              </w:rPr>
              <w:t xml:space="preserve"> </w:t>
            </w:r>
            <w:proofErr w:type="spellStart"/>
            <w:r>
              <w:rPr>
                <w:rFonts w:cs="Arial"/>
                <w:i/>
                <w:color w:val="000000"/>
              </w:rPr>
              <w:t>segons</w:t>
            </w:r>
            <w:proofErr w:type="spellEnd"/>
            <w:r>
              <w:rPr>
                <w:rFonts w:cs="Arial"/>
                <w:i/>
                <w:color w:val="000000"/>
              </w:rPr>
              <w:t xml:space="preserve"> </w:t>
            </w:r>
            <w:proofErr w:type="spellStart"/>
            <w:r>
              <w:rPr>
                <w:rFonts w:cs="Arial"/>
                <w:i/>
                <w:color w:val="000000"/>
              </w:rPr>
              <w:t>tipologia</w:t>
            </w:r>
            <w:proofErr w:type="spellEnd"/>
            <w:r>
              <w:rPr>
                <w:rFonts w:cs="Arial"/>
                <w:i/>
                <w:color w:val="000000"/>
              </w:rPr>
              <w:t xml:space="preserve"> de la </w:t>
            </w:r>
            <w:proofErr w:type="spellStart"/>
            <w:r>
              <w:rPr>
                <w:rFonts w:cs="Arial"/>
                <w:i/>
                <w:color w:val="000000"/>
              </w:rPr>
              <w:t>unitat</w:t>
            </w:r>
            <w:proofErr w:type="spellEnd"/>
            <w:r>
              <w:rPr>
                <w:rFonts w:cs="Arial"/>
                <w:i/>
                <w:color w:val="000000"/>
              </w:rPr>
              <w:t xml:space="preserve"> de </w:t>
            </w:r>
            <w:proofErr w:type="spellStart"/>
            <w:r>
              <w:rPr>
                <w:rFonts w:cs="Arial"/>
                <w:i/>
                <w:color w:val="000000"/>
              </w:rPr>
              <w:t>convivència</w:t>
            </w:r>
            <w:proofErr w:type="spellEnd"/>
            <w:r>
              <w:rPr>
                <w:rFonts w:cs="Arial"/>
                <w:i/>
                <w:color w:val="000000"/>
              </w:rPr>
              <w:t>.</w:t>
            </w:r>
          </w:p>
        </w:tc>
        <w:tc>
          <w:tcPr>
            <w:tcW w:w="1701" w:type="dxa"/>
            <w:tcBorders>
              <w:top w:val="single" w:sz="4" w:space="0" w:color="auto"/>
              <w:left w:val="single" w:sz="4" w:space="0" w:color="auto"/>
              <w:bottom w:val="single" w:sz="4" w:space="0" w:color="auto"/>
              <w:right w:val="single" w:sz="4" w:space="0" w:color="auto"/>
            </w:tcBorders>
            <w:hideMark/>
          </w:tcPr>
          <w:p w:rsidR="00AC38F4" w:rsidRDefault="00AC38F4" w:rsidP="00542B72">
            <w:pPr>
              <w:autoSpaceDE w:val="0"/>
              <w:autoSpaceDN w:val="0"/>
              <w:adjustRightInd w:val="0"/>
              <w:ind w:left="284" w:right="367"/>
              <w:jc w:val="both"/>
              <w:rPr>
                <w:rFonts w:cs="Arial"/>
                <w:i/>
                <w:color w:val="000000"/>
              </w:rPr>
            </w:pPr>
            <w:r>
              <w:rPr>
                <w:rFonts w:cs="Arial"/>
                <w:i/>
                <w:color w:val="000000"/>
              </w:rPr>
              <w:t xml:space="preserve">7 </w:t>
            </w:r>
            <w:proofErr w:type="spellStart"/>
            <w:r>
              <w:rPr>
                <w:rFonts w:cs="Arial"/>
                <w:i/>
                <w:color w:val="000000"/>
              </w:rPr>
              <w:t>punts</w:t>
            </w:r>
            <w:proofErr w:type="spellEnd"/>
          </w:p>
        </w:tc>
      </w:tr>
      <w:tr w:rsidR="00AC38F4" w:rsidTr="00542B72">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6234"/>
            </w:tblGrid>
            <w:tr w:rsidR="00AC38F4" w:rsidTr="00542B72">
              <w:trPr>
                <w:trHeight w:val="240"/>
              </w:trPr>
              <w:tc>
                <w:tcPr>
                  <w:tcW w:w="6234" w:type="dxa"/>
                  <w:tcBorders>
                    <w:top w:val="nil"/>
                    <w:left w:val="nil"/>
                    <w:bottom w:val="nil"/>
                    <w:right w:val="nil"/>
                  </w:tcBorders>
                  <w:hideMark/>
                </w:tcPr>
                <w:p w:rsidR="00AC38F4" w:rsidRDefault="00AC38F4" w:rsidP="00542B72">
                  <w:pPr>
                    <w:autoSpaceDE w:val="0"/>
                    <w:autoSpaceDN w:val="0"/>
                    <w:adjustRightInd w:val="0"/>
                    <w:ind w:left="59" w:right="290"/>
                    <w:jc w:val="both"/>
                    <w:rPr>
                      <w:rFonts w:cs="Arial"/>
                      <w:i/>
                      <w:color w:val="000000"/>
                    </w:rPr>
                  </w:pPr>
                  <w:r>
                    <w:rPr>
                      <w:rFonts w:cs="Arial"/>
                      <w:i/>
                      <w:color w:val="000000"/>
                    </w:rPr>
                    <w:t xml:space="preserve">Renda entre el 33,4 i el 66,6% del </w:t>
                  </w:r>
                  <w:proofErr w:type="spellStart"/>
                  <w:r>
                    <w:rPr>
                      <w:rFonts w:cs="Arial"/>
                      <w:i/>
                      <w:color w:val="000000"/>
                    </w:rPr>
                    <w:t>màxim</w:t>
                  </w:r>
                  <w:proofErr w:type="spellEnd"/>
                  <w:r>
                    <w:rPr>
                      <w:rFonts w:cs="Arial"/>
                      <w:i/>
                      <w:color w:val="000000"/>
                    </w:rPr>
                    <w:t xml:space="preserve"> mensual </w:t>
                  </w:r>
                  <w:proofErr w:type="spellStart"/>
                  <w:r>
                    <w:rPr>
                      <w:rFonts w:cs="Arial"/>
                      <w:i/>
                      <w:color w:val="000000"/>
                    </w:rPr>
                    <w:t>establert</w:t>
                  </w:r>
                  <w:proofErr w:type="spellEnd"/>
                  <w:r>
                    <w:rPr>
                      <w:rFonts w:cs="Arial"/>
                      <w:i/>
                      <w:color w:val="000000"/>
                    </w:rPr>
                    <w:t xml:space="preserve"> </w:t>
                  </w:r>
                  <w:proofErr w:type="spellStart"/>
                  <w:r>
                    <w:rPr>
                      <w:rFonts w:cs="Arial"/>
                      <w:i/>
                      <w:color w:val="000000"/>
                    </w:rPr>
                    <w:t>als</w:t>
                  </w:r>
                  <w:proofErr w:type="spellEnd"/>
                  <w:r>
                    <w:rPr>
                      <w:rFonts w:cs="Arial"/>
                      <w:i/>
                      <w:color w:val="000000"/>
                    </w:rPr>
                    <w:t xml:space="preserve"> </w:t>
                  </w:r>
                  <w:proofErr w:type="spellStart"/>
                  <w:r>
                    <w:rPr>
                      <w:rFonts w:cs="Arial"/>
                      <w:i/>
                      <w:color w:val="000000"/>
                    </w:rPr>
                    <w:t>requisits</w:t>
                  </w:r>
                  <w:proofErr w:type="spellEnd"/>
                  <w:r>
                    <w:rPr>
                      <w:rFonts w:cs="Arial"/>
                      <w:i/>
                      <w:color w:val="000000"/>
                    </w:rPr>
                    <w:t xml:space="preserve"> </w:t>
                  </w:r>
                  <w:proofErr w:type="spellStart"/>
                  <w:r>
                    <w:rPr>
                      <w:rFonts w:cs="Arial"/>
                      <w:i/>
                      <w:color w:val="000000"/>
                    </w:rPr>
                    <w:t>econòmics</w:t>
                  </w:r>
                  <w:proofErr w:type="spellEnd"/>
                  <w:r>
                    <w:rPr>
                      <w:rFonts w:cs="Arial"/>
                      <w:i/>
                      <w:color w:val="000000"/>
                    </w:rPr>
                    <w:t xml:space="preserve"> </w:t>
                  </w:r>
                  <w:proofErr w:type="spellStart"/>
                  <w:r>
                    <w:rPr>
                      <w:rFonts w:cs="Arial"/>
                      <w:i/>
                      <w:color w:val="000000"/>
                    </w:rPr>
                    <w:t>segons</w:t>
                  </w:r>
                  <w:proofErr w:type="spellEnd"/>
                  <w:r>
                    <w:rPr>
                      <w:rFonts w:cs="Arial"/>
                      <w:i/>
                      <w:color w:val="000000"/>
                    </w:rPr>
                    <w:t xml:space="preserve"> </w:t>
                  </w:r>
                  <w:proofErr w:type="spellStart"/>
                  <w:r>
                    <w:rPr>
                      <w:rFonts w:cs="Arial"/>
                      <w:i/>
                      <w:color w:val="000000"/>
                    </w:rPr>
                    <w:t>tipologia</w:t>
                  </w:r>
                  <w:proofErr w:type="spellEnd"/>
                  <w:r>
                    <w:rPr>
                      <w:rFonts w:cs="Arial"/>
                      <w:i/>
                      <w:color w:val="000000"/>
                    </w:rPr>
                    <w:t xml:space="preserve"> de la </w:t>
                  </w:r>
                  <w:proofErr w:type="spellStart"/>
                  <w:r>
                    <w:rPr>
                      <w:rFonts w:cs="Arial"/>
                      <w:i/>
                      <w:color w:val="000000"/>
                    </w:rPr>
                    <w:t>unitat</w:t>
                  </w:r>
                  <w:proofErr w:type="spellEnd"/>
                  <w:r>
                    <w:rPr>
                      <w:rFonts w:cs="Arial"/>
                      <w:i/>
                      <w:color w:val="000000"/>
                    </w:rPr>
                    <w:t xml:space="preserve"> de </w:t>
                  </w:r>
                  <w:proofErr w:type="spellStart"/>
                  <w:r>
                    <w:rPr>
                      <w:rFonts w:cs="Arial"/>
                      <w:i/>
                      <w:color w:val="000000"/>
                    </w:rPr>
                    <w:t>convivència</w:t>
                  </w:r>
                  <w:proofErr w:type="spellEnd"/>
                  <w:r>
                    <w:rPr>
                      <w:rFonts w:cs="Arial"/>
                      <w:i/>
                      <w:color w:val="000000"/>
                    </w:rPr>
                    <w:t xml:space="preserve"> </w:t>
                  </w:r>
                </w:p>
              </w:tc>
            </w:tr>
          </w:tbl>
          <w:p w:rsidR="00AC38F4" w:rsidRDefault="00AC38F4" w:rsidP="00542B72">
            <w:pPr>
              <w:autoSpaceDE w:val="0"/>
              <w:autoSpaceDN w:val="0"/>
              <w:adjustRightInd w:val="0"/>
              <w:ind w:left="284" w:right="367"/>
              <w:jc w:val="both"/>
              <w:rPr>
                <w:rFonts w:cs="Arial"/>
                <w:i/>
                <w:color w:val="000000"/>
                <w:lang w:val="ca-ES"/>
              </w:rPr>
            </w:pPr>
          </w:p>
        </w:tc>
        <w:tc>
          <w:tcPr>
            <w:tcW w:w="1701" w:type="dxa"/>
            <w:tcBorders>
              <w:top w:val="single" w:sz="4" w:space="0" w:color="auto"/>
              <w:left w:val="single" w:sz="4" w:space="0" w:color="auto"/>
              <w:bottom w:val="single" w:sz="4" w:space="0" w:color="auto"/>
              <w:right w:val="single" w:sz="4" w:space="0" w:color="auto"/>
            </w:tcBorders>
          </w:tcPr>
          <w:p w:rsidR="00AC38F4" w:rsidRDefault="00AC38F4" w:rsidP="00542B72">
            <w:pPr>
              <w:pStyle w:val="Default"/>
              <w:ind w:left="284" w:right="367"/>
              <w:jc w:val="both"/>
              <w:rPr>
                <w:rFonts w:ascii="Arial" w:hAnsi="Arial" w:cs="Arial"/>
                <w:sz w:val="22"/>
                <w:szCs w:val="22"/>
                <w:lang w:val="ca-ES"/>
              </w:rPr>
            </w:pPr>
            <w:r>
              <w:rPr>
                <w:rFonts w:ascii="Arial" w:hAnsi="Arial" w:cs="Arial"/>
                <w:sz w:val="22"/>
                <w:szCs w:val="22"/>
                <w:lang w:val="ca-ES"/>
              </w:rPr>
              <w:t xml:space="preserve">5 punts </w:t>
            </w:r>
          </w:p>
          <w:p w:rsidR="00AC38F4" w:rsidRDefault="00AC38F4" w:rsidP="00542B72">
            <w:pPr>
              <w:autoSpaceDE w:val="0"/>
              <w:autoSpaceDN w:val="0"/>
              <w:adjustRightInd w:val="0"/>
              <w:ind w:left="284" w:right="367"/>
              <w:jc w:val="both"/>
              <w:rPr>
                <w:rFonts w:cs="Arial"/>
                <w:i/>
                <w:color w:val="000000"/>
                <w:lang w:val="ca-ES"/>
              </w:rPr>
            </w:pPr>
          </w:p>
        </w:tc>
      </w:tr>
      <w:tr w:rsidR="00AC38F4" w:rsidTr="00542B72">
        <w:trPr>
          <w:trHeight w:val="814"/>
          <w:jc w:val="center"/>
        </w:trPr>
        <w:tc>
          <w:tcPr>
            <w:tcW w:w="6374" w:type="dxa"/>
            <w:tcBorders>
              <w:top w:val="single" w:sz="4" w:space="0" w:color="auto"/>
              <w:left w:val="single" w:sz="4" w:space="0" w:color="auto"/>
              <w:bottom w:val="single" w:sz="4" w:space="0" w:color="auto"/>
              <w:right w:val="single" w:sz="4" w:space="0" w:color="auto"/>
            </w:tcBorders>
            <w:hideMark/>
          </w:tcPr>
          <w:p w:rsidR="00AC38F4" w:rsidRDefault="00AC38F4" w:rsidP="00542B72">
            <w:pPr>
              <w:pStyle w:val="Default"/>
              <w:ind w:left="166" w:right="367"/>
              <w:jc w:val="both"/>
              <w:rPr>
                <w:rFonts w:ascii="Arial" w:hAnsi="Arial" w:cs="Arial"/>
                <w:i/>
                <w:sz w:val="22"/>
                <w:szCs w:val="22"/>
                <w:lang w:val="ca-ES"/>
              </w:rPr>
            </w:pPr>
            <w:r>
              <w:rPr>
                <w:rFonts w:ascii="Arial" w:hAnsi="Arial" w:cs="Arial"/>
                <w:i/>
                <w:sz w:val="22"/>
                <w:szCs w:val="22"/>
                <w:lang w:val="ca-ES"/>
              </w:rPr>
              <w:t xml:space="preserve">Renda entre el 66,7 i el 100% del màxim mensual establert als requisits econòmics segons tipologia de la unitat de convivència </w:t>
            </w:r>
          </w:p>
        </w:tc>
        <w:tc>
          <w:tcPr>
            <w:tcW w:w="1701" w:type="dxa"/>
            <w:tcBorders>
              <w:top w:val="single" w:sz="4" w:space="0" w:color="auto"/>
              <w:left w:val="single" w:sz="4" w:space="0" w:color="auto"/>
              <w:bottom w:val="single" w:sz="4" w:space="0" w:color="auto"/>
              <w:right w:val="single" w:sz="4" w:space="0" w:color="auto"/>
            </w:tcBorders>
          </w:tcPr>
          <w:p w:rsidR="00AC38F4" w:rsidRDefault="00AC38F4" w:rsidP="00542B72">
            <w:pPr>
              <w:pStyle w:val="Default"/>
              <w:ind w:left="284" w:right="367"/>
              <w:jc w:val="both"/>
              <w:rPr>
                <w:rFonts w:ascii="Arial" w:hAnsi="Arial" w:cs="Arial"/>
                <w:sz w:val="22"/>
                <w:szCs w:val="22"/>
                <w:lang w:val="ca-ES"/>
              </w:rPr>
            </w:pPr>
            <w:r>
              <w:rPr>
                <w:rFonts w:ascii="Arial" w:hAnsi="Arial" w:cs="Arial"/>
                <w:sz w:val="22"/>
                <w:szCs w:val="22"/>
                <w:lang w:val="ca-ES"/>
              </w:rPr>
              <w:t xml:space="preserve">3 punts </w:t>
            </w:r>
          </w:p>
          <w:p w:rsidR="00AC38F4" w:rsidRDefault="00AC38F4" w:rsidP="00542B72">
            <w:pPr>
              <w:autoSpaceDE w:val="0"/>
              <w:autoSpaceDN w:val="0"/>
              <w:adjustRightInd w:val="0"/>
              <w:ind w:left="284" w:right="367"/>
              <w:jc w:val="both"/>
              <w:rPr>
                <w:rFonts w:cs="Arial"/>
                <w:i/>
                <w:color w:val="000000"/>
                <w:lang w:val="ca-ES"/>
              </w:rPr>
            </w:pPr>
          </w:p>
        </w:tc>
      </w:tr>
    </w:tbl>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(En el anexo 1 del reglamento se encuentra la tabla de baremos que sirve de base para la valoración económica en función de los distintos tramos de renta disponible)</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b) Valoración Social</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b.1) Para establecer la situación social el profesional de referencia de los servicios sociales básicos municipales evaluará las carencias, necesidades y factores discrecionales de cada unidad familiar de convivencia.</w:t>
      </w:r>
    </w:p>
    <w:p w:rsidR="00AC38F4" w:rsidRPr="00AC38F4" w:rsidRDefault="00AC38F4" w:rsidP="00AC38F4">
      <w:pPr>
        <w:jc w:val="both"/>
        <w:rPr>
          <w:rFonts w:ascii="Arial" w:hAnsi="Arial" w:cs="Arial"/>
        </w:rPr>
      </w:pPr>
      <w:r w:rsidRPr="00AC38F4">
        <w:rPr>
          <w:rFonts w:ascii="Arial" w:hAnsi="Arial" w:cs="Arial"/>
        </w:rPr>
        <w:t>b.2) Se considerarán de forma especial aquellos casos en los que se identifiquen carencias ligadas a las necesidades básicas que recibirán la máxima puntuación en la valoración social, 3 puntos.</w:t>
      </w:r>
    </w:p>
    <w:p w:rsidR="00AC38F4" w:rsidRPr="00AC38F4" w:rsidRDefault="00AC38F4" w:rsidP="00AC38F4">
      <w:pPr>
        <w:jc w:val="both"/>
        <w:rPr>
          <w:rFonts w:ascii="Arial" w:hAnsi="Arial" w:cs="Arial"/>
        </w:rPr>
      </w:pPr>
      <w:r w:rsidRPr="00AC38F4">
        <w:rPr>
          <w:rFonts w:ascii="Arial" w:hAnsi="Arial" w:cs="Arial"/>
        </w:rPr>
        <w:t>b.3) El personal técnico evaluará para cada unidad familiar de convivencia la presencia de las situaciones de carencia y/o necesidad social (descritas en la tabla del anexo 2 del presente reglamento) y determinará la puntuación resultante hasta un valor máximo de 3 puntos.</w:t>
      </w:r>
    </w:p>
    <w:p w:rsidR="00AC38F4" w:rsidRPr="00AC38F4" w:rsidRDefault="00AC38F4" w:rsidP="00AC38F4">
      <w:pPr>
        <w:jc w:val="both"/>
        <w:rPr>
          <w:rFonts w:ascii="Arial" w:hAnsi="Arial" w:cs="Arial"/>
        </w:rPr>
      </w:pPr>
      <w:r w:rsidRPr="00AC38F4">
        <w:rPr>
          <w:rFonts w:ascii="Arial" w:hAnsi="Arial" w:cs="Arial"/>
        </w:rPr>
        <w:t>b.4) Complementariamente, el profesional podrá valorar la existencia de otros factores discrecionales que favorezcan o dificulten la eficacia en la consecución de los objetivos sociales de la prestación económica. Estos factores serán puntuados a discreción por el profesional hasta completar la valoración social.</w:t>
      </w:r>
    </w:p>
    <w:p w:rsidR="00AC38F4" w:rsidRPr="00AC38F4" w:rsidRDefault="00AC38F4" w:rsidP="00AC38F4">
      <w:pPr>
        <w:jc w:val="both"/>
        <w:rPr>
          <w:rFonts w:ascii="Arial" w:hAnsi="Arial" w:cs="Arial"/>
        </w:rPr>
      </w:pPr>
      <w:r w:rsidRPr="00AC38F4">
        <w:rPr>
          <w:rFonts w:ascii="Arial" w:hAnsi="Arial" w:cs="Arial"/>
        </w:rPr>
        <w:t>b.5) ​​La puntuación de la valoración social de la unidad familiar de convivencia será de como máximo de 3 puntos.</w:t>
      </w:r>
    </w:p>
    <w:p w:rsidR="00AC38F4" w:rsidRPr="00AC38F4" w:rsidRDefault="00AC38F4" w:rsidP="00AC38F4">
      <w:pPr>
        <w:jc w:val="both"/>
        <w:rPr>
          <w:rFonts w:ascii="Arial" w:hAnsi="Arial" w:cs="Arial"/>
        </w:rPr>
      </w:pPr>
      <w:r w:rsidRPr="00AC38F4">
        <w:rPr>
          <w:rFonts w:ascii="Arial" w:hAnsi="Arial" w:cs="Arial"/>
        </w:rPr>
        <w:t>b.6) Sin embargo, en función de lo previsto en los artículos 5.2 y 8.2 del presente reglamento, la valoración social podrá ser completada por el informe o informes técnicos de los servicios sociales básicos donde se realicen las consideraciones especiales de cada caso y se razone la no aplicabilidad del baremo económico o social.</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8.5 Las prestaciones concedidas no podrán ser invocadas como precedente para la obtención de nuevas prestaciones.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8.6 Es un criterio relevante para el otorgamiento de que la prestación económica contribuya a la resolución definitiva de la situación de carencia.</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8.7 Las prestaciones reguladas en el presente reglamento son intransferibles y, por tanto, no podrán ofrecerse en garantía de obligaciones, ser objeto de cesión total o parcial, compensación o descuento, salvo para el reintegro de las prestaciones indebidamente percibidas, y/o la retención o embargo (excepto en los supuestos y con los límites).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8.8 En el supuesto de que concurran varias personas solicitantes de una misma unidad familiar de convivencia para hacer frente al mismo gasto, sólo podrá concederse a una de ellas, promoviendo el acuerdo entre las partes interesadas.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13.- Cuantía de las prestaciones y baremo</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Serán de aprobación todas aquellas solicitudes que una vez aplicados los anteriores baremos, obtengan una puntuación igual o superior a los 7 puntos.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La subvención consiste en el pago de la mitad del coste de la ficha anual en caso de clubs o cuota anual en caso de entidades deportivas, hasta un máximo de 300€.</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En los casos en que la mitad de la ficha o cuota no supere los 100 €, se propondrá becar esta cantidad, siempre y cuando exista crédito adecuado y suficiente y conforme a la puntuación obtenida aplicando los baremos recogidos en las bases reguladoras.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14. Medios de notificación o publicación</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15. Pago de las prestaciones económicas</w:t>
      </w:r>
    </w:p>
    <w:p w:rsidR="00AC38F4" w:rsidRPr="00AC38F4" w:rsidRDefault="00AC38F4" w:rsidP="00AC38F4">
      <w:pPr>
        <w:jc w:val="both"/>
        <w:rPr>
          <w:rFonts w:ascii="Arial" w:hAnsi="Arial" w:cs="Arial"/>
        </w:rPr>
      </w:pPr>
    </w:p>
    <w:p w:rsidR="00AC38F4" w:rsidRPr="00AC38F4" w:rsidRDefault="00AC38F4" w:rsidP="00AC38F4">
      <w:pPr>
        <w:jc w:val="both"/>
        <w:rPr>
          <w:rFonts w:ascii="Arial" w:hAnsi="Arial" w:cs="Arial"/>
        </w:rPr>
      </w:pPr>
      <w:r w:rsidRPr="00AC38F4">
        <w:rPr>
          <w:rFonts w:ascii="Arial" w:hAnsi="Arial" w:cs="Arial"/>
        </w:rPr>
        <w:t xml:space="preserve">En el supuesto de una resolución favorable, la corporación iniciará los trámites para el pago hacia las entidades proveedoras (clubes deportivos y entidades deportivas de </w:t>
      </w:r>
      <w:proofErr w:type="spellStart"/>
      <w:r w:rsidRPr="00AC38F4">
        <w:rPr>
          <w:rFonts w:ascii="Arial" w:hAnsi="Arial" w:cs="Arial"/>
        </w:rPr>
        <w:lastRenderedPageBreak/>
        <w:t>Sentmenat</w:t>
      </w:r>
      <w:proofErr w:type="spellEnd"/>
      <w:r w:rsidRPr="00AC38F4">
        <w:rPr>
          <w:rFonts w:ascii="Arial" w:hAnsi="Arial" w:cs="Arial"/>
        </w:rPr>
        <w:t xml:space="preserve"> inscritas en el registro del ayuntamiento) y/o a las personas beneficiarias/solicitantes en caso de que la ficha o cuota la hayan pagado total o parcialmente, por el importe de la ayuda con el máximo de la paga con el máximo esta parte se pagará al proveedor) mediante la fórmula de transferencia bancaria, de forma preferente.</w:t>
      </w:r>
    </w:p>
    <w:p w:rsidR="00DD71AD" w:rsidRPr="00AC38F4" w:rsidRDefault="00AC38F4" w:rsidP="00AC38F4">
      <w:pPr>
        <w:jc w:val="both"/>
        <w:rPr>
          <w:rFonts w:ascii="Arial" w:hAnsi="Arial" w:cs="Arial"/>
        </w:rPr>
      </w:pPr>
      <w:r w:rsidRPr="00AC38F4">
        <w:rPr>
          <w:rFonts w:ascii="Arial" w:hAnsi="Arial" w:cs="Arial"/>
        </w:rPr>
        <w:t>El proveedor de la prestación justificará a este ayuntamiento, acreditando la satisfacción de la ayuda repercutida en el interesado o beneficiario.</w:t>
      </w:r>
    </w:p>
    <w:sectPr w:rsidR="00DD71AD" w:rsidRPr="00AC38F4">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8F4" w:rsidRDefault="00AC38F4" w:rsidP="00AC38F4">
      <w:pPr>
        <w:spacing w:after="0" w:line="240" w:lineRule="auto"/>
      </w:pPr>
      <w:r>
        <w:separator/>
      </w:r>
    </w:p>
  </w:endnote>
  <w:endnote w:type="continuationSeparator" w:id="0">
    <w:p w:rsidR="00AC38F4" w:rsidRDefault="00AC38F4" w:rsidP="00AC3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Liberation Sans"/>
    <w:charset w:val="01"/>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8F4" w:rsidRDefault="00AC38F4" w:rsidP="00AC38F4">
      <w:pPr>
        <w:spacing w:after="0" w:line="240" w:lineRule="auto"/>
      </w:pPr>
      <w:r>
        <w:separator/>
      </w:r>
    </w:p>
  </w:footnote>
  <w:footnote w:type="continuationSeparator" w:id="0">
    <w:p w:rsidR="00AC38F4" w:rsidRDefault="00AC38F4" w:rsidP="00AC3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8F4" w:rsidRDefault="00AC38F4">
    <w:pPr>
      <w:pStyle w:val="Encabezado"/>
    </w:pPr>
    <w:r>
      <w:rPr>
        <w:noProof/>
        <w:lang w:eastAsia="es-ES"/>
      </w:rPr>
      <w:drawing>
        <wp:inline distT="0" distB="0" distL="0" distR="0" wp14:anchorId="11416D34" wp14:editId="16071712">
          <wp:extent cx="2428875" cy="7023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875" cy="70231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8F4"/>
    <w:rsid w:val="00814FAD"/>
    <w:rsid w:val="00A1128A"/>
    <w:rsid w:val="00AC38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57E3E"/>
  <w15:chartTrackingRefBased/>
  <w15:docId w15:val="{E6838428-E1B8-42D8-9E96-D8658535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38F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38F4"/>
  </w:style>
  <w:style w:type="paragraph" w:styleId="Piedepgina">
    <w:name w:val="footer"/>
    <w:basedOn w:val="Normal"/>
    <w:link w:val="PiedepginaCar"/>
    <w:uiPriority w:val="99"/>
    <w:unhideWhenUsed/>
    <w:rsid w:val="00AC38F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38F4"/>
  </w:style>
  <w:style w:type="paragraph" w:customStyle="1" w:styleId="Default">
    <w:name w:val="Default"/>
    <w:rsid w:val="00AC38F4"/>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2387</Words>
  <Characters>13134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2025-11-13T09:12:00Z</dcterms:created>
  <dcterms:modified xsi:type="dcterms:W3CDTF">2025-11-13T09:20:00Z</dcterms:modified>
</cp:coreProperties>
</file>