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40EC6C">
      <w:pPr>
        <w:spacing w:before="149" w:after="0"/>
        <w:jc w:val="center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Convenio regulador de la subvención nominativa concedida la</w:t>
      </w:r>
    </w:p>
    <w:p w14:paraId="2D40EC6D">
      <w:pPr>
        <w:tabs>
          <w:tab w:val="left" w:pos="4297"/>
        </w:tabs>
        <w:spacing w:after="0"/>
        <w:jc w:val="center"/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</w:pPr>
    </w:p>
    <w:p w14:paraId="2D40EC6E">
      <w:pPr>
        <w:tabs>
          <w:tab w:val="left" w:pos="4297"/>
        </w:tabs>
        <w:spacing w:after="0"/>
        <w:jc w:val="center"/>
        <w:rPr>
          <w:rFonts w:ascii="Century Gothic" w:hAnsi="Century Gothic" w:cs="Liberation Sans Narrow Bold"/>
          <w:b/>
          <w:bCs/>
          <w:color w:val="000000"/>
        </w:rPr>
      </w:pPr>
      <w:r>
        <w:rPr>
          <w:rFonts w:ascii="Century Gothic" w:hAnsi="Century Gothic" w:cs="Liberation Sans Narrow Bold"/>
          <w:b/>
          <w:bCs/>
          <w:color w:val="000000"/>
        </w:rPr>
        <w:t>ASOCIACIÓN SOCIOCULTURAL DE GOIÁN</w:t>
      </w:r>
    </w:p>
    <w:p w14:paraId="2D40EC6F">
      <w:pPr>
        <w:tabs>
          <w:tab w:val="left" w:pos="4297"/>
        </w:tabs>
        <w:spacing w:after="0"/>
        <w:jc w:val="center"/>
        <w:rPr>
          <w:rFonts w:ascii="Century Gothic" w:hAnsi="Century Gothic" w:cs="Liberation Sans Narrow"/>
          <w:color w:val="000000"/>
          <w:sz w:val="18"/>
          <w:szCs w:val="18"/>
        </w:rPr>
      </w:pPr>
    </w:p>
    <w:p w14:paraId="2D40EC70">
      <w:pPr>
        <w:tabs>
          <w:tab w:val="left" w:pos="4297"/>
        </w:tabs>
        <w:spacing w:after="0"/>
        <w:jc w:val="center"/>
        <w:rPr>
          <w:rFonts w:ascii="Century Gothic" w:hAnsi="Century Gothic" w:cs="Liberation Sans Narrow Bold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correspondiente al ejercicio </w:t>
      </w:r>
      <w:r>
        <w:rPr>
          <w:rFonts w:ascii="Century Gothic" w:hAnsi="Century Gothic" w:cs="Liberation Sans Narrow Bold"/>
          <w:color w:val="000000"/>
          <w:sz w:val="18"/>
          <w:szCs w:val="18"/>
        </w:rPr>
        <w:t>2025</w:t>
      </w:r>
    </w:p>
    <w:p w14:paraId="2D40EC71">
      <w:pPr>
        <w:tabs>
          <w:tab w:val="left" w:pos="4297"/>
        </w:tabs>
        <w:spacing w:before="324" w:after="0"/>
        <w:jc w:val="both"/>
        <w:rPr>
          <w:rFonts w:ascii="Century Gothic" w:hAnsi="Century Gothic"/>
          <w:b/>
          <w:sz w:val="18"/>
          <w:szCs w:val="18"/>
        </w:rPr>
      </w:pPr>
    </w:p>
    <w:p w14:paraId="2D40EC72">
      <w:pPr>
        <w:spacing w:before="224" w:after="0"/>
        <w:jc w:val="both"/>
        <w:rPr>
          <w:rFonts w:ascii="Century Gothic" w:hAnsi="Century Gothic" w:cs="Liberation Sans Narrow"/>
          <w:b/>
          <w:color w:val="000000"/>
          <w:sz w:val="18"/>
          <w:szCs w:val="18"/>
        </w:rPr>
      </w:pPr>
      <w:r>
        <w:rPr>
          <w:rFonts w:ascii="Century Gothic" w:hAnsi="Century Gothic" w:cs="Liberation Sans Narrow"/>
          <w:b/>
          <w:color w:val="000000"/>
          <w:sz w:val="18"/>
          <w:szCs w:val="18"/>
        </w:rPr>
        <w:t>Expte. Nº 429/2025</w:t>
      </w:r>
    </w:p>
    <w:p w14:paraId="2D40EC73">
      <w:pPr>
        <w:spacing w:before="227" w:after="0"/>
        <w:jc w:val="both"/>
        <w:rPr>
          <w:rFonts w:ascii="Century Gothic" w:hAnsi="Century Gothic" w:cs="Liberation Sans Narrow"/>
          <w:color w:val="000000"/>
          <w:sz w:val="18"/>
          <w:szCs w:val="18"/>
          <w:shd w:val="clear" w:color="auto" w:fill="FFFF00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Tomi</w:t>
      </w:r>
      <w:r>
        <w:rPr>
          <w:rFonts w:hint="default" w:ascii="Century Gothic" w:hAnsi="Century Gothic" w:cs="Liberation Sans Narrow"/>
          <w:color w:val="000000"/>
          <w:sz w:val="18"/>
          <w:szCs w:val="18"/>
          <w:lang w:val="es-ES"/>
        </w:rPr>
        <w:t>ñ</w:t>
      </w:r>
      <w:r>
        <w:rPr>
          <w:rFonts w:ascii="Century Gothic" w:hAnsi="Century Gothic" w:cs="Liberation Sans Narrow"/>
          <w:color w:val="000000"/>
          <w:sz w:val="18"/>
          <w:szCs w:val="18"/>
        </w:rPr>
        <w:t>o la, 1 de abril de 2025.</w:t>
      </w:r>
    </w:p>
    <w:p w14:paraId="2D40EC74">
      <w:pPr>
        <w:spacing w:after="0"/>
        <w:jc w:val="both"/>
        <w:rPr>
          <w:rFonts w:ascii="Century Gothic" w:hAnsi="Century Gothic"/>
          <w:sz w:val="18"/>
          <w:szCs w:val="18"/>
        </w:rPr>
      </w:pPr>
    </w:p>
    <w:p w14:paraId="2D40EC75">
      <w:pPr>
        <w:spacing w:before="221" w:after="0"/>
        <w:jc w:val="center"/>
        <w:rPr>
          <w:rFonts w:ascii="Century Gothic" w:hAnsi="Century Gothic" w:cs="Liberation Sans Narrow Bold"/>
          <w:b/>
          <w:bCs/>
          <w:color w:val="000000"/>
          <w:sz w:val="20"/>
          <w:szCs w:val="20"/>
        </w:rPr>
      </w:pPr>
      <w:r>
        <w:rPr>
          <w:rFonts w:ascii="Century Gothic" w:hAnsi="Century Gothic" w:cs="Liberation Sans Narrow Bold"/>
          <w:b/>
          <w:bCs/>
          <w:color w:val="000000"/>
          <w:sz w:val="20"/>
          <w:szCs w:val="20"/>
        </w:rPr>
        <w:t>REUNIDOS</w:t>
      </w:r>
    </w:p>
    <w:p w14:paraId="2D40EC76">
      <w:pPr>
        <w:spacing w:after="0"/>
        <w:jc w:val="both"/>
        <w:rPr>
          <w:rFonts w:ascii="Century Gothic" w:hAnsi="Century Gothic"/>
          <w:sz w:val="18"/>
          <w:szCs w:val="18"/>
        </w:rPr>
      </w:pPr>
    </w:p>
    <w:p w14:paraId="2D40EC77">
      <w:pPr>
        <w:spacing w:before="250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De una parte, el Excma. Sra. SANDRA GONZÁLEZ ÁLVAREZ, como ALCALDESA DE TOMILLO en nombre y representación del Ayuntamiento y en virtud del artículo 21.1.b) de la Ley 7/1985, de 2 de abril, Reguladora de las Bases del Régimen Local, actuando especialmente autorizado para la firma del presente Convenio.</w:t>
      </w:r>
    </w:p>
    <w:p w14:paraId="2D40EC78">
      <w:pPr>
        <w:spacing w:before="250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Y de otra parte, MARÍA DE ÉL PILAR RAMOS TAMAYO, presidenta de la ASOCIACIÓN SOCIOCULTURAL DE GOIÁN, entidad sin ánimo de lucro con CIF G36259588 y domicilio en Auditorio de Goián s/n, parroquia de Goián en el Ayuntamiento de Tomillo</w:t>
      </w:r>
    </w:p>
    <w:p w14:paraId="2D40EC79">
      <w:pPr>
        <w:spacing w:before="250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Ambas partes se reconocen mutua y recíprocamente la capacidad legal suficiente y necesaria para este acto, y libremente:</w:t>
      </w:r>
    </w:p>
    <w:p w14:paraId="2D40EC7A">
      <w:pPr>
        <w:spacing w:before="221" w:after="0"/>
        <w:jc w:val="center"/>
        <w:rPr>
          <w:rFonts w:ascii="Century Gothic" w:hAnsi="Century Gothic" w:cs="Liberation Sans Narrow Bold"/>
          <w:b/>
          <w:bCs/>
          <w:color w:val="000000"/>
          <w:sz w:val="20"/>
          <w:szCs w:val="20"/>
        </w:rPr>
      </w:pPr>
      <w:r>
        <w:rPr>
          <w:rFonts w:ascii="Century Gothic" w:hAnsi="Century Gothic" w:cs="Liberation Sans Narrow Bold"/>
          <w:b/>
          <w:bCs/>
          <w:color w:val="000000"/>
          <w:sz w:val="20"/>
          <w:szCs w:val="20"/>
        </w:rPr>
        <w:t>EXPONEN</w:t>
      </w:r>
    </w:p>
    <w:p w14:paraId="2D40EC7B">
      <w:pPr>
        <w:spacing w:after="0"/>
        <w:jc w:val="both"/>
        <w:rPr>
          <w:rFonts w:ascii="Century Gothic" w:hAnsi="Century Gothic"/>
          <w:sz w:val="18"/>
          <w:szCs w:val="18"/>
        </w:rPr>
      </w:pPr>
    </w:p>
    <w:p w14:paraId="2D40EC7C">
      <w:pPr>
        <w:spacing w:before="216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  <w:t>PRIMERO.-</w:t>
      </w:r>
      <w:r>
        <w:rPr>
          <w:rFonts w:ascii="Century Gothic" w:hAnsi="Century Gothic" w:cs="Liberation Sans Narrow Bold"/>
          <w:color w:val="000000"/>
          <w:sz w:val="18"/>
          <w:szCs w:val="18"/>
        </w:rPr>
        <w:t xml:space="preserve">  </w:t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Que nos tener del artículo 25 de la Ley 7/1985, de 2 de abril, Reguladora de las </w:t>
      </w:r>
      <w:r>
        <w:rPr>
          <w:rFonts w:ascii="Century Gothic" w:hAnsi="Century Gothic"/>
          <w:sz w:val="18"/>
          <w:szCs w:val="18"/>
        </w:rPr>
        <w:br w:type="textWrapping"/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Bases del Régimen Local, el Municipio, para la gestión de sus intereses y en el ámbito de sus  competencias,  puede  promover  actividades  y prestar    los  servicios  públicos  que </w:t>
      </w:r>
      <w:r>
        <w:rPr>
          <w:rFonts w:ascii="Century Gothic" w:hAnsi="Century Gothic"/>
          <w:sz w:val="18"/>
          <w:szCs w:val="18"/>
        </w:rPr>
        <w:br w:type="textWrapping"/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contribuyan a satisfacer las necesidades y aspiraciones de la asociación sociocultural, ostentando en </w:t>
      </w:r>
      <w:r>
        <w:rPr>
          <w:rFonts w:ascii="Century Gothic" w:hAnsi="Century Gothic"/>
          <w:sz w:val="18"/>
          <w:szCs w:val="18"/>
        </w:rPr>
        <w:br w:type="textWrapping"/>
      </w:r>
      <w:r>
        <w:rPr>
          <w:rFonts w:ascii="Century Gothic" w:hAnsi="Century Gothic" w:cs="Liberation Sans Narrow"/>
          <w:color w:val="000000"/>
          <w:sz w:val="18"/>
          <w:szCs w:val="18"/>
        </w:rPr>
        <w:t>todo caso competencias propias nos tener de la legislación del Estado y de las Comunidades Autónomas en materias tales cómo promoción de la cultura, promoción del deporte, atención inmediata la personas en riesgo de exclusión social, etc.</w:t>
      </w:r>
    </w:p>
    <w:p w14:paraId="2D40EC7D">
      <w:pPr>
        <w:spacing w:after="0"/>
        <w:jc w:val="both"/>
        <w:rPr>
          <w:rFonts w:ascii="Century Gothic" w:hAnsi="Century Gothic"/>
          <w:sz w:val="18"/>
          <w:szCs w:val="18"/>
        </w:rPr>
      </w:pPr>
    </w:p>
    <w:p w14:paraId="2D40EC7E">
      <w:pPr>
        <w:spacing w:before="2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  <w:t>SEGUNDO.-</w:t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 Que  la satisfacción    de los  intereses  generales  en los  campos  que  anteriormente  se señalaron,  contribuye  de una  manera  fundamental  a iniciativa    personal,  en  particular,  la de aquellas  entidades  particulares  que  realizan  actividades  que  sean  de utilidad    y/o interés  público  o social,    y vienen    a complementar    los  servicios  prestados  por la Administración en el campo de las citadas competencias.</w:t>
      </w:r>
    </w:p>
    <w:p w14:paraId="2D40EC7F">
      <w:pPr>
        <w:spacing w:before="222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  <w:t>TERCERO.-</w:t>
      </w:r>
      <w:r>
        <w:rPr>
          <w:rFonts w:ascii="Century Gothic" w:hAnsi="Century Gothic" w:cs="Liberation Sans Narrow Bold"/>
          <w:color w:val="000000"/>
          <w:sz w:val="18"/>
          <w:szCs w:val="18"/>
        </w:rPr>
        <w:t xml:space="preserve"> </w:t>
      </w:r>
      <w:r>
        <w:rPr>
          <w:rFonts w:ascii="Century Gothic" w:hAnsi="Century Gothic" w:cs="Liberation Sans Narrow"/>
          <w:color w:val="000000"/>
          <w:sz w:val="18"/>
          <w:szCs w:val="18"/>
        </w:rPr>
        <w:t>Que la Asociación Sociocultural de Goián tiene como objetivo:</w:t>
      </w:r>
    </w:p>
    <w:p w14:paraId="2D40EC80">
      <w:pPr>
        <w:spacing w:before="222" w:after="0"/>
        <w:jc w:val="both"/>
        <w:rPr>
          <w:rFonts w:ascii="Century Gothic" w:hAnsi="Century Gothic"/>
          <w:sz w:val="18"/>
          <w:szCs w:val="18"/>
        </w:rPr>
      </w:pPr>
    </w:p>
    <w:p w14:paraId="2D40EC81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Acercar la música clásica y tradicional la todas las clases sociales que compone nuestra comunidad.</w:t>
      </w:r>
    </w:p>
    <w:p w14:paraId="2D40EC82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Fomentar la educación musical y en valores dentro de su escuela para así aportar su grano de arena a la sociedad.</w:t>
      </w:r>
    </w:p>
    <w:p w14:paraId="2D40EC83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Contribuir al fomento, desarrollo, promoción y difusión de la música.</w:t>
      </w:r>
    </w:p>
    <w:p w14:paraId="2D40EC84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Promover la formación musical en distintos niveles y ámbitos como vehículo de expresión artística y pedagógica.</w:t>
      </w:r>
    </w:p>
    <w:p w14:paraId="2D40EC85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Impulsar actuaciones y audiciones musicales de todas las secciones de la escuela de música.</w:t>
      </w:r>
    </w:p>
    <w:p w14:paraId="2D40EC86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Organizar diferentes actividades culturales.</w:t>
      </w:r>
    </w:p>
    <w:p w14:paraId="2D40EC87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Participar en diferentes certámenes y festivales.</w:t>
      </w:r>
    </w:p>
    <w:p w14:paraId="2D40EC88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Fomentar la protección del patrimonio artístico, musical y cultural.</w:t>
      </w:r>
    </w:p>
    <w:p w14:paraId="2D40EC89">
      <w:pPr>
        <w:spacing w:after="0"/>
        <w:jc w:val="both"/>
        <w:rPr>
          <w:rFonts w:ascii="Century Gothic" w:hAnsi="Century Gothic"/>
          <w:sz w:val="18"/>
          <w:szCs w:val="18"/>
        </w:rPr>
      </w:pPr>
    </w:p>
    <w:p w14:paraId="2D40EC8A">
      <w:pPr>
        <w:spacing w:after="0"/>
        <w:jc w:val="both"/>
        <w:rPr>
          <w:rFonts w:ascii="Century Gothic" w:hAnsi="Century Gothic"/>
          <w:sz w:val="18"/>
          <w:szCs w:val="18"/>
        </w:rPr>
      </w:pPr>
    </w:p>
    <w:p w14:paraId="2D40EC8B">
      <w:pPr>
        <w:pStyle w:val="30"/>
        <w:jc w:val="both"/>
        <w:rPr>
          <w:rFonts w:ascii="Century Gothic" w:hAnsi="Century Gothic" w:cs="Liberation Sans Narrow"/>
          <w:sz w:val="18"/>
          <w:szCs w:val="18"/>
        </w:rPr>
      </w:pPr>
      <w:r>
        <w:rPr>
          <w:rFonts w:ascii="Century Gothic" w:hAnsi="Century Gothic" w:cs="Liberation Sans Narrow Bold"/>
          <w:b/>
          <w:bCs/>
          <w:sz w:val="18"/>
          <w:szCs w:val="18"/>
        </w:rPr>
        <w:t>CUARTO</w:t>
      </w:r>
      <w:r>
        <w:rPr>
          <w:rFonts w:ascii="Century Gothic" w:hAnsi="Century Gothic" w:cs="Liberation Sans Narrow Bold"/>
          <w:sz w:val="18"/>
          <w:szCs w:val="18"/>
        </w:rPr>
        <w:t>.-</w:t>
      </w:r>
      <w:r>
        <w:rPr>
          <w:rFonts w:ascii="Century Gothic" w:hAnsi="Century Gothic" w:cs="Liberation Sans Narrow"/>
          <w:sz w:val="18"/>
          <w:szCs w:val="18"/>
        </w:rPr>
        <w:t xml:space="preserve"> De conformidad con la Base </w:t>
      </w:r>
      <w:r>
        <w:rPr>
          <w:rFonts w:ascii="Century Gothic" w:hAnsi="Century Gothic" w:cs="Liberation Sans Narrow"/>
          <w:sz w:val="18"/>
          <w:szCs w:val="18"/>
          <w:lang w:val="gl-ES" w:eastAsia="en-CA"/>
        </w:rPr>
        <w:t>23.6ª de las</w:t>
      </w:r>
      <w:r>
        <w:rPr>
          <w:rFonts w:ascii="Century Gothic" w:hAnsi="Century Gothic" w:cs="Liberation Sans Narrow"/>
          <w:sz w:val="18"/>
          <w:szCs w:val="18"/>
        </w:rPr>
        <w:t xml:space="preserve"> de ejecución del presupuesto, se concede una subvención nominativa para la financiación del proyecto “ACTIVIDAD ANUAL DE La ESCUELA DE MÚSICA Y DE La AGRUPACIÓN MUSICAL DE GOIÁN” de la ASOCIACIÓN SOCIOCULTURAL DE GOIÁN por imponerte de 30.000 €.</w:t>
      </w:r>
    </w:p>
    <w:p w14:paraId="2D40EC8C">
      <w:pPr>
        <w:spacing w:after="0"/>
        <w:jc w:val="both"/>
        <w:rPr>
          <w:rFonts w:ascii="Century Gothic" w:hAnsi="Century Gothic"/>
          <w:sz w:val="18"/>
          <w:szCs w:val="18"/>
        </w:rPr>
      </w:pPr>
    </w:p>
    <w:p w14:paraId="2D40EC8D">
      <w:pPr>
        <w:spacing w:before="42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De conformidad con el preceptuado en la Ley general de subvenciones, 38/2003, artículo 22.2.la), la referida subvención debe ser instrumentada a través del oportuno Convenio regulador.</w:t>
      </w:r>
    </w:p>
    <w:p w14:paraId="2D40EC8E">
      <w:pPr>
        <w:spacing w:before="249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 Bold"/>
          <w:color w:val="000000"/>
          <w:sz w:val="18"/>
          <w:szCs w:val="18"/>
        </w:rPr>
        <w:t>SEGUNDO.-</w:t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 Los principales  datos  de la subvención solicitada son los siguientes:</w:t>
      </w:r>
    </w:p>
    <w:p w14:paraId="2D40EC8F">
      <w:pPr>
        <w:spacing w:before="162" w:after="0"/>
        <w:jc w:val="both"/>
        <w:rPr>
          <w:rFonts w:ascii="Century Gothic" w:hAnsi="Century Gothic"/>
          <w:sz w:val="18"/>
          <w:szCs w:val="18"/>
        </w:rPr>
      </w:pPr>
    </w:p>
    <w:p w14:paraId="2D40EC90">
      <w:pPr>
        <w:numPr>
          <w:ilvl w:val="0"/>
          <w:numId w:val="2"/>
        </w:numPr>
        <w:tabs>
          <w:tab w:val="left" w:pos="1134"/>
        </w:tabs>
        <w:spacing w:before="5" w:after="0"/>
        <w:ind w:left="1134" w:hanging="567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Denominación   del   proyecto:</w:t>
      </w:r>
      <w:r>
        <w:rPr>
          <w:rFonts w:ascii="Century Gothic" w:hAnsi="Century Gothic" w:cs="Liberation Sans Narrow"/>
          <w:color w:val="000000"/>
          <w:sz w:val="18"/>
          <w:szCs w:val="18"/>
        </w:rPr>
        <w:tab/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 “ACTIVIDAD ANUAL DE La ESCUELA DE MÚSICA Y DE La AGRUPACIÓN MUSICAL DE GOIÁN”</w:t>
      </w:r>
    </w:p>
    <w:p w14:paraId="2D40EC91">
      <w:pPr>
        <w:tabs>
          <w:tab w:val="left" w:pos="1134"/>
        </w:tabs>
        <w:spacing w:before="5" w:after="0"/>
        <w:ind w:left="1134"/>
        <w:jc w:val="both"/>
        <w:rPr>
          <w:rFonts w:ascii="Century Gothic" w:hAnsi="Century Gothic"/>
          <w:sz w:val="18"/>
          <w:szCs w:val="18"/>
        </w:rPr>
      </w:pPr>
    </w:p>
    <w:p w14:paraId="2D40EC92">
      <w:pPr>
        <w:numPr>
          <w:ilvl w:val="0"/>
          <w:numId w:val="2"/>
        </w:numPr>
        <w:tabs>
          <w:tab w:val="left" w:pos="1134"/>
        </w:tabs>
        <w:spacing w:before="5" w:after="0"/>
        <w:ind w:left="1134" w:hanging="567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Descripción sucinta de la actividad a subvencionar:</w:t>
      </w:r>
    </w:p>
    <w:p w14:paraId="2D40EC93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Impartición de clases en la Escuela de Música</w:t>
      </w:r>
    </w:p>
    <w:p w14:paraId="2D40EC94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Preparación  de alumnos    para      su posterior  incorporación  los  Conservatorios Profesionales de Música.</w:t>
      </w:r>
    </w:p>
    <w:p w14:paraId="2D40EC95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Audiciones trimestrales.</w:t>
      </w:r>
    </w:p>
    <w:p w14:paraId="2D40EC96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Realización de conciertos de diversa índole (Bandas, Banda Juvenil, Banda Infantil, conciertos didácticos, de Cámara, de música tradicional)</w:t>
      </w:r>
    </w:p>
    <w:p w14:paraId="2D40EC97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Participación en Certámenes competitivos a nivel provincial, autonómico, estatal e internacional.</w:t>
      </w:r>
    </w:p>
    <w:p w14:paraId="2D40EC98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Participación en festivales organizados por otras asociaciones u organismos.</w:t>
      </w:r>
    </w:p>
    <w:p w14:paraId="2D40EC99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Realización y organización de eventos culturales en el Ayuntamiento: concierto de las Letras Gallegas, Encuentro de Bandas, Concierto en la Plaza del Seixo, Concierto de Santa Icía, Concierto de Na</w:t>
      </w:r>
      <w:r>
        <w:rPr>
          <w:rFonts w:hint="default" w:ascii="Century Gothic" w:hAnsi="Century Gothic" w:cs="OpenSymbol"/>
          <w:color w:val="000000"/>
          <w:sz w:val="18"/>
          <w:szCs w:val="18"/>
          <w:lang w:val="es-ES"/>
        </w:rPr>
        <w:t>vidad</w:t>
      </w:r>
      <w:r>
        <w:rPr>
          <w:rFonts w:ascii="Century Gothic" w:hAnsi="Century Gothic" w:cs="OpenSymbol"/>
          <w:color w:val="000000"/>
          <w:sz w:val="18"/>
          <w:szCs w:val="18"/>
        </w:rPr>
        <w:t>l...</w:t>
      </w:r>
    </w:p>
    <w:p w14:paraId="2D40EC9A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Realización y organización del Campamento Musical en verano.</w:t>
      </w:r>
    </w:p>
    <w:p w14:paraId="2D40EC9B">
      <w:pPr>
        <w:tabs>
          <w:tab w:val="left" w:pos="1418"/>
        </w:tabs>
        <w:spacing w:after="0"/>
        <w:jc w:val="both"/>
        <w:rPr>
          <w:rFonts w:ascii="Century Gothic" w:hAnsi="Century Gothic"/>
          <w:sz w:val="18"/>
          <w:szCs w:val="18"/>
        </w:rPr>
      </w:pPr>
    </w:p>
    <w:p w14:paraId="2D40EC9C">
      <w:pPr>
        <w:numPr>
          <w:ilvl w:val="0"/>
          <w:numId w:val="2"/>
        </w:numPr>
        <w:tabs>
          <w:tab w:val="left" w:pos="1134"/>
        </w:tabs>
        <w:spacing w:before="5" w:after="0"/>
        <w:ind w:left="1134" w:hanging="567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Destinatarios de la actividad:</w:t>
      </w:r>
    </w:p>
    <w:p w14:paraId="2D40EC9D">
      <w:pPr>
        <w:spacing w:before="182" w:after="0"/>
        <w:ind w:left="1134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Usuarios directos: La asociación cuenta en la actualidad con 140 alumnos y alumnas. </w:t>
      </w:r>
    </w:p>
    <w:p w14:paraId="2D40EC9E">
      <w:pPr>
        <w:spacing w:before="206" w:after="0"/>
        <w:ind w:left="1134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Usuarios indirectos: Población de Tomillo, O Rosal, A Guarda, y Tui.</w:t>
      </w:r>
    </w:p>
    <w:p w14:paraId="2D40EC9F">
      <w:pPr>
        <w:spacing w:after="0"/>
        <w:jc w:val="both"/>
        <w:rPr>
          <w:rFonts w:ascii="Century Gothic" w:hAnsi="Century Gothic"/>
          <w:sz w:val="18"/>
          <w:szCs w:val="18"/>
        </w:rPr>
      </w:pPr>
    </w:p>
    <w:p w14:paraId="2D40ECA0">
      <w:pPr>
        <w:numPr>
          <w:ilvl w:val="0"/>
          <w:numId w:val="2"/>
        </w:numPr>
        <w:tabs>
          <w:tab w:val="left" w:pos="1134"/>
        </w:tabs>
        <w:spacing w:before="5" w:after="0"/>
        <w:ind w:left="1134" w:hanging="567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Motivo del interés público local de la actividad:</w:t>
      </w:r>
    </w:p>
    <w:p w14:paraId="2D40ECA1">
      <w:pPr>
        <w:spacing w:before="206" w:after="0"/>
        <w:ind w:left="1134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La Agrupación Musical de Goián configura un elemento esencial en tener culturales y musicales en el Ayuntamiento de Tomillo. Se trata de un proyecto consolidado que nació en el año 1998 y que llena de cultura y música nuestro pueblo realizando diversas actividades de carácter educativo y cultural en el ámbito de la música.</w:t>
      </w:r>
    </w:p>
    <w:p w14:paraId="2D40ECA2">
      <w:pPr>
        <w:spacing w:before="206" w:after="0"/>
        <w:ind w:left="1134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Uno de los pilares es a labor que se realiza en la esc</w:t>
      </w:r>
      <w:r>
        <w:rPr>
          <w:rFonts w:hint="default" w:ascii="Century Gothic" w:hAnsi="Century Gothic" w:cs="Liberation Sans Narrow"/>
          <w:color w:val="000000"/>
          <w:sz w:val="18"/>
          <w:szCs w:val="18"/>
          <w:lang w:val="es-ES"/>
        </w:rPr>
        <w:t>uela</w:t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 de música, que en este año 2025 solicita la inscripción en el Registro de Escuelas de Músicas de la Xunta de Galicia y oferta clases </w:t>
      </w:r>
      <w:r>
        <w:rPr>
          <w:rFonts w:ascii="Century Gothic" w:hAnsi="Century Gothic" w:cs="Liberation Sans Narrow"/>
          <w:color w:val="000000"/>
          <w:sz w:val="18"/>
          <w:szCs w:val="18"/>
        </w:rPr>
        <w:br w:type="textWrapping"/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que abarcan todas las franjas de edad a partir de los tres años. Se imparten clases a nivel </w:t>
      </w:r>
      <w:r>
        <w:rPr>
          <w:rFonts w:ascii="Century Gothic" w:hAnsi="Century Gothic" w:cs="Liberation Sans Narrow"/>
          <w:color w:val="000000"/>
          <w:sz w:val="18"/>
          <w:szCs w:val="18"/>
        </w:rPr>
        <w:br w:type="textWrapping"/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individual (instrumentales) y colectivo, tanto de lenguaje musical como ensayos </w:t>
      </w:r>
      <w:r>
        <w:rPr>
          <w:rFonts w:ascii="Century Gothic" w:hAnsi="Century Gothic" w:cs="Liberation Sans Narrow"/>
          <w:color w:val="000000"/>
          <w:sz w:val="18"/>
          <w:szCs w:val="18"/>
        </w:rPr>
        <w:br w:type="textWrapping"/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de las  distintas  agrupaciones  que  están dentro  de la  asociación,  y que son una  pieza </w:t>
      </w:r>
      <w:r>
        <w:rPr>
          <w:rFonts w:ascii="Century Gothic" w:hAnsi="Century Gothic" w:cs="Liberation Sans Narrow"/>
          <w:color w:val="000000"/>
          <w:sz w:val="18"/>
          <w:szCs w:val="18"/>
        </w:rPr>
        <w:br w:type="textWrapping"/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fundamental: minibanda, banda juvenil, banda y otros grupos. </w:t>
      </w:r>
    </w:p>
    <w:p w14:paraId="2D40ECA3">
      <w:pPr>
        <w:spacing w:before="206" w:after="0"/>
        <w:ind w:left="1134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Desde hace años los niños y niñas tienen la oportunidad de estudiar y adentrarse en el </w:t>
      </w:r>
      <w:r>
        <w:rPr>
          <w:rFonts w:ascii="Century Gothic" w:hAnsi="Century Gothic" w:cs="Liberation Sans Narrow"/>
          <w:color w:val="000000"/>
          <w:sz w:val="18"/>
          <w:szCs w:val="18"/>
        </w:rPr>
        <w:br w:type="textWrapping"/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conocimiento  de la  música  gracias a     profesionalidad  con la que    se  trabaja  desde  la Escuela. </w:t>
      </w:r>
      <w:r>
        <w:rPr>
          <w:rFonts w:ascii="Century Gothic" w:hAnsi="Century Gothic" w:cs="Liberation Sans Narrow"/>
          <w:color w:val="000000"/>
          <w:sz w:val="18"/>
          <w:szCs w:val="18"/>
        </w:rPr>
        <w:br w:type="textWrapping"/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Varios datos que acreditan la solvencia de este proyecto son por ejemplo la cantidad </w:t>
      </w:r>
      <w:r>
        <w:rPr>
          <w:rFonts w:ascii="Century Gothic" w:hAnsi="Century Gothic" w:cs="Liberation Sans Narrow"/>
          <w:color w:val="000000"/>
          <w:sz w:val="18"/>
          <w:szCs w:val="18"/>
        </w:rPr>
        <w:br w:type="textWrapping"/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  de profesionales    de la  música  que  tuvieron  sus    orígenes  en la escuela    de la </w:t>
      </w:r>
      <w:r>
        <w:rPr>
          <w:rFonts w:ascii="Century Gothic" w:hAnsi="Century Gothic" w:cs="Liberation Sans Narrow"/>
          <w:color w:val="000000"/>
          <w:sz w:val="18"/>
          <w:szCs w:val="18"/>
        </w:rPr>
        <w:br w:type="textWrapping"/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agrupación  o la cantidad      de personas    que  de una forma o de otra        se encuentran </w:t>
      </w:r>
      <w:r>
        <w:rPr>
          <w:rFonts w:hint="default" w:ascii="Century Gothic" w:hAnsi="Century Gothic" w:cs="Liberation Sans Narrow"/>
          <w:color w:val="000000"/>
          <w:sz w:val="18"/>
          <w:szCs w:val="18"/>
          <w:lang w:val="es-ES"/>
        </w:rPr>
        <w:t>unidos</w:t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 a la música o tienen la música cómo parte de sus vidas en nuestro pueblo. </w:t>
      </w:r>
      <w:r>
        <w:rPr>
          <w:rFonts w:ascii="Century Gothic" w:hAnsi="Century Gothic" w:cs="Liberation Sans Narrow"/>
          <w:color w:val="000000"/>
          <w:sz w:val="18"/>
          <w:szCs w:val="18"/>
        </w:rPr>
        <w:br w:type="textWrapping"/>
      </w:r>
      <w:r>
        <w:rPr>
          <w:rFonts w:ascii="Century Gothic" w:hAnsi="Century Gothic" w:cs="Liberation Sans Narrow"/>
          <w:color w:val="000000"/>
          <w:sz w:val="18"/>
          <w:szCs w:val="18"/>
        </w:rPr>
        <w:t>También destacar el alto porcentaje de alumnado que supera satisfactoriamente en sus pruebas de acceso a los Conservatorios Profesionales de Música.</w:t>
      </w:r>
    </w:p>
    <w:p w14:paraId="2D40ECA4">
      <w:pPr>
        <w:spacing w:before="206" w:after="0"/>
        <w:ind w:left="1134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Otras  actividades  musicales  que  se  realizan  durante  el  año  son:  Audiciones </w:t>
      </w:r>
      <w:r>
        <w:rPr>
          <w:rFonts w:ascii="Century Gothic" w:hAnsi="Century Gothic" w:cs="Liberation Sans Narrow"/>
          <w:color w:val="000000"/>
          <w:sz w:val="18"/>
          <w:szCs w:val="18"/>
        </w:rPr>
        <w:br w:type="textWrapping"/>
      </w:r>
      <w:r>
        <w:rPr>
          <w:rFonts w:ascii="Century Gothic" w:hAnsi="Century Gothic" w:cs="Liberation Sans Narrow"/>
          <w:color w:val="000000"/>
          <w:sz w:val="18"/>
          <w:szCs w:val="18"/>
        </w:rPr>
        <w:t>trimestrales, Concierto del Socio, Concierto de las Letras Gallegas, Encuentro de Bandas, Concierto en la Plaza del Seixo, Concierto de Santa Icía, Concierto de N</w:t>
      </w:r>
      <w:r>
        <w:rPr>
          <w:rFonts w:hint="default" w:ascii="Century Gothic" w:hAnsi="Century Gothic" w:cs="Liberation Sans Narrow"/>
          <w:color w:val="000000"/>
          <w:sz w:val="18"/>
          <w:szCs w:val="18"/>
          <w:lang w:val="es-ES"/>
        </w:rPr>
        <w:t>avidad</w:t>
      </w:r>
      <w:r>
        <w:rPr>
          <w:rFonts w:ascii="Century Gothic" w:hAnsi="Century Gothic" w:cs="Liberation Sans Narrow"/>
          <w:color w:val="000000"/>
          <w:sz w:val="18"/>
          <w:szCs w:val="18"/>
        </w:rPr>
        <w:t>, organización  de conciertos  didácticos para los centros  escolares, campamento musical.</w:t>
      </w:r>
    </w:p>
    <w:p w14:paraId="2D40ECA5">
      <w:pPr>
        <w:spacing w:before="206" w:after="0"/>
        <w:ind w:left="1134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Se presta  también  mucha  atención  a educación    en  valores,  con  Charlas,  Fines  de semana  de Convivencia,    Campamentos,  Excursiones,  Cursos  de Instrumentos,  intercambios musicales con otras bandas, etc.</w:t>
      </w:r>
    </w:p>
    <w:p w14:paraId="2D40ECA6">
      <w:pPr>
        <w:spacing w:after="0"/>
        <w:jc w:val="both"/>
        <w:rPr>
          <w:rFonts w:ascii="Century Gothic" w:hAnsi="Century Gothic"/>
          <w:sz w:val="18"/>
          <w:szCs w:val="18"/>
        </w:rPr>
      </w:pPr>
    </w:p>
    <w:p w14:paraId="2D40ECA7">
      <w:pPr>
        <w:numPr>
          <w:ilvl w:val="0"/>
          <w:numId w:val="2"/>
        </w:numPr>
        <w:tabs>
          <w:tab w:val="left" w:pos="1134"/>
        </w:tabs>
        <w:spacing w:before="5" w:after="0"/>
        <w:ind w:left="1134" w:hanging="567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Objetivos a conseguir con la actividad:</w:t>
      </w:r>
    </w:p>
    <w:p w14:paraId="2D40ECA8">
      <w:pPr>
        <w:tabs>
          <w:tab w:val="left" w:pos="1418"/>
        </w:tabs>
        <w:spacing w:after="0"/>
        <w:ind w:left="1418" w:hanging="283"/>
        <w:jc w:val="both"/>
        <w:rPr>
          <w:rFonts w:ascii="Century Gothic" w:hAnsi="Century Gothic" w:cs="OpenSymbol"/>
          <w:color w:val="000000"/>
          <w:sz w:val="18"/>
          <w:szCs w:val="18"/>
        </w:rPr>
      </w:pPr>
    </w:p>
    <w:p w14:paraId="2D40ECA9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Ofrecer formación musical al alumnado.</w:t>
      </w:r>
    </w:p>
    <w:p w14:paraId="2D40ECAA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Disfrutar de actividades musicales, culturales y de ocio.</w:t>
      </w:r>
    </w:p>
    <w:p w14:paraId="2D40ECAB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Dar a conocer actividades culturales y artesanales de vecinos del pueblo.</w:t>
      </w:r>
    </w:p>
    <w:p w14:paraId="2D40ECAC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Estrechar lazos entre el vecindario.</w:t>
      </w:r>
    </w:p>
    <w:p w14:paraId="2D40ECAD">
      <w:pPr>
        <w:tabs>
          <w:tab w:val="left" w:pos="1418"/>
        </w:tabs>
        <w:spacing w:after="0"/>
        <w:jc w:val="both"/>
        <w:rPr>
          <w:rFonts w:ascii="Century Gothic" w:hAnsi="Century Gothic" w:cs="OpenSymbol"/>
          <w:color w:val="000000"/>
          <w:sz w:val="18"/>
          <w:szCs w:val="18"/>
        </w:rPr>
      </w:pPr>
    </w:p>
    <w:p w14:paraId="2D40ECAE">
      <w:pPr>
        <w:numPr>
          <w:ilvl w:val="0"/>
          <w:numId w:val="2"/>
        </w:numPr>
        <w:tabs>
          <w:tab w:val="left" w:pos="1134"/>
        </w:tabs>
        <w:spacing w:before="5" w:after="0"/>
        <w:ind w:left="1134" w:hanging="567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Período propuesto de imputación del gasto: Año 2025.</w:t>
      </w:r>
    </w:p>
    <w:p w14:paraId="2D40ECAF">
      <w:pPr>
        <w:numPr>
          <w:ilvl w:val="0"/>
          <w:numId w:val="2"/>
        </w:numPr>
        <w:tabs>
          <w:tab w:val="left" w:pos="1134"/>
        </w:tabs>
        <w:spacing w:before="242" w:after="0"/>
        <w:ind w:left="1134" w:hanging="567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Forma  propuesta  de difusión    pública  de la  participación  del  Ayuntamiento  de Tomillo    en la financiación de la actividad, y de justificación de la misma: se realizará a través de la inserción  del  logotipo  o anagrama    del  Ayuntamiento  de Tomillo en    toda la publicidad    que  se  realice  para  anunciar  los  eventos,  que  se distribuyen tanto en formato físico, papel, como a través de las redes sociales (carteles, programas  de mano,    códigos  QR,  etc.)  </w:t>
      </w:r>
    </w:p>
    <w:p w14:paraId="2D40ECB0">
      <w:pPr>
        <w:spacing w:before="242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Con el fin de promover los objetivos descritos y al amparo del dispuesto por la legislación vigente, las partes convienen las siguientes</w:t>
      </w:r>
    </w:p>
    <w:p w14:paraId="2D40ECB1">
      <w:pPr>
        <w:spacing w:after="0"/>
        <w:jc w:val="both"/>
        <w:rPr>
          <w:rFonts w:ascii="Century Gothic" w:hAnsi="Century Gothic"/>
          <w:sz w:val="18"/>
          <w:szCs w:val="18"/>
        </w:rPr>
      </w:pPr>
    </w:p>
    <w:p w14:paraId="2D40ECB2">
      <w:pPr>
        <w:spacing w:before="221" w:after="0"/>
        <w:jc w:val="center"/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</w:pPr>
      <w:r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  <w:t>CLÁUSULAS</w:t>
      </w:r>
    </w:p>
    <w:p w14:paraId="2D40ECB3">
      <w:pPr>
        <w:spacing w:after="0"/>
        <w:jc w:val="both"/>
        <w:rPr>
          <w:rFonts w:ascii="Century Gothic" w:hAnsi="Century Gothic"/>
          <w:sz w:val="18"/>
          <w:szCs w:val="18"/>
        </w:rPr>
      </w:pPr>
    </w:p>
    <w:p w14:paraId="2D40ECB4">
      <w:pPr>
        <w:spacing w:before="221"/>
        <w:jc w:val="both"/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</w:pPr>
      <w:r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  <w:t>PRIMERA.- Objeto y beneficiario.</w:t>
      </w:r>
    </w:p>
    <w:p w14:paraId="2D40ECB5">
      <w:pPr>
        <w:spacing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El presente Convenio tiene por objeto regular el régimen de deberes derivados de la aportación municipal en la financiación de la “ACTIVIDAD ANUAL DE La ESCUELA DE MÚSICA Y DE La AGRUPACIÓN MUSICAL DE GOIÁN”  promovido  por la ASOCIACIÓN    SOCIOCULTURAL DE GOIÁN.</w:t>
      </w:r>
    </w:p>
    <w:p w14:paraId="2D40ECB6">
      <w:pPr>
        <w:spacing w:before="221"/>
        <w:jc w:val="both"/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</w:pPr>
      <w:r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  <w:t>SEGUNDA.- Crédito presupuestario y cuantía de la subvención.</w:t>
      </w:r>
    </w:p>
    <w:p w14:paraId="2D40ECB7">
      <w:pPr>
        <w:spacing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Como  colaboración  en la realización    de las  citadas  actividades,  el  Ayuntamiento  de Tomillo se compromete, en virtud del presente convenio, a participar en </w:t>
      </w:r>
      <w:r>
        <w:rPr>
          <w:rFonts w:hint="default" w:ascii="Century Gothic" w:hAnsi="Century Gothic" w:cs="Liberation Sans Narrow"/>
          <w:color w:val="000000"/>
          <w:sz w:val="18"/>
          <w:szCs w:val="18"/>
          <w:lang w:val="es-ES"/>
        </w:rPr>
        <w:t>su</w:t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 financiamento con una subvención de 30.000 euros.</w:t>
      </w:r>
    </w:p>
    <w:p w14:paraId="2D40ECB8">
      <w:pPr>
        <w:spacing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Esta subvención se imputará a la aplicación presupuestaria 334.489.00 del presupuesto del Ayuntamiento </w:t>
      </w:r>
      <w:r>
        <w:rPr>
          <w:rFonts w:ascii="Century Gothic" w:hAnsi="Century Gothic" w:cs="Liberation Sans Narrow"/>
          <w:color w:val="000000"/>
          <w:sz w:val="18"/>
          <w:szCs w:val="18"/>
        </w:rPr>
        <w:br w:type="textWrapping"/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de Tomillo del  2025  y estará    sujeta  los plazos  que  se  reflejan  en la cláusula    séptima de este </w:t>
      </w:r>
      <w:r>
        <w:rPr>
          <w:rFonts w:ascii="Century Gothic" w:hAnsi="Century Gothic" w:cs="Liberation Sans Narrow"/>
          <w:color w:val="000000"/>
          <w:sz w:val="18"/>
          <w:szCs w:val="18"/>
        </w:rPr>
        <w:br w:type="textWrapping"/>
      </w:r>
      <w:r>
        <w:rPr>
          <w:rFonts w:ascii="Century Gothic" w:hAnsi="Century Gothic" w:cs="Liberation Sans Narrow"/>
          <w:color w:val="000000"/>
          <w:sz w:val="18"/>
          <w:szCs w:val="18"/>
        </w:rPr>
        <w:t>convenio.</w:t>
      </w:r>
    </w:p>
    <w:p w14:paraId="2D40ECB9">
      <w:pPr>
        <w:spacing w:before="221"/>
        <w:jc w:val="both"/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</w:pPr>
      <w:r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  <w:t>TERCERA. Requisitos de la entidad beneficiaria:</w:t>
      </w:r>
    </w:p>
    <w:p w14:paraId="2D40ECBA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Estar al corriente con AEAT, Xunta de Galicia, Seguridad Social, y con el Ayuntamiento de Tomillo.</w:t>
      </w:r>
    </w:p>
    <w:p w14:paraId="2D40ECBB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No estar incluidos en ninguna de las causas de incompatibilidad o de incapacidad para ser beneficiarias o percibir las subvenciones previstas en la LXS.</w:t>
      </w:r>
    </w:p>
    <w:p w14:paraId="2D40ECBC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Los beneficiarios podrán recibir como máximo el 80% del presupuesto presentado sobre los gastos subvencionables.</w:t>
      </w:r>
    </w:p>
    <w:p w14:paraId="2D40ECBD">
      <w:pPr>
        <w:spacing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</w:p>
    <w:p w14:paraId="2D40ECBE">
      <w:pPr>
        <w:spacing w:before="221"/>
        <w:jc w:val="both"/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</w:pPr>
      <w:r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  <w:t>CUARTA.- Compatibilidad  con  otras  aportaciones,  ayudas,  ingresos  o recursos    para  la misma finalidad.</w:t>
      </w:r>
    </w:p>
    <w:p w14:paraId="2D40ECBF">
      <w:pPr>
        <w:spacing w:before="2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Esta subvención es compatible con otras subvenciones, ayudas, ingresos o recursos para la misma finalidad, procedentes de cualquier Administraciones o entes públicos o personales, nacionales, de la Unión Europea o de organismos internacionales, siempre que el importe de las mismas sea de tal cuantía que, </w:t>
      </w:r>
      <w:r>
        <w:rPr>
          <w:rFonts w:ascii="Century Gothic" w:hAnsi="Century Gothic" w:cs="Liberation Sans Narrow"/>
          <w:color w:val="000000"/>
          <w:sz w:val="18"/>
          <w:szCs w:val="18"/>
          <w:lang w:val="es-ES"/>
        </w:rPr>
        <w:t>aisladamente</w:t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 o en concurrencia con otras subvenciones, no se supere lo cueste de las actividad subvencionada.</w:t>
      </w:r>
    </w:p>
    <w:p w14:paraId="2D40ECC0">
      <w:pPr>
        <w:spacing w:before="2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</w:p>
    <w:p w14:paraId="2D40ECC1">
      <w:pPr>
        <w:spacing w:before="2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También será compatible con las aportaciones procedentes del circuito cultural del Ayuntamiento de Tomillo.</w:t>
      </w:r>
    </w:p>
    <w:p w14:paraId="2D40ECC2">
      <w:pPr>
        <w:spacing w:before="2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</w:p>
    <w:p w14:paraId="2D40ECC3">
      <w:pPr>
        <w:spacing w:before="2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Con la entrada en vigor de este convenio, la Asociación Sociocultural de Goián no podrá presentarse a la convocatoria de subvenciones que el Ayuntamiento de Tomillo reparte anualmente entre las Asociaciones sin ánimo de lucro que realizan actividades en el ámbito cultural, deportivo y social.</w:t>
      </w:r>
    </w:p>
    <w:p w14:paraId="2D40ECC4">
      <w:pPr>
        <w:spacing w:before="221"/>
        <w:jc w:val="both"/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</w:pPr>
      <w:r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  <w:t>QUINTA .- Gasto subvencionable.</w:t>
      </w:r>
    </w:p>
    <w:p w14:paraId="2D40ECC5">
      <w:pPr>
        <w:spacing w:before="242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Únicamente  serán  subvencionables  aquellos  gastos  que  de     manera indudable respondan a la naturaleza de la   actividad   subvencionada,  resulten  estrictamente </w:t>
      </w:r>
      <w:r>
        <w:rPr>
          <w:rFonts w:ascii="Century Gothic" w:hAnsi="Century Gothic" w:cs="Liberation Sans Narrow"/>
          <w:color w:val="000000"/>
          <w:sz w:val="18"/>
          <w:szCs w:val="18"/>
        </w:rPr>
        <w:tab/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necesarios, sean directamente  imputables a esta,  y se    realicen dentro  del  plazo </w:t>
      </w:r>
      <w:r>
        <w:rPr>
          <w:rFonts w:ascii="Century Gothic" w:hAnsi="Century Gothic" w:cs="Liberation Sans Narrow"/>
          <w:color w:val="000000"/>
          <w:sz w:val="18"/>
          <w:szCs w:val="18"/>
        </w:rPr>
        <w:tab/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establecido en el siguiente  párrafo.  Se considerará  gasto  realizado  aquel  que  se </w:t>
      </w:r>
      <w:r>
        <w:rPr>
          <w:rFonts w:ascii="Century Gothic" w:hAnsi="Century Gothic" w:cs="Liberation Sans Narrow"/>
          <w:color w:val="000000"/>
          <w:sz w:val="18"/>
          <w:szCs w:val="18"/>
        </w:rPr>
        <w:tab/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había pagado efectivamente con anterioridad a la finalización del plazo de justificación de la </w:t>
      </w:r>
      <w:r>
        <w:rPr>
          <w:rFonts w:ascii="Century Gothic" w:hAnsi="Century Gothic" w:cs="Liberation Sans Narrow"/>
          <w:color w:val="000000"/>
          <w:sz w:val="18"/>
          <w:szCs w:val="18"/>
        </w:rPr>
        <w:tab/>
      </w:r>
      <w:r>
        <w:rPr>
          <w:rFonts w:ascii="Century Gothic" w:hAnsi="Century Gothic" w:cs="Liberation Sans Narrow"/>
          <w:color w:val="000000"/>
          <w:sz w:val="18"/>
          <w:szCs w:val="18"/>
        </w:rPr>
        <w:t>subvención.</w:t>
      </w:r>
    </w:p>
    <w:p w14:paraId="2D40ECC6">
      <w:pPr>
        <w:spacing w:before="250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En  todo  caso,  </w:t>
      </w:r>
      <w:r>
        <w:rPr>
          <w:rFonts w:ascii="Century Gothic" w:hAnsi="Century Gothic" w:cs="Liberation Sans Narrow Bold"/>
          <w:color w:val="000000"/>
          <w:sz w:val="18"/>
          <w:szCs w:val="18"/>
        </w:rPr>
        <w:t>se considerará  gasto  subvencionable</w:t>
      </w:r>
      <w:r>
        <w:rPr>
          <w:rFonts w:ascii="Century Gothic" w:hAnsi="Century Gothic" w:cs="Liberation Sans Narrow"/>
          <w:color w:val="000000"/>
          <w:sz w:val="18"/>
          <w:szCs w:val="18"/>
        </w:rPr>
        <w:t>:  nóminas  de personas,    servicios profesionales,  seguridad  social,  prevención  de riesgos    laborales,  seguros,  impartición de cursos,  partituras, reparación de instrumental, asesoría, fotocopias, teléfono, material de oficina,  programa  informático,  webs,  desplazamientos,  alojamiento  y mantenimiento  con motivo de participación en certámenes, intercambios o campamentos.</w:t>
      </w:r>
    </w:p>
    <w:p w14:paraId="2D40ECC7">
      <w:pPr>
        <w:spacing w:before="250" w:after="0"/>
        <w:jc w:val="both"/>
        <w:rPr>
          <w:rFonts w:ascii="Century Gothic" w:hAnsi="Century Gothic" w:cs="Liberation Sans Narrow"/>
          <w:b/>
          <w:bCs/>
          <w:color w:val="000000"/>
          <w:sz w:val="18"/>
          <w:szCs w:val="18"/>
        </w:rPr>
      </w:pPr>
      <w:r>
        <w:rPr>
          <w:rFonts w:ascii="Century Gothic" w:hAnsi="Century Gothic" w:cs="Liberation Sans Narrow"/>
          <w:b/>
          <w:bCs/>
          <w:color w:val="000000"/>
          <w:sz w:val="18"/>
          <w:szCs w:val="18"/>
        </w:rPr>
        <w:t>No se considerará gasto subvencionable:</w:t>
      </w:r>
    </w:p>
    <w:p w14:paraId="2D40ECC8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Gastos derivados de las atenciones protocolarias o viajes de ocio, las excursiones, las fiestas gastronómicas y las fiestas populares</w:t>
      </w:r>
    </w:p>
    <w:p w14:paraId="2D40ECC9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Los gastos gastronómicos, excepto cuando guarden relación directa con la actividad y sean necesarios para su desarrollo.</w:t>
      </w:r>
    </w:p>
    <w:p w14:paraId="2D40ECCA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Actividades que utilicen en su desarrollo lenguaje sexista o que empleen la imagen de la mujer como reclamo.</w:t>
      </w:r>
    </w:p>
    <w:p w14:paraId="2D40ECCB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Actividades que ocasionen o justifiquen lo maltrato de personas o animales.</w:t>
      </w:r>
    </w:p>
    <w:p w14:paraId="2D40ECCC">
      <w:pPr>
        <w:spacing w:before="242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Se aceptan los gastos realizados y efectivamente pagados dentro del siguiente </w:t>
      </w:r>
      <w:r>
        <w:rPr>
          <w:rFonts w:ascii="Century Gothic" w:hAnsi="Century Gothic" w:cs="Liberation Sans Narrow"/>
          <w:color w:val="000000"/>
          <w:sz w:val="18"/>
          <w:szCs w:val="18"/>
        </w:rPr>
        <w:tab/>
      </w:r>
      <w:r>
        <w:rPr>
          <w:rFonts w:ascii="Century Gothic" w:hAnsi="Century Gothic" w:cs="Liberation Sans Narrow"/>
          <w:color w:val="000000"/>
          <w:sz w:val="18"/>
          <w:szCs w:val="18"/>
        </w:rPr>
        <w:t>período de imputación: año 2025.</w:t>
      </w:r>
    </w:p>
    <w:p w14:paraId="2D40ECCD">
      <w:pPr>
        <w:spacing w:before="221"/>
        <w:jc w:val="both"/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</w:pPr>
      <w:r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  <w:t xml:space="preserve">SEXTA.-  Deberes  del  beneficiario.  </w:t>
      </w:r>
    </w:p>
    <w:p w14:paraId="2D40ECCE">
      <w:pPr>
        <w:spacing w:before="250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Además de las funciones propias de la Escuela de Música, la Agrupación Musical de Goián u otros grupos integrados en ella deberán organizar y realizar hasta 10 conciertos en el Ayuntamiento de Tomillo al largo del año (5 la banda y 5 otros grupos). También deberá realizar un campamento musical para 40 niños y niñas de entre 3 y 12 años, con una duración mínima de dos semanas a impartir, preferentemente, en el mes de agosto.</w:t>
      </w:r>
    </w:p>
    <w:p w14:paraId="2D40ECCF">
      <w:pPr>
        <w:spacing w:before="250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Por otra parte, la Asociación Sociocultural de Goián deberá acoger con una bonificación del 100% de la cuota hasta 5 alumnos o alumnas propuestas por el departamento de Servicios Sociales en las actividades de Jardín Musical y/o Lenguaje Musical.</w:t>
      </w:r>
    </w:p>
    <w:p w14:paraId="2D40ECD0">
      <w:pPr>
        <w:spacing w:before="221"/>
        <w:jc w:val="both"/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</w:pPr>
      <w:r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  <w:t>SÉPTIMA.- Plazo  y forma    de justificación    por  parte  del beneficiario del cumplimiento de la finalidad para la que se concedió la subvención y de la aplicación de los hondos percibidos.</w:t>
      </w:r>
    </w:p>
    <w:p w14:paraId="2D40ECD1">
      <w:pPr>
        <w:spacing w:before="222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El beneficiario percibirá el importe de la subvención concedida una vez realizada la actividad subvencionada  y justificada    documentalmente  ante    el Ayuntamiento,  de conformidad    con el establecido en el presente Convenio y en las Bases de Ejecución del Presupuesto.</w:t>
      </w:r>
    </w:p>
    <w:p w14:paraId="2D40ECD2">
      <w:pPr>
        <w:spacing w:before="226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Con el fin de facilitar la realización del objeto de la subvención por parte de los beneficiarios, se contempla en  aplicación del previsto en el art. 34. 4 LXS a posibilidad de realizar pagos a cuenta de la justificación final. La estos efectos el beneficiario podrá presentar justificaciones parciales que darán derecho la expedición de abonos a cuenta de la justificación final, hasta un máximo de un 25% por trimestre del total de la subvención acumulativo en cada plazo, siempre que se presente la documentación detallada en el apartado siguiente y hasta un importe mínimo del pago parcial solicitado.</w:t>
      </w:r>
    </w:p>
    <w:p w14:paraId="2D40ECD3">
      <w:pPr>
        <w:spacing w:before="226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El pago se realizará mediante transferencia bancaria en la cuenta que figura en el formulario 3, previa presentación de los formularios 4 y 5, junto con la documentación que en ellos se requiere.</w:t>
      </w:r>
    </w:p>
    <w:p w14:paraId="2D40ECD4">
      <w:pPr>
        <w:spacing w:before="226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El importe a justificar no será inferior en ningún caso al 125 % del imponerte de subvención concedida.</w:t>
      </w:r>
    </w:p>
    <w:p w14:paraId="2D40ECD5">
      <w:pPr>
        <w:spacing w:before="226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El importe de la subvención concedida </w:t>
      </w:r>
      <w:r>
        <w:rPr>
          <w:rFonts w:hint="default" w:ascii="Century Gothic" w:hAnsi="Century Gothic" w:cs="Liberation Sans Narrow"/>
          <w:color w:val="000000"/>
          <w:sz w:val="18"/>
          <w:szCs w:val="18"/>
          <w:lang w:val="es-ES"/>
        </w:rPr>
        <w:t xml:space="preserve">se </w:t>
      </w:r>
      <w:r>
        <w:rPr>
          <w:rFonts w:ascii="Century Gothic" w:hAnsi="Century Gothic" w:cs="Liberation Sans Narrow"/>
          <w:color w:val="000000"/>
          <w:sz w:val="18"/>
          <w:szCs w:val="18"/>
        </w:rPr>
        <w:t>aboar</w:t>
      </w:r>
      <w:r>
        <w:rPr>
          <w:rFonts w:hint="default" w:ascii="Century Gothic" w:hAnsi="Century Gothic" w:cs="Liberation Sans Narrow"/>
          <w:color w:val="000000"/>
          <w:sz w:val="18"/>
          <w:szCs w:val="18"/>
          <w:lang w:val="es-ES"/>
        </w:rPr>
        <w:t>á</w:t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 una vez aprobada definitivamente y previa justificación de los gastos subvencionables, mediante la presentación de la siguiente documentación:</w:t>
      </w:r>
    </w:p>
    <w:p w14:paraId="2D40ECD6">
      <w:pPr>
        <w:numPr>
          <w:ilvl w:val="2"/>
          <w:numId w:val="1"/>
        </w:numPr>
        <w:tabs>
          <w:tab w:val="left" w:pos="1418"/>
        </w:tabs>
        <w:spacing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Formularios 4 y 5.</w:t>
      </w:r>
    </w:p>
    <w:p w14:paraId="2D40ECD7">
      <w:pPr>
        <w:numPr>
          <w:ilvl w:val="2"/>
          <w:numId w:val="1"/>
        </w:numPr>
        <w:tabs>
          <w:tab w:val="left" w:pos="1418"/>
        </w:tabs>
        <w:spacing w:before="226" w:after="0"/>
        <w:ind w:left="1418" w:hanging="284"/>
        <w:jc w:val="both"/>
        <w:rPr>
          <w:rFonts w:ascii="Century Gothic" w:hAnsi="Century Gothic" w:cs="OpenSymbol"/>
          <w:color w:val="000000"/>
          <w:sz w:val="18"/>
          <w:szCs w:val="18"/>
        </w:rPr>
      </w:pPr>
      <w:r>
        <w:rPr>
          <w:rFonts w:ascii="Century Gothic" w:hAnsi="Century Gothic" w:cs="OpenSymbol"/>
          <w:color w:val="000000"/>
          <w:sz w:val="18"/>
          <w:szCs w:val="18"/>
        </w:rPr>
        <w:t>Nóminas, facturas y formas de pago a terceros que puedan acreditarse mediante un documento expedido por una entidad financiera, en el que quede identificado el beneficiario, el importe y la fecha de pago (cartones bancarios de crédito o débito, talones nominativos, transferencias bancarias etc.).</w:t>
      </w:r>
    </w:p>
    <w:p w14:paraId="2D40ECD8">
      <w:pPr>
        <w:numPr>
          <w:ilvl w:val="2"/>
          <w:numId w:val="1"/>
        </w:numPr>
        <w:tabs>
          <w:tab w:val="left" w:pos="1418"/>
        </w:tabs>
        <w:spacing w:before="226" w:after="0"/>
        <w:ind w:left="1418" w:hanging="284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Cuenta </w:t>
      </w:r>
      <w:r>
        <w:rPr>
          <w:rFonts w:ascii="Century Gothic" w:hAnsi="Century Gothic" w:cs="Liberation Sans Narrow"/>
          <w:color w:val="000000"/>
          <w:sz w:val="18"/>
          <w:szCs w:val="18"/>
          <w:lang w:val="es-ES"/>
        </w:rPr>
        <w:t>justificativa</w:t>
      </w: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 de los gastos, en la que se determinará el gasto total de la finalidad subvencionada, detallando las nóminas y facturas: nº factura, fecha de emisión, proveedor, CIF, concepto, imponerte y fecha de pago.</w:t>
      </w:r>
    </w:p>
    <w:p w14:paraId="2D40ECD9">
      <w:pPr>
        <w:numPr>
          <w:ilvl w:val="2"/>
          <w:numId w:val="1"/>
        </w:numPr>
        <w:tabs>
          <w:tab w:val="left" w:pos="1418"/>
        </w:tabs>
        <w:spacing w:before="226" w:after="0"/>
        <w:ind w:left="1418" w:hanging="284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Documento probatorio  de la  difusión  de la  colaboración  del  Ayuntamiento  en la actividad  subvencionada. "</w:t>
      </w:r>
    </w:p>
    <w:p w14:paraId="2D40ECDA">
      <w:pPr>
        <w:numPr>
          <w:ilvl w:val="2"/>
          <w:numId w:val="1"/>
        </w:numPr>
        <w:tabs>
          <w:tab w:val="left" w:pos="1418"/>
        </w:tabs>
        <w:spacing w:before="226" w:after="0"/>
        <w:ind w:left="1418" w:hanging="284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Los</w:t>
      </w:r>
      <w:r>
        <w:rPr>
          <w:rFonts w:ascii="Century Gothic" w:hAnsi="Century Gothic" w:cs="Liberation Sans Narrow"/>
          <w:color w:val="000000"/>
          <w:sz w:val="18"/>
          <w:szCs w:val="18"/>
        </w:rPr>
        <w:tab/>
      </w:r>
      <w:r>
        <w:rPr>
          <w:rFonts w:ascii="Century Gothic" w:hAnsi="Century Gothic" w:cs="Liberation Sans Narrow"/>
          <w:color w:val="000000"/>
          <w:sz w:val="18"/>
          <w:szCs w:val="18"/>
        </w:rPr>
        <w:t>certificados de encontrarse al corriente  de los deberes tributarios  y seguridad social deberán estar vigentes en el momento de la justificación.</w:t>
      </w:r>
    </w:p>
    <w:p w14:paraId="2D40ECDB">
      <w:pPr>
        <w:numPr>
          <w:ilvl w:val="2"/>
          <w:numId w:val="1"/>
        </w:numPr>
        <w:tabs>
          <w:tab w:val="left" w:pos="1418"/>
        </w:tabs>
        <w:spacing w:before="226" w:after="0"/>
        <w:ind w:left="1418" w:hanging="284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</w:p>
    <w:p w14:paraId="2D40ECDC">
      <w:pPr>
        <w:spacing w:before="221"/>
        <w:jc w:val="both"/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</w:pPr>
      <w:r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  <w:t>OCTAVA.-  Plazo</w:t>
      </w:r>
    </w:p>
    <w:p w14:paraId="2D40ECDD">
      <w:pPr>
        <w:spacing w:before="250" w:after="0"/>
        <w:ind w:left="240" w:hanging="24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El plazo máximo para justificar la subvención será el 30 de noviembre de 2025.</w:t>
      </w:r>
    </w:p>
    <w:p w14:paraId="2D40ECDE">
      <w:pPr>
        <w:spacing w:before="250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</w:p>
    <w:p w14:paraId="2D40ECDF">
      <w:pPr>
        <w:spacing w:before="221"/>
        <w:jc w:val="both"/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</w:pPr>
      <w:r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  <w:t>NOVENA.- Devolución de cantidades percibidas en concepto de subvención.</w:t>
      </w:r>
    </w:p>
    <w:p w14:paraId="2D40ECE0">
      <w:pPr>
        <w:spacing w:before="247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Las ayudas concedidas deberán devolverse o reintegrarse en los siguientes casos:</w:t>
      </w:r>
    </w:p>
    <w:p w14:paraId="2D40ECE1">
      <w:pPr>
        <w:numPr>
          <w:ilvl w:val="2"/>
          <w:numId w:val="1"/>
        </w:numPr>
        <w:tabs>
          <w:tab w:val="left" w:pos="1418"/>
        </w:tabs>
        <w:spacing w:before="226" w:after="0"/>
        <w:ind w:left="1418" w:hanging="284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Al obtenerlas falseando las condiciones requeridas.</w:t>
      </w:r>
    </w:p>
    <w:p w14:paraId="2D40ECE2">
      <w:pPr>
        <w:numPr>
          <w:ilvl w:val="2"/>
          <w:numId w:val="1"/>
        </w:numPr>
        <w:tabs>
          <w:tab w:val="left" w:pos="1418"/>
        </w:tabs>
        <w:spacing w:before="226" w:after="0"/>
        <w:ind w:left="1418" w:hanging="284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Al no aplicarlas para los fines para los que fueron concedidas.</w:t>
      </w:r>
    </w:p>
    <w:p w14:paraId="2D40ECE3">
      <w:pPr>
        <w:numPr>
          <w:ilvl w:val="2"/>
          <w:numId w:val="1"/>
        </w:numPr>
        <w:tabs>
          <w:tab w:val="left" w:pos="1418"/>
        </w:tabs>
        <w:spacing w:before="226" w:after="0"/>
        <w:ind w:left="1418" w:hanging="284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Al incumplir el beneficiario los deberes asumidos y las condiciones fijadas en estas bases.</w:t>
      </w:r>
    </w:p>
    <w:p w14:paraId="2D40ECE4">
      <w:pPr>
        <w:spacing w:before="247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Las causas de reintegro de la subvención serán las que se determinan en el artículo 37 de la ley 9/2007 del 13 de junio, de subvenciones de Galicia.</w:t>
      </w:r>
    </w:p>
    <w:p w14:paraId="2D40ECE5">
      <w:pPr>
        <w:spacing w:after="0"/>
        <w:jc w:val="both"/>
        <w:rPr>
          <w:rFonts w:ascii="Century Gothic" w:hAnsi="Century Gothic"/>
          <w:sz w:val="18"/>
          <w:szCs w:val="18"/>
        </w:rPr>
      </w:pPr>
    </w:p>
    <w:p w14:paraId="2D40ECE6">
      <w:pPr>
        <w:spacing w:after="0"/>
        <w:jc w:val="both"/>
        <w:rPr>
          <w:rFonts w:ascii="Century Gothic" w:hAnsi="Century Gothic"/>
          <w:sz w:val="18"/>
          <w:szCs w:val="18"/>
        </w:rPr>
      </w:pPr>
    </w:p>
    <w:p w14:paraId="2D40ECE7">
      <w:pPr>
        <w:spacing w:after="0"/>
        <w:jc w:val="both"/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</w:pPr>
      <w:r>
        <w:rPr>
          <w:rFonts w:ascii="Century Gothic" w:hAnsi="Century Gothic" w:cs="Liberation Sans Narrow Bold"/>
          <w:b/>
          <w:bCs/>
          <w:color w:val="000000"/>
          <w:sz w:val="18"/>
          <w:szCs w:val="18"/>
        </w:rPr>
        <w:t>DÉCIMA.- Legislación aplicable.</w:t>
      </w:r>
    </w:p>
    <w:p w14:paraId="2D40ECE8">
      <w:pPr>
        <w:spacing w:before="242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El régimen jurídico aplicable será el establecido en este Convenio, en el Reglamento para la concesión de ayudas y subvenciones municipales del ayuntamiento de Tomillo de publicado en el BOP de 31/05/2004, modificado en el BOP de 17/06/2008 y 7/05/2010, en la Ley 9/2007, de 13 de junio, de Subvenciones de Galicia, en el Reglamento de la Ley 9/2007, de 13 de junio, de Subvenciones de Galicia, aprobado por Decreto 11/2009, de 8 de enero, en la Ley 38/2003, de 17 de noviembre, General de Subvenciones y en su normativa de desarrollo, sin perjuicio del establecido cómo legislación estatal básica en los artículos 47 a 53 de la Ley 40/2015, de 1 de octubre, de Régimen Jurídico del Sector Público.</w:t>
      </w:r>
    </w:p>
    <w:p w14:paraId="2D40ECE9">
      <w:pPr>
        <w:spacing w:before="242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</w:p>
    <w:p w14:paraId="2D40ECEA">
      <w:pPr>
        <w:spacing w:before="242" w:after="0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</w:p>
    <w:p w14:paraId="2D40ECEB">
      <w:pPr>
        <w:spacing w:before="242" w:after="0" w:line="100" w:lineRule="atLeast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 xml:space="preserve">Por el Ayuntamiento de Tomillo </w:t>
      </w:r>
    </w:p>
    <w:p w14:paraId="2D40ECEC">
      <w:pPr>
        <w:spacing w:before="242" w:after="0" w:line="100" w:lineRule="atLeast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La ALCALDESA-PRESIDENTA</w:t>
      </w:r>
    </w:p>
    <w:p w14:paraId="2D40ECED">
      <w:pPr>
        <w:spacing w:before="242" w:after="0" w:line="100" w:lineRule="atLeast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Asdo.: Sandra González Álvarez</w:t>
      </w:r>
    </w:p>
    <w:p w14:paraId="2D40ECF1">
      <w:pPr>
        <w:spacing w:before="242" w:after="0" w:line="100" w:lineRule="atLeast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bookmarkStart w:id="1" w:name="_GoBack"/>
      <w:bookmarkEnd w:id="1"/>
    </w:p>
    <w:p w14:paraId="2D40ECF2">
      <w:pPr>
        <w:spacing w:before="242" w:after="0" w:line="100" w:lineRule="atLeast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</w:p>
    <w:p w14:paraId="2D40ECF3">
      <w:pPr>
        <w:spacing w:before="242" w:after="0" w:line="100" w:lineRule="atLeast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Pola Asociación Sociocultural de Goián</w:t>
      </w:r>
    </w:p>
    <w:p w14:paraId="2D40ECF4">
      <w:pPr>
        <w:spacing w:before="242" w:after="0" w:line="100" w:lineRule="atLeast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r>
        <w:rPr>
          <w:rFonts w:ascii="Century Gothic" w:hAnsi="Century Gothic" w:cs="Liberation Sans Narrow"/>
          <w:color w:val="000000"/>
          <w:sz w:val="18"/>
          <w:szCs w:val="18"/>
        </w:rPr>
        <w:t>La PRESIDENTA</w:t>
      </w:r>
    </w:p>
    <w:p w14:paraId="2D40ECF5">
      <w:pPr>
        <w:spacing w:before="242" w:after="0" w:line="100" w:lineRule="atLeast"/>
        <w:jc w:val="both"/>
        <w:rPr>
          <w:rFonts w:ascii="Century Gothic" w:hAnsi="Century Gothic" w:cs="Liberation Sans Narrow"/>
          <w:color w:val="000000"/>
          <w:sz w:val="18"/>
          <w:szCs w:val="18"/>
        </w:rPr>
      </w:pPr>
      <w:bookmarkStart w:id="0" w:name="_Hlk76310707"/>
      <w:bookmarkEnd w:id="0"/>
      <w:r>
        <w:rPr>
          <w:rFonts w:ascii="Century Gothic" w:hAnsi="Century Gothic" w:cs="Liberation Sans Narrow"/>
          <w:color w:val="000000"/>
          <w:sz w:val="18"/>
          <w:szCs w:val="18"/>
        </w:rPr>
        <w:t>Asdo.: María de él Pilar Ramos Tamayo</w:t>
      </w:r>
    </w:p>
    <w:sectPr>
      <w:headerReference r:id="rId5" w:type="default"/>
      <w:footerReference r:id="rId6" w:type="default"/>
      <w:pgSz w:w="11906" w:h="16838"/>
      <w:pgMar w:top="1701" w:right="1418" w:bottom="1418" w:left="1418" w:header="851" w:footer="0" w:gutter="0"/>
      <w:cols w:space="720" w:num="1"/>
      <w:formProt w:val="0"/>
      <w:docGrid w:linePitch="24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DejaVu Sans Condensed">
    <w:altName w:val="Roman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OpenSymbol">
    <w:altName w:val="Roman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roman"/>
    <w:pitch w:val="default"/>
    <w:sig w:usb0="A0000287" w:usb1="28CF3C52" w:usb2="00000016" w:usb3="00000000" w:csb0="0004001F" w:csb1="00000000"/>
  </w:font>
  <w:font w:name="Mangal">
    <w:panose1 w:val="02040503050203030202"/>
    <w:charset w:val="01"/>
    <w:family w:val="roman"/>
    <w:pitch w:val="default"/>
    <w:sig w:usb0="00008003" w:usb1="00000000" w:usb2="00000000" w:usb3="00000000" w:csb0="00000001" w:csb1="00000000"/>
  </w:font>
  <w:font w:name="P 052">
    <w:altName w:val="Roman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Liberation Sans Narrow">
    <w:altName w:val="Roman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iberation Sans Narrow Bold">
    <w:altName w:val="Roman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W w:w="0" w:type="auto"/>
      <w:tblInd w:w="0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8465"/>
      <w:gridCol w:w="738"/>
    </w:tblGrid>
    <w:tr w14:paraId="2D40ECF9">
      <w:tblPrEx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c>
        <w:tcPr>
          <w:tcW w:w="8465" w:type="dxa"/>
          <w:tcBorders>
            <w:top w:val="nil"/>
            <w:left w:val="nil"/>
            <w:bottom w:val="nil"/>
            <w:right w:val="nil"/>
          </w:tcBorders>
          <w:shd w:val="clear" w:color="auto" w:fill="FFFFFF"/>
        </w:tcPr>
        <w:p w14:paraId="2D40ECF7">
          <w:pPr>
            <w:pStyle w:val="8"/>
            <w:spacing w:after="0" w:line="100" w:lineRule="atLeast"/>
            <w:jc w:val="right"/>
          </w:pPr>
        </w:p>
      </w:tc>
      <w:tc>
        <w:tcPr>
          <w:tcW w:w="738" w:type="dxa"/>
          <w:tcBorders>
            <w:top w:val="single" w:color="00000A" w:sz="4" w:space="0"/>
            <w:left w:val="nil"/>
            <w:bottom w:val="nil"/>
            <w:right w:val="nil"/>
          </w:tcBorders>
          <w:shd w:val="clear" w:color="auto" w:fill="FFFFFF"/>
        </w:tcPr>
        <w:p w14:paraId="2D40ECF8">
          <w:pPr>
            <w:pStyle w:val="8"/>
            <w:spacing w:after="0" w:line="100" w:lineRule="atLeast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</w:tr>
  </w:tbl>
  <w:p w14:paraId="2D40ECFA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40ECF6">
    <w:pPr>
      <w:pStyle w:val="28"/>
      <w:spacing w:after="0"/>
      <w:rPr>
        <w:rFonts w:ascii="Arial" w:hAnsi="Arial" w:cs="Arial"/>
        <w:u w:val="single"/>
      </w:rPr>
    </w:pPr>
    <w:r>
      <w:rPr>
        <w:rFonts w:ascii="Arial" w:hAnsi="Arial" w:cs="Arial"/>
        <w:u w:val="single"/>
      </w:rPr>
      <w:tab/>
    </w:r>
    <w:r>
      <w:rPr>
        <w:rFonts w:ascii="Arial" w:hAnsi="Arial" w:cs="Arial"/>
        <w:u w:val="single"/>
        <w:lang w:val="es-ES" w:eastAsia="es-ES"/>
      </w:rPr>
      <w:drawing>
        <wp:inline distT="0" distB="0" distL="0" distR="0">
          <wp:extent cx="1273175" cy="375920"/>
          <wp:effectExtent l="0" t="0" r="0" b="0"/>
          <wp:docPr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3175" cy="375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u w:val="single"/>
      </w:rPr>
      <w:t xml:space="preserve">     </w:t>
    </w:r>
    <w:r>
      <w:rPr>
        <w:rFonts w:ascii="Arial" w:hAnsi="Arial" w:cs="Arial"/>
        <w:u w:val="single"/>
        <w:lang w:val="es-ES" w:eastAsia="es-ES"/>
      </w:rPr>
      <w:drawing>
        <wp:inline distT="0" distB="0" distL="0" distR="0">
          <wp:extent cx="1172210" cy="353695"/>
          <wp:effectExtent l="0" t="0" r="0" b="0"/>
          <wp:docPr id="2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72210" cy="3536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BA492A"/>
    <w:multiLevelType w:val="multilevel"/>
    <w:tmpl w:val="2EBA492A"/>
    <w:lvl w:ilvl="0" w:tentative="0">
      <w:start w:val="1"/>
      <w:numFmt w:val="decimal"/>
      <w:lvlText w:val="%1)"/>
      <w:lvlJc w:val="left"/>
      <w:pPr>
        <w:ind w:left="1430" w:hanging="360"/>
      </w:pPr>
      <w:rPr>
        <w:color w:val="000000"/>
      </w:rPr>
    </w:lvl>
    <w:lvl w:ilvl="1" w:tentative="0">
      <w:start w:val="1"/>
      <w:numFmt w:val="decimal"/>
      <w:lvlText w:val="%2)"/>
      <w:lvlJc w:val="left"/>
      <w:pPr>
        <w:ind w:left="2150" w:hanging="360"/>
      </w:pPr>
      <w:rPr>
        <w:color w:val="000000"/>
      </w:rPr>
    </w:lvl>
    <w:lvl w:ilvl="2" w:tentative="0">
      <w:start w:val="1"/>
      <w:numFmt w:val="bullet"/>
      <w:lvlText w:val="•"/>
      <w:lvlJc w:val="left"/>
      <w:pPr>
        <w:ind w:left="1440" w:hanging="360"/>
      </w:pPr>
      <w:rPr>
        <w:rFonts w:hint="default" w:ascii="Century Gothic" w:hAnsi="Century Gothic" w:cs="Century Gothic"/>
      </w:rPr>
    </w:lvl>
    <w:lvl w:ilvl="3" w:tentative="0">
      <w:start w:val="1"/>
      <w:numFmt w:val="decimal"/>
      <w:lvlText w:val="%4."/>
      <w:lvlJc w:val="left"/>
      <w:pPr>
        <w:ind w:left="3590" w:hanging="360"/>
      </w:pPr>
    </w:lvl>
    <w:lvl w:ilvl="4" w:tentative="0">
      <w:start w:val="1"/>
      <w:numFmt w:val="lowerLetter"/>
      <w:lvlText w:val="%5."/>
      <w:lvlJc w:val="left"/>
      <w:pPr>
        <w:ind w:left="4310" w:hanging="360"/>
      </w:pPr>
    </w:lvl>
    <w:lvl w:ilvl="5" w:tentative="0">
      <w:start w:val="1"/>
      <w:numFmt w:val="lowerRoman"/>
      <w:lvlText w:val="%6."/>
      <w:lvlJc w:val="right"/>
      <w:pPr>
        <w:ind w:left="5030" w:hanging="180"/>
      </w:pPr>
    </w:lvl>
    <w:lvl w:ilvl="6" w:tentative="0">
      <w:start w:val="1"/>
      <w:numFmt w:val="decimal"/>
      <w:lvlText w:val="%7."/>
      <w:lvlJc w:val="left"/>
      <w:pPr>
        <w:ind w:left="5750" w:hanging="360"/>
      </w:pPr>
    </w:lvl>
    <w:lvl w:ilvl="7" w:tentative="0">
      <w:start w:val="1"/>
      <w:numFmt w:val="lowerLetter"/>
      <w:lvlText w:val="%8."/>
      <w:lvlJc w:val="left"/>
      <w:pPr>
        <w:ind w:left="6470" w:hanging="360"/>
      </w:pPr>
    </w:lvl>
    <w:lvl w:ilvl="8" w:tentative="0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61037D8B"/>
    <w:multiLevelType w:val="multilevel"/>
    <w:tmpl w:val="61037D8B"/>
    <w:lvl w:ilvl="0" w:tentative="0">
      <w:start w:val="1"/>
      <w:numFmt w:val="bullet"/>
      <w:lvlText w:val=""/>
      <w:lvlJc w:val="left"/>
      <w:pPr>
        <w:ind w:left="1855" w:hanging="360"/>
      </w:pPr>
      <w:rPr>
        <w:rFonts w:hint="default" w:ascii="Wingdings" w:hAnsi="Wingdings" w:cs="Wingdings"/>
      </w:rPr>
    </w:lvl>
    <w:lvl w:ilvl="1" w:tentative="0">
      <w:start w:val="1"/>
      <w:numFmt w:val="bullet"/>
      <w:lvlText w:val="o"/>
      <w:lvlJc w:val="left"/>
      <w:pPr>
        <w:ind w:left="2575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295" w:hanging="36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"/>
      <w:lvlJc w:val="left"/>
      <w:pPr>
        <w:ind w:left="4015" w:hanging="360"/>
      </w:pPr>
      <w:rPr>
        <w:rFonts w:hint="default" w:ascii="Symbol" w:hAnsi="Symbol" w:cs="Symbol"/>
      </w:rPr>
    </w:lvl>
    <w:lvl w:ilvl="4" w:tentative="0">
      <w:start w:val="1"/>
      <w:numFmt w:val="bullet"/>
      <w:lvlText w:val="o"/>
      <w:lvlJc w:val="left"/>
      <w:pPr>
        <w:ind w:left="4735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455" w:hanging="36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"/>
      <w:lvlJc w:val="left"/>
      <w:pPr>
        <w:ind w:left="6175" w:hanging="360"/>
      </w:pPr>
      <w:rPr>
        <w:rFonts w:hint="default" w:ascii="Symbol" w:hAnsi="Symbol" w:cs="Symbol"/>
      </w:rPr>
    </w:lvl>
    <w:lvl w:ilvl="7" w:tentative="0">
      <w:start w:val="1"/>
      <w:numFmt w:val="bullet"/>
      <w:lvlText w:val="o"/>
      <w:lvlJc w:val="left"/>
      <w:pPr>
        <w:ind w:left="6895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615" w:hanging="360"/>
      </w:pPr>
      <w:rPr>
        <w:rFonts w:hint="default" w:ascii="Wingdings" w:hAnsi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8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46F"/>
    <w:rsid w:val="002466D9"/>
    <w:rsid w:val="005667C6"/>
    <w:rsid w:val="0056703D"/>
    <w:rsid w:val="00607A53"/>
    <w:rsid w:val="00BE20A3"/>
    <w:rsid w:val="00D43125"/>
    <w:rsid w:val="00DE4FA8"/>
    <w:rsid w:val="00E81FA7"/>
    <w:rsid w:val="00E8346F"/>
    <w:rsid w:val="4084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0" w:semiHidden="0" w:name="List Paragraph"/>
  </w:latentStyles>
  <w:style w:type="paragraph" w:default="1" w:styleId="1">
    <w:name w:val="Normal"/>
    <w:qFormat/>
    <w:uiPriority w:val="0"/>
    <w:pPr>
      <w:suppressAutoHyphens/>
      <w:spacing w:after="200" w:line="276" w:lineRule="auto"/>
    </w:pPr>
    <w:rPr>
      <w:rFonts w:ascii="Calibri" w:hAnsi="Calibri" w:eastAsia="Times New Roman" w:cs="Times New Roman"/>
      <w:sz w:val="22"/>
      <w:szCs w:val="22"/>
      <w:lang w:val="gl-ES" w:eastAsia="en-CA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uiPriority w:val="0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5">
    <w:name w:val="header"/>
    <w:basedOn w:val="1"/>
    <w:next w:val="6"/>
    <w:uiPriority w:val="0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customStyle="1" w:styleId="6">
    <w:name w:val="Cuerpo de texto"/>
    <w:basedOn w:val="1"/>
    <w:uiPriority w:val="0"/>
    <w:pPr>
      <w:widowControl w:val="0"/>
      <w:spacing w:after="0" w:line="100" w:lineRule="atLeast"/>
    </w:pPr>
    <w:rPr>
      <w:rFonts w:ascii="Book Antiqua" w:hAnsi="Book Antiqua" w:eastAsia="Book Antiqua" w:cs="Book Antiqua"/>
      <w:sz w:val="23"/>
      <w:szCs w:val="23"/>
      <w:lang w:eastAsia="en-US"/>
    </w:rPr>
  </w:style>
  <w:style w:type="paragraph" w:styleId="7">
    <w:name w:val="List"/>
    <w:basedOn w:val="6"/>
    <w:uiPriority w:val="0"/>
    <w:rPr>
      <w:rFonts w:cs="Mangal"/>
    </w:rPr>
  </w:style>
  <w:style w:type="paragraph" w:styleId="8">
    <w:name w:val="footer"/>
    <w:basedOn w:val="1"/>
    <w:uiPriority w:val="0"/>
    <w:pPr>
      <w:tabs>
        <w:tab w:val="center" w:pos="4513"/>
        <w:tab w:val="right" w:pos="9026"/>
      </w:tabs>
    </w:pPr>
  </w:style>
  <w:style w:type="character" w:customStyle="1" w:styleId="9">
    <w:name w:val="Encabezado Car"/>
    <w:basedOn w:val="2"/>
    <w:qFormat/>
    <w:uiPriority w:val="0"/>
  </w:style>
  <w:style w:type="character" w:customStyle="1" w:styleId="10">
    <w:name w:val="Pie de página Car"/>
    <w:basedOn w:val="2"/>
    <w:uiPriority w:val="0"/>
  </w:style>
  <w:style w:type="character" w:customStyle="1" w:styleId="11">
    <w:name w:val="Enlace de Internet"/>
    <w:uiPriority w:val="0"/>
    <w:rPr>
      <w:color w:val="0000FF"/>
      <w:u w:val="single"/>
    </w:rPr>
  </w:style>
  <w:style w:type="character" w:customStyle="1" w:styleId="12">
    <w:name w:val="Unresolved Mention"/>
    <w:qFormat/>
    <w:uiPriority w:val="0"/>
    <w:rPr>
      <w:color w:val="605E5C"/>
      <w:shd w:val="clear" w:color="auto" w:fill="E1DFDD"/>
    </w:rPr>
  </w:style>
  <w:style w:type="character" w:customStyle="1" w:styleId="13">
    <w:name w:val="Muy destacado"/>
    <w:qFormat/>
    <w:uiPriority w:val="0"/>
    <w:rPr>
      <w:b/>
      <w:bCs/>
    </w:rPr>
  </w:style>
  <w:style w:type="character" w:customStyle="1" w:styleId="14">
    <w:name w:val="Texto independiente Car"/>
    <w:qFormat/>
    <w:uiPriority w:val="0"/>
    <w:rPr>
      <w:rFonts w:ascii="Book Antiqua" w:hAnsi="Book Antiqua" w:eastAsia="Book Antiqua" w:cs="Book Antiqua"/>
      <w:sz w:val="23"/>
      <w:szCs w:val="23"/>
      <w:lang w:val="gl-ES" w:eastAsia="en-US"/>
    </w:rPr>
  </w:style>
  <w:style w:type="character" w:customStyle="1" w:styleId="15">
    <w:name w:val="Texto de globo Car"/>
    <w:basedOn w:val="2"/>
    <w:uiPriority w:val="0"/>
    <w:rPr>
      <w:rFonts w:ascii="Tahoma" w:hAnsi="Tahoma" w:cs="Tahoma"/>
      <w:sz w:val="16"/>
      <w:szCs w:val="16"/>
      <w:lang w:val="gl-ES" w:eastAsia="en-CA"/>
    </w:rPr>
  </w:style>
  <w:style w:type="character" w:customStyle="1" w:styleId="16">
    <w:name w:val="ListLabel 1"/>
    <w:uiPriority w:val="0"/>
    <w:rPr>
      <w:rFonts w:cs="DejaVu Sans Condensed"/>
      <w:color w:val="000000"/>
    </w:rPr>
  </w:style>
  <w:style w:type="character" w:customStyle="1" w:styleId="17">
    <w:name w:val="ListLabel 2"/>
    <w:uiPriority w:val="0"/>
    <w:rPr>
      <w:rFonts w:eastAsia="Times New Roman" w:cs="OpenSymbol"/>
    </w:rPr>
  </w:style>
  <w:style w:type="character" w:customStyle="1" w:styleId="18">
    <w:name w:val="ListLabel 3"/>
    <w:qFormat/>
    <w:uiPriority w:val="0"/>
    <w:rPr>
      <w:rFonts w:cs="Courier New"/>
    </w:rPr>
  </w:style>
  <w:style w:type="character" w:customStyle="1" w:styleId="19">
    <w:name w:val="ListLabel 4"/>
    <w:qFormat/>
    <w:uiPriority w:val="0"/>
    <w:rPr>
      <w:color w:val="000000"/>
    </w:rPr>
  </w:style>
  <w:style w:type="character" w:customStyle="1" w:styleId="20">
    <w:name w:val="ListLabel 5"/>
    <w:uiPriority w:val="0"/>
    <w:rPr>
      <w:rFonts w:eastAsia="Book Antiqua" w:cs="Book Antiqua"/>
      <w:w w:val="93"/>
      <w:lang w:val="es-ES" w:eastAsia="en-US" w:bidi="ar-SA"/>
    </w:rPr>
  </w:style>
  <w:style w:type="character" w:customStyle="1" w:styleId="21">
    <w:name w:val="ListLabel 6"/>
    <w:uiPriority w:val="0"/>
    <w:rPr>
      <w:lang w:val="es-ES" w:eastAsia="en-US" w:bidi="ar-SA"/>
    </w:rPr>
  </w:style>
  <w:style w:type="character" w:customStyle="1" w:styleId="22">
    <w:name w:val="ListLabel 7"/>
    <w:uiPriority w:val="0"/>
    <w:rPr>
      <w:rFonts w:eastAsia="Times New Roman" w:cs="Times New Roman"/>
      <w:color w:val="5D5D5D"/>
      <w:w w:val="94"/>
      <w:sz w:val="23"/>
      <w:szCs w:val="23"/>
      <w:lang w:val="es-ES" w:eastAsia="en-US" w:bidi="ar-SA"/>
    </w:rPr>
  </w:style>
  <w:style w:type="character" w:customStyle="1" w:styleId="23">
    <w:name w:val="ListLabel 8"/>
    <w:uiPriority w:val="0"/>
    <w:rPr>
      <w:rFonts w:eastAsia="Book Antiqua" w:cs="Book Antiqua"/>
      <w:w w:val="108"/>
      <w:lang w:val="es-ES" w:eastAsia="en-US" w:bidi="ar-SA"/>
    </w:rPr>
  </w:style>
  <w:style w:type="character" w:customStyle="1" w:styleId="24">
    <w:name w:val="ListLabel 9"/>
    <w:uiPriority w:val="0"/>
    <w:rPr>
      <w:rFonts w:eastAsia="Times New Roman" w:cs="Times New Roman"/>
      <w:w w:val="93"/>
      <w:lang w:val="es-ES" w:eastAsia="en-US" w:bidi="ar-SA"/>
    </w:rPr>
  </w:style>
  <w:style w:type="character" w:customStyle="1" w:styleId="25">
    <w:name w:val="ListLabel 10"/>
    <w:uiPriority w:val="0"/>
    <w:rPr>
      <w:rFonts w:eastAsia="Book Antiqua" w:cs="Book Antiqua"/>
      <w:color w:val="525252"/>
      <w:w w:val="98"/>
      <w:sz w:val="23"/>
      <w:szCs w:val="23"/>
      <w:lang w:val="es-ES" w:eastAsia="en-US" w:bidi="ar-SA"/>
    </w:rPr>
  </w:style>
  <w:style w:type="paragraph" w:customStyle="1" w:styleId="26">
    <w:name w:val="Pie"/>
    <w:basedOn w:val="1"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7">
    <w:name w:val="Índice"/>
    <w:basedOn w:val="1"/>
    <w:uiPriority w:val="0"/>
    <w:pPr>
      <w:suppressLineNumbers/>
    </w:pPr>
    <w:rPr>
      <w:rFonts w:cs="Mangal"/>
    </w:rPr>
  </w:style>
  <w:style w:type="paragraph" w:customStyle="1" w:styleId="28">
    <w:name w:val="Encabezamiento"/>
    <w:basedOn w:val="1"/>
    <w:uiPriority w:val="0"/>
    <w:pPr>
      <w:tabs>
        <w:tab w:val="center" w:pos="4513"/>
        <w:tab w:val="right" w:pos="9026"/>
      </w:tabs>
    </w:pPr>
  </w:style>
  <w:style w:type="paragraph" w:styleId="29">
    <w:name w:val="List Paragraph"/>
    <w:basedOn w:val="1"/>
    <w:uiPriority w:val="0"/>
    <w:pPr>
      <w:ind w:left="708"/>
    </w:pPr>
  </w:style>
  <w:style w:type="paragraph" w:customStyle="1" w:styleId="30">
    <w:name w:val="Default"/>
    <w:uiPriority w:val="0"/>
    <w:pPr>
      <w:suppressAutoHyphens/>
      <w:spacing w:after="160" w:line="259" w:lineRule="auto"/>
    </w:pPr>
    <w:rPr>
      <w:rFonts w:ascii="P 052" w:hAnsi="P 052" w:eastAsia="Times New Roman" w:cs="P 052"/>
      <w:color w:val="000000"/>
      <w:sz w:val="24"/>
      <w:szCs w:val="24"/>
      <w:lang w:val="es-ES" w:eastAsia="es-E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2278</Words>
  <Characters>12534</Characters>
  <Lines>104</Lines>
  <Paragraphs>29</Paragraphs>
  <TotalTime>4</TotalTime>
  <ScaleCrop>false</ScaleCrop>
  <LinksUpToDate>false</LinksUpToDate>
  <CharactersWithSpaces>14783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2025-03-31T06:41:00Z</dcterms:created>
  <dc:creator>ana.morgadas</dc:creator>
  <cp:lastModifiedBy>montserrat.ucha</cp:lastModifiedBy>
  <cp:lastPrinted>2024-02-22T07:27:00Z</cp:lastPrinted>
  <dcterms:modified xsi:type="dcterms:W3CDTF">2025-10-30T09:06:55Z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3082-12.2.0.23131</vt:lpwstr>
  </property>
  <property fmtid="{D5CDD505-2E9C-101B-9397-08002B2CF9AE}" pid="3" name="ICV">
    <vt:lpwstr>5D8B1C28691C4FDBB7B329BE15CF6F15_13</vt:lpwstr>
  </property>
</Properties>
</file>