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b/>
          <w:b/>
          <w:bCs/>
          <w:sz w:val="22"/>
          <w:szCs w:val="22"/>
          <w:lang w:val="es-ES"/>
        </w:rPr>
      </w:pPr>
      <w:r>
        <w:rPr>
          <w:rFonts w:ascii="Arial" w:hAnsi="Arial"/>
          <w:b/>
          <w:bCs/>
          <w:sz w:val="22"/>
          <w:szCs w:val="22"/>
          <w:lang w:val="es-ES"/>
        </w:rPr>
      </w:r>
    </w:p>
    <w:p>
      <w:pPr>
        <w:pStyle w:val="Normal"/>
        <w:spacing w:lineRule="auto" w:line="240" w:before="0" w:after="0"/>
        <w:jc w:val="both"/>
        <w:textAlignment w:val="baseline"/>
        <w:rPr/>
      </w:pPr>
      <w:r>
        <w:rPr>
          <w:rFonts w:eastAsia="Times New Roman" w:cs="Arial"/>
          <w:b/>
          <w:color w:val="000000"/>
          <w:kern w:val="2"/>
          <w:sz w:val="18"/>
          <w:szCs w:val="18"/>
          <w:lang w:val="es-ES" w:eastAsia="ar-SA"/>
        </w:rPr>
        <w:t>EXTRACTO   CONVOCATORIA  DE LA I EDICIÓN DEL CONCURSO DE FOTOGRAFÍA “L’ELIANA CONTRA LA VIOLENCIA DE GÉNERO” DEL  AYUNTAMIENTO DE L’ELIANA EJERCICIO  2025</w:t>
      </w:r>
    </w:p>
    <w:p>
      <w:pPr>
        <w:pStyle w:val="Default"/>
        <w:rPr>
          <w:rFonts w:ascii="Roboto" w:hAnsi="Roboto" w:cs="Roboto"/>
          <w:sz w:val="22"/>
          <w:szCs w:val="22"/>
        </w:rPr>
      </w:pPr>
      <w:r>
        <w:rPr>
          <w:rFonts w:cs="Roboto" w:ascii="Roboto" w:hAnsi="Roboto"/>
          <w:sz w:val="22"/>
          <w:szCs w:val="22"/>
        </w:rPr>
      </w:r>
    </w:p>
    <w:tbl>
      <w:tblPr>
        <w:tblW w:w="9746" w:type="dxa"/>
        <w:jc w:val="left"/>
        <w:tblInd w:w="0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0" w:noVBand="0" w:lastRow="0" w:firstColumn="0" w:lastColumn="0" w:noHBand="0" w:val="0000"/>
      </w:tblPr>
      <w:tblGrid>
        <w:gridCol w:w="4873"/>
        <w:gridCol w:w="4872"/>
      </w:tblGrid>
      <w:tr>
        <w:trPr/>
        <w:tc>
          <w:tcPr>
            <w:tcW w:w="4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eastAsia="Roboto" w:cs="Roboto" w:ascii="Roboto" w:hAnsi="Roboto"/>
                <w:sz w:val="22"/>
                <w:szCs w:val="22"/>
              </w:rPr>
              <w:t xml:space="preserve"> </w:t>
            </w:r>
            <w:r>
              <w:rPr>
                <w:rFonts w:cs="Roboto" w:ascii="Roboto" w:hAnsi="Roboto"/>
                <w:b/>
                <w:sz w:val="22"/>
                <w:szCs w:val="22"/>
              </w:rPr>
              <w:t>CONTENIDO DE LA CONVOCATORIA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Roboto" w:ascii="Roboto" w:hAnsi="Roboto"/>
                <w:b/>
                <w:sz w:val="22"/>
                <w:szCs w:val="22"/>
              </w:rPr>
              <w:t>DETALLE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Objeto, condiciones y finalidad de la concesión de la subvención.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uerpodetexto"/>
              <w:widowControl w:val="false"/>
              <w:spacing w:lineRule="auto" w:line="276" w:before="1" w:after="0"/>
              <w:ind w:left="115" w:right="111" w:hanging="0"/>
              <w:rPr/>
            </w:pPr>
            <w:r>
              <w:rPr>
                <w:rFonts w:cs="Calibri" w:ascii="Calibri" w:hAnsi="Calibri"/>
                <w:i w:val="false"/>
                <w:kern w:val="2"/>
                <w:sz w:val="18"/>
                <w:szCs w:val="18"/>
                <w:lang w:eastAsia="ar-SA"/>
              </w:rPr>
              <w:t>El objeto de este concurso el promover actividades en el municipio de l’Eliana, en torno al 25 de noviembre, día internacional para la eliminación de la violencia sobre las mujeres y sensibilizar a la población en la prevención de la violencia de género y machista.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Personas solicitantes o beneficiarias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spacing w:before="64" w:after="200"/>
              <w:jc w:val="both"/>
              <w:textAlignment w:val="baseline"/>
              <w:rPr/>
            </w:pPr>
            <w:r>
              <w:rPr>
                <w:rFonts w:eastAsia="Times New Roman" w:cs="Calibri" w:ascii="Calibri" w:hAnsi="Calibri"/>
                <w:kern w:val="2"/>
                <w:sz w:val="18"/>
                <w:szCs w:val="18"/>
                <w:lang w:eastAsia="ar-SA"/>
              </w:rPr>
              <w:t>Podrán adquirir la condición de persona o entidad beneficiaria, con carácter general, aquellas que cumplan los requisitos  de la base tercera.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Régimen de la concesión de la presente subvención.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color w:val="auto"/>
                <w:kern w:val="2"/>
                <w:sz w:val="18"/>
                <w:szCs w:val="18"/>
                <w:lang w:eastAsia="ar-SA"/>
              </w:rPr>
              <w:t>Régimen de concurrencia competitiva.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Requisitos para solicitar la subvención y forma de acreditarlos.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spacing w:before="64" w:after="200"/>
              <w:jc w:val="both"/>
              <w:textAlignment w:val="baseline"/>
              <w:rPr/>
            </w:pPr>
            <w:r>
              <w:rPr>
                <w:rFonts w:eastAsia="Times New Roman" w:cs="Calibri" w:ascii="Calibri" w:hAnsi="Calibri"/>
                <w:kern w:val="2"/>
                <w:sz w:val="18"/>
                <w:szCs w:val="18"/>
                <w:lang w:eastAsia="ar-SA"/>
              </w:rPr>
              <w:t>Están recogidos en la base tercera de la convocatoria.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Criterios de valoración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spacing w:before="64" w:after="200"/>
              <w:jc w:val="both"/>
              <w:textAlignment w:val="baseline"/>
              <w:rPr/>
            </w:pPr>
            <w:r>
              <w:rPr>
                <w:rFonts w:eastAsia="Times New Roman" w:cs="Calibri" w:ascii="Calibri" w:hAnsi="Calibri"/>
                <w:kern w:val="2"/>
                <w:sz w:val="18"/>
                <w:szCs w:val="18"/>
                <w:lang w:eastAsia="ar-SA"/>
              </w:rPr>
              <w:t>Están recogidos en la base sexta de la convocatoria.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Bases reguladoras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uerpodetexto"/>
              <w:widowControl w:val="false"/>
              <w:spacing w:lineRule="auto" w:line="276" w:before="1" w:after="0"/>
              <w:ind w:left="115" w:right="124" w:hanging="0"/>
              <w:rPr/>
            </w:pPr>
            <w:r>
              <w:rPr>
                <w:rFonts w:cs="Calibri" w:ascii="Calibri" w:hAnsi="Calibri"/>
                <w:i w:val="false"/>
                <w:kern w:val="2"/>
                <w:sz w:val="18"/>
                <w:szCs w:val="18"/>
                <w:lang w:eastAsia="ar-SA"/>
              </w:rPr>
              <w:t>Ordenanza General de Subvenciones del Ayuntamiento de l’Eliana así como las bases reguladoras de subvenciones del Ayuntamiento de l’Eliana (BOP  de Valencia n.º 29 de 9/2/2024)</w:t>
            </w:r>
          </w:p>
          <w:p>
            <w:pPr>
              <w:pStyle w:val="Cuerpodetexto"/>
              <w:widowControl w:val="false"/>
              <w:spacing w:lineRule="auto" w:line="276" w:before="1" w:after="0"/>
              <w:ind w:left="115" w:right="124" w:hanging="0"/>
              <w:rPr>
                <w:rFonts w:ascii="Calibri" w:hAnsi="Calibri" w:cs="Calibri"/>
                <w:i w:val="false"/>
                <w:i w:val="false"/>
                <w:kern w:val="2"/>
                <w:sz w:val="18"/>
                <w:szCs w:val="18"/>
                <w:lang w:eastAsia="ar-SA"/>
              </w:rPr>
            </w:pPr>
            <w:r>
              <w:rPr>
                <w:rFonts w:cs="Calibri" w:ascii="Calibri" w:hAnsi="Calibri"/>
                <w:i w:val="false"/>
                <w:kern w:val="2"/>
                <w:sz w:val="18"/>
                <w:szCs w:val="18"/>
                <w:lang w:eastAsia="ar-SA"/>
              </w:rPr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Crédito Presupuestario.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Cuerpodetexto"/>
              <w:widowControl w:val="false"/>
              <w:spacing w:lineRule="auto" w:line="276" w:before="1" w:after="0"/>
              <w:ind w:left="115" w:right="124" w:hanging="0"/>
              <w:rPr/>
            </w:pPr>
            <w:r>
              <w:rPr>
                <w:rFonts w:cs="Calibri" w:ascii="Calibri" w:hAnsi="Calibri"/>
                <w:i w:val="false"/>
                <w:kern w:val="2"/>
                <w:sz w:val="18"/>
                <w:szCs w:val="18"/>
                <w:lang w:eastAsia="ar-SA"/>
              </w:rPr>
              <w:t>600 euros con cargo a la aplicación presupuestaria  4026/2311/48115, del presupuesto municipal vigente.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Órgano Instructor.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spacing w:before="64" w:after="200"/>
              <w:jc w:val="both"/>
              <w:textAlignment w:val="baseline"/>
              <w:rPr/>
            </w:pPr>
            <w:r>
              <w:rPr>
                <w:rFonts w:eastAsia="Times New Roman" w:cs="Calibri" w:ascii="Calibri" w:hAnsi="Calibri"/>
                <w:kern w:val="2"/>
                <w:sz w:val="18"/>
                <w:szCs w:val="18"/>
                <w:lang w:eastAsia="ar-SA"/>
              </w:rPr>
              <w:t>Área gestora de la subvención que corresponde a los Servicios Administrativos del área de Igualdad.</w:t>
            </w:r>
          </w:p>
          <w:p>
            <w:pPr>
              <w:pStyle w:val="Cuerpodetexto"/>
              <w:widowControl w:val="false"/>
              <w:spacing w:lineRule="auto" w:line="276" w:before="1" w:after="0"/>
              <w:ind w:left="115" w:right="111" w:hanging="0"/>
              <w:textAlignment w:val="baseline"/>
              <w:rPr>
                <w:rFonts w:ascii="Calibri" w:hAnsi="Calibri" w:cs="Calibri"/>
                <w:i w:val="false"/>
                <w:i w:val="false"/>
                <w:color w:val="000000"/>
                <w:kern w:val="2"/>
                <w:sz w:val="18"/>
                <w:szCs w:val="18"/>
                <w:lang w:eastAsia="ar-SA"/>
              </w:rPr>
            </w:pPr>
            <w:r>
              <w:rPr>
                <w:rFonts w:cs="Calibri" w:ascii="Calibri" w:hAnsi="Calibri"/>
                <w:i w:val="false"/>
                <w:color w:val="000000"/>
                <w:kern w:val="2"/>
                <w:sz w:val="18"/>
                <w:szCs w:val="18"/>
                <w:lang w:eastAsia="ar-SA"/>
              </w:rPr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Órgano colegiado de valoración de las solicitudes.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spacing w:before="64" w:after="200"/>
              <w:jc w:val="both"/>
              <w:textAlignment w:val="baseline"/>
              <w:rPr/>
            </w:pPr>
            <w:r>
              <w:rPr>
                <w:rFonts w:eastAsia="Times New Roman" w:cs="Calibri" w:ascii="Calibri" w:hAnsi="Calibri"/>
                <w:kern w:val="2"/>
                <w:sz w:val="18"/>
                <w:szCs w:val="18"/>
                <w:lang w:eastAsia="ar-SA"/>
              </w:rPr>
              <w:t>Comisión de valoración prevista en la base  sexta de la convocatoria.</w:t>
            </w:r>
          </w:p>
          <w:p>
            <w:pPr>
              <w:pStyle w:val="Default"/>
              <w:widowControl w:val="false"/>
              <w:jc w:val="both"/>
              <w:rPr>
                <w:rFonts w:ascii="Calibri" w:hAnsi="Calibri" w:eastAsia="Calibri" w:cs="Calibri"/>
                <w:color w:val="auto"/>
                <w:kern w:val="2"/>
                <w:sz w:val="18"/>
                <w:szCs w:val="18"/>
                <w:lang w:eastAsia="ar-SA"/>
              </w:rPr>
            </w:pPr>
            <w:r>
              <w:rPr>
                <w:rFonts w:eastAsia="Calibri" w:cs="Calibri" w:ascii="Calibri" w:hAnsi="Calibri"/>
                <w:color w:val="auto"/>
                <w:kern w:val="2"/>
                <w:sz w:val="18"/>
                <w:szCs w:val="18"/>
                <w:lang w:eastAsia="ar-SA"/>
              </w:rPr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Órgano que ostenta la atribución para el otorgamiento de la presente subvención.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color w:val="auto"/>
                <w:kern w:val="2"/>
                <w:sz w:val="18"/>
                <w:szCs w:val="18"/>
                <w:lang w:eastAsia="ar-SA"/>
              </w:rPr>
              <w:t>Alcaldía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Plazo de presentación de solicitudes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spacing w:before="64" w:after="200"/>
              <w:jc w:val="both"/>
              <w:textAlignment w:val="baseline"/>
              <w:rPr/>
            </w:pPr>
            <w:r>
              <w:rPr>
                <w:rFonts w:eastAsia="Times New Roman" w:cs="Calibri" w:ascii="Calibri" w:hAnsi="Calibri"/>
                <w:kern w:val="2"/>
                <w:sz w:val="18"/>
                <w:szCs w:val="18"/>
                <w:lang w:eastAsia="ar-SA"/>
              </w:rPr>
              <w:t>El inicio del plazo de presentación de solicitudes será el día siguiente de la publicación de la convocatoria en la Base de Datos Nacional de Subvenciones (BDNS) y en el BOP, según el procedimiento previsto en el art. 20 de la Ley General de Subvenciones y, en todo caso hasta el 21  de noviembre de 2025.</w:t>
            </w:r>
          </w:p>
          <w:p>
            <w:pPr>
              <w:pStyle w:val="Default"/>
              <w:widowControl w:val="false"/>
              <w:jc w:val="both"/>
              <w:rPr>
                <w:rFonts w:ascii="Calibri" w:hAnsi="Calibri" w:eastAsia="Times New Roman" w:cs="Calibri"/>
                <w:color w:val="auto"/>
                <w:kern w:val="2"/>
                <w:sz w:val="18"/>
                <w:szCs w:val="18"/>
                <w:lang w:eastAsia="ar-SA"/>
              </w:rPr>
            </w:pPr>
            <w:r>
              <w:rPr>
                <w:rFonts w:eastAsia="Times New Roman" w:cs="Calibri" w:ascii="Calibri" w:hAnsi="Calibri"/>
                <w:color w:val="auto"/>
                <w:kern w:val="2"/>
                <w:sz w:val="18"/>
                <w:szCs w:val="18"/>
                <w:lang w:eastAsia="ar-SA"/>
              </w:rPr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Plazo de resolución</w:t>
            </w:r>
          </w:p>
          <w:p>
            <w:pPr>
              <w:pStyle w:val="Default"/>
              <w:widowControl w:val="false"/>
              <w:jc w:val="both"/>
              <w:rPr>
                <w:rFonts w:ascii="Calibri" w:hAnsi="Calibri" w:eastAsia="Times New Roman" w:cs="Calibri"/>
                <w:b/>
                <w:b/>
                <w:bCs/>
                <w:color w:val="auto"/>
                <w:kern w:val="2"/>
                <w:sz w:val="18"/>
                <w:szCs w:val="18"/>
                <w:lang w:eastAsia="ar-SA"/>
              </w:rPr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color w:val="auto"/>
                <w:kern w:val="2"/>
                <w:sz w:val="18"/>
                <w:szCs w:val="18"/>
                <w:lang w:eastAsia="ar-SA"/>
              </w:rPr>
              <w:t>Tres meses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pacing w:before="0" w:after="200"/>
              <w:jc w:val="both"/>
              <w:rPr/>
            </w:pPr>
            <w:r>
              <w:rPr>
                <w:rFonts w:eastAsia="Times New Roman" w:cs="Calibri"/>
                <w:b/>
                <w:bCs/>
                <w:color w:val="000000"/>
                <w:kern w:val="2"/>
                <w:sz w:val="18"/>
                <w:szCs w:val="18"/>
                <w:lang w:val="es-ES" w:eastAsia="ar-SA"/>
              </w:rPr>
              <w:t>Medios de notificación o publicación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pacing w:before="0" w:after="200"/>
              <w:jc w:val="both"/>
              <w:rPr>
                <w:rFonts w:eastAsia="Times New Roman" w:cs="Calibri"/>
                <w:b/>
                <w:b/>
                <w:bCs/>
                <w:kern w:val="2"/>
                <w:sz w:val="18"/>
                <w:szCs w:val="18"/>
                <w:lang w:val="es-ES" w:eastAsia="ar-SA"/>
              </w:rPr>
            </w:pPr>
            <w:r>
              <w:rPr>
                <w:rFonts w:eastAsia="Times New Roman" w:cs="Calibri"/>
                <w:color w:val="000000"/>
                <w:kern w:val="2"/>
                <w:sz w:val="18"/>
                <w:szCs w:val="18"/>
                <w:lang w:val="es-ES" w:eastAsia="ar-SA"/>
              </w:rPr>
              <w:t xml:space="preserve">La resolución del presente procedimiento de concurrencia competitiva, será motivada y se notificará a las personas interesadas mediante la publicación en el tablón de anuncios del Ayuntamiento, en la página web municipal  </w:t>
            </w:r>
            <w:hyperlink r:id="rId2">
              <w:r>
                <w:rPr>
                  <w:rFonts w:eastAsia="Times New Roman" w:cs="Calibri"/>
                  <w:color w:val="000000"/>
                  <w:kern w:val="2"/>
                  <w:sz w:val="18"/>
                  <w:szCs w:val="18"/>
                  <w:u w:val="single"/>
                  <w:lang w:val="es-ES" w:eastAsia="ar-SA"/>
                </w:rPr>
                <w:t>https://www.leliana.es./es/page/subvenciones</w:t>
              </w:r>
            </w:hyperlink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Carácter de la resolución de la concesión o denegación de la concesión de subvención.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color w:val="auto"/>
                <w:kern w:val="2"/>
                <w:sz w:val="18"/>
                <w:szCs w:val="18"/>
                <w:lang w:eastAsia="ar-SA"/>
              </w:rPr>
              <w:t>Firme en vía administrativa.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Times New Roman" w:cs="Calibri" w:ascii="Calibri" w:hAnsi="Calibri"/>
                <w:b/>
                <w:bCs/>
                <w:color w:val="auto"/>
                <w:kern w:val="2"/>
                <w:sz w:val="18"/>
                <w:szCs w:val="18"/>
                <w:lang w:eastAsia="ar-SA"/>
              </w:rPr>
              <w:t>Forma de justificación de la subvención concedida.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spacing w:before="64" w:after="200"/>
              <w:jc w:val="both"/>
              <w:textAlignment w:val="baseline"/>
              <w:rPr/>
            </w:pPr>
            <w:r>
              <w:rPr>
                <w:rFonts w:eastAsia="Times New Roman" w:cs="Calibri" w:ascii="Calibri" w:hAnsi="Calibri"/>
                <w:kern w:val="2"/>
                <w:sz w:val="18"/>
                <w:szCs w:val="18"/>
                <w:lang w:eastAsia="ar-SA"/>
              </w:rPr>
              <w:t>No precisa justificación adicional, en base al artículo 30.7 de la Ley general de subvenciones.</w:t>
            </w:r>
          </w:p>
        </w:tc>
      </w:tr>
      <w:tr>
        <w:trPr/>
        <w:tc>
          <w:tcPr>
            <w:tcW w:w="487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Default"/>
              <w:widowControl w:val="false"/>
              <w:jc w:val="both"/>
              <w:rPr/>
            </w:pPr>
            <w:r>
              <w:rPr>
                <w:rFonts w:eastAsia="Calibri" w:cs="Calibri" w:ascii="Calibri" w:hAnsi="Calibri"/>
                <w:b/>
                <w:bCs/>
                <w:sz w:val="18"/>
                <w:szCs w:val="18"/>
              </w:rPr>
              <w:t>Recursos</w:t>
            </w:r>
          </w:p>
        </w:tc>
        <w:tc>
          <w:tcPr>
            <w:tcW w:w="4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pacing w:before="0" w:after="200"/>
              <w:jc w:val="both"/>
              <w:rPr/>
            </w:pPr>
            <w:r>
              <w:rPr>
                <w:rFonts w:cs="Calibri"/>
                <w:color w:val="000000"/>
                <w:sz w:val="18"/>
                <w:szCs w:val="18"/>
                <w:lang w:val="es-ES"/>
              </w:rPr>
              <w:t>Contra la resolución por la que se conceda las presentes ayudas, que pone fin a la vía administrativa, se puede interponer en el plazo de un mes recurso potestativo de reposición, ante el mismo órgano que ha dictado el acto, o bien directamente el recurso contencioso-administrativo, ante</w:t>
            </w:r>
            <w:r>
              <w:rPr>
                <w:rFonts w:cs="Roboto" w:ascii="Roboto" w:hAnsi="Roboto"/>
                <w:color w:val="000000"/>
                <w:lang w:val="es-ES"/>
              </w:rPr>
              <w:t xml:space="preserve"> </w:t>
            </w:r>
            <w:r>
              <w:rPr>
                <w:rFonts w:cs="Calibri"/>
                <w:color w:val="000000"/>
                <w:sz w:val="18"/>
                <w:szCs w:val="18"/>
                <w:lang w:val="es-ES"/>
              </w:rPr>
              <w:t>la Sala de lo contencioso-administrativo del Tribunal Superior de Justicia de la Comunidad Valenciana, en el plazo de dos meses contados desde el día siguiente a su notificación de conformidad con lo que prevén los artículos 10.1.a) y 46.1) de la Ley 29/98, de 13 de julio, reguladora de la jurisdicción contencioso-administrativa, sin perjuicio que se utilice cualquier otro que se considere oportuno.</w:t>
            </w:r>
          </w:p>
        </w:tc>
      </w:tr>
    </w:tbl>
    <w:p>
      <w:pPr>
        <w:pStyle w:val="Default"/>
        <w:textAlignment w:val="baseline"/>
        <w:rPr>
          <w:rFonts w:ascii="Roboto" w:hAnsi="Roboto" w:cs="Roboto"/>
          <w:i/>
          <w:i/>
          <w:iCs/>
          <w:sz w:val="22"/>
          <w:szCs w:val="22"/>
          <w:lang w:val="ca-ES-valencia"/>
        </w:rPr>
      </w:pPr>
      <w:r>
        <w:rPr>
          <w:rFonts w:cs="Roboto" w:ascii="Roboto" w:hAnsi="Roboto"/>
          <w:i/>
          <w:iCs/>
          <w:sz w:val="22"/>
          <w:szCs w:val="22"/>
          <w:lang w:val="ca-ES-valencia"/>
        </w:rPr>
      </w:r>
    </w:p>
    <w:sectPr>
      <w:headerReference w:type="default" r:id="rId3"/>
      <w:type w:val="nextPage"/>
      <w:pgSz w:w="11906" w:h="16838"/>
      <w:pgMar w:left="1134" w:right="1134" w:gutter="0" w:header="425" w:top="1388" w:footer="0" w:bottom="425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Arial">
    <w:charset w:val="00"/>
    <w:family w:val="roman"/>
    <w:pitch w:val="variable"/>
  </w:font>
  <w:font w:name="Roboto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uerpodetexto"/>
      <w:tabs>
        <w:tab w:val="clear" w:pos="720"/>
        <w:tab w:val="left" w:pos="3496" w:leader="none"/>
        <w:tab w:val="left" w:pos="5366" w:leader="none"/>
      </w:tabs>
      <w:rPr>
        <w:lang w:val="es-ES"/>
      </w:rPr>
    </w:pPr>
    <w: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2559685</wp:posOffset>
              </wp:positionH>
              <wp:positionV relativeFrom="page">
                <wp:posOffset>317500</wp:posOffset>
              </wp:positionV>
              <wp:extent cx="12700" cy="391795"/>
              <wp:effectExtent l="0" t="0" r="0" b="0"/>
              <wp:wrapNone/>
              <wp:docPr id="1" name="Imagen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600" cy="391680"/>
                      </a:xfrm>
                      <a:prstGeom prst="rect">
                        <a:avLst/>
                      </a:prstGeom>
                      <a:solidFill>
                        <a:srgbClr val="dc1d3b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Imagen1" path="m0,0l-2147483645,0l-2147483645,-2147483646l0,-2147483646xe" fillcolor="#dc1d3b" stroked="f" o:allowincell="f" style="position:absolute;margin-left:201.55pt;margin-top:25pt;width:0.95pt;height:30.8pt;mso-wrap-style:none;v-text-anchor:middle;mso-position-horizontal-relative:page;mso-position-vertical-relative:page">
              <v:fill o:detectmouseclick="t" type="solid" color2="#23e2c4"/>
              <v:stroke color="#3465a4" joinstyle="round" endcap="flat"/>
              <w10:wrap type="none"/>
            </v:rect>
          </w:pict>
        </mc:Fallback>
      </mc:AlternateContent>
    </w:r>
    <w:r>
      <w:rPr/>
      <w:drawing>
        <wp:inline distT="0" distB="0" distL="0" distR="0">
          <wp:extent cx="1657350" cy="401320"/>
          <wp:effectExtent l="0" t="0" r="0" b="0"/>
          <wp:docPr id="2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401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/>
      </w:rPr>
      <w:tab/>
    </w:r>
    <w:r>
      <w:rPr/>
      <w:drawing>
        <wp:inline distT="0" distB="0" distL="0" distR="0">
          <wp:extent cx="998220" cy="409575"/>
          <wp:effectExtent l="0" t="0" r="0" b="0"/>
          <wp:docPr id="3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98220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position w:val="3"/>
        <w:lang w:val="es-ES"/>
      </w:rPr>
      <w:tab/>
    </w:r>
    <w:r>
      <w:rPr/>
      <w:drawing>
        <wp:inline distT="0" distB="0" distL="0" distR="0">
          <wp:extent cx="335915" cy="314325"/>
          <wp:effectExtent l="0" t="0" r="0" b="0"/>
          <wp:docPr id="4" name="image4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.png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335915" cy="314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pacing w:val="78"/>
        <w:position w:val="10"/>
        <w:lang w:val="es-ES"/>
      </w:rPr>
      <w:t xml:space="preserve"> </w:t>
    </w:r>
    <w:r>
      <w:rPr/>
      <w:drawing>
        <wp:inline distT="0" distB="0" distL="0" distR="0">
          <wp:extent cx="686435" cy="242570"/>
          <wp:effectExtent l="0" t="0" r="0" b="0"/>
          <wp:docPr id="5" name="image5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5.png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686435" cy="242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s-ES" w:eastAsia="en-US" w:bidi="ar-SA"/>
    </w:rPr>
  </w:style>
  <w:style w:type="paragraph" w:styleId="Ttulo2">
    <w:name w:val="Heading 2"/>
    <w:basedOn w:val="Ttulo"/>
    <w:next w:val="Cuerpodetexto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Destaquemayor">
    <w:name w:val="Destaque mayor"/>
    <w:qFormat/>
    <w:rPr>
      <w:b/>
      <w:bCs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uiPriority w:val="1"/>
    <w:qFormat/>
    <w:pPr>
      <w:ind w:left="119" w:right="0" w:hanging="0"/>
    </w:pPr>
    <w:rPr>
      <w:rFonts w:ascii="Times New Roman" w:hAnsi="Times New Roman" w:eastAsia="Times New Roman" w:cs="Times New Roman"/>
      <w:sz w:val="20"/>
      <w:szCs w:val="20"/>
    </w:rPr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eastAsia="zxx" w:bidi="zxx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>
      <w:suppressLineNumbers/>
      <w:tabs>
        <w:tab w:val="clear" w:pos="720"/>
        <w:tab w:val="center" w:pos="4883" w:leader="none"/>
        <w:tab w:val="right" w:pos="9766" w:leader="none"/>
      </w:tabs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val="es-ES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leliana.es./es/page/subvenciones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Application>LibreOffice/7.3.5.2$Windows_X86_64 LibreOffice_project/184fe81b8c8c30d8b5082578aee2fed2ea847c01</Application>
  <AppVersion>15.0000</AppVersion>
  <Pages>2</Pages>
  <Words>495</Words>
  <Characters>2778</Characters>
  <CharactersWithSpaces>3253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2022-11-10T08:33:05Z</dcterms:created>
  <dc:creator/>
  <dc:description/>
  <dc:language>es-ES</dc:language>
  <cp:lastModifiedBy/>
  <cp:lastPrinted>2024-08-30T12:02:15Z</cp:lastPrinted>
  <dcterms:modified xsi:type="dcterms:W3CDTF">2025-10-20T11:26:31Z</dcterms:modified>
  <cp:revision>16</cp:revision>
  <dc:subject/>
  <dc:title>A4_colores_SSLE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2022-08-05T00:00:00Z</vt:filetime>
  </property>
  <property fmtid="{D5CDD505-2E9C-101B-9397-08002B2CF9AE}" pid="3" name="Creator">
    <vt:lpwstr>Adobe Illustrator 26.3 (Macintosh)</vt:lpwstr>
  </property>
  <property fmtid="{D5CDD505-2E9C-101B-9397-08002B2CF9AE}" pid="4" name="LastSaved">
    <vt:filetime>2022-11-10T00:00:00Z</vt:filetime>
  </property>
</Properties>
</file>