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49D" w:rsidRPr="00C70419" w:rsidRDefault="005460F0" w:rsidP="00C70419">
      <w:pPr>
        <w:jc w:val="right"/>
        <w:rPr>
          <w:b/>
          <w:bCs/>
          <w:lang w:val="es-ES"/>
        </w:rPr>
      </w:pPr>
      <w:r w:rsidRPr="00C70419">
        <w:rPr>
          <w:b/>
          <w:bCs/>
          <w:lang w:val="es-ES"/>
        </w:rPr>
        <w:t>Expedient</w:t>
      </w:r>
      <w:r w:rsidR="00846564">
        <w:rPr>
          <w:b/>
          <w:bCs/>
          <w:lang w:val="es-ES"/>
        </w:rPr>
        <w:t>e</w:t>
      </w:r>
      <w:r w:rsidRPr="00C70419">
        <w:rPr>
          <w:b/>
          <w:bCs/>
          <w:lang w:val="es-ES"/>
        </w:rPr>
        <w:t xml:space="preserve"> núm.:</w:t>
      </w:r>
      <w:r w:rsidRPr="00C70419">
        <w:rPr>
          <w:b/>
          <w:bCs/>
          <w:color w:val="FF0000"/>
          <w:lang w:val="es-ES"/>
        </w:rPr>
        <w:t xml:space="preserve"> </w:t>
      </w:r>
      <w:r w:rsidR="00703651" w:rsidRPr="000338DD">
        <w:rPr>
          <w:b/>
          <w:bCs/>
        </w:rPr>
        <w:t>2477/2023</w:t>
      </w:r>
    </w:p>
    <w:p w:rsidR="005460F0" w:rsidRPr="00C70419" w:rsidRDefault="005460F0" w:rsidP="00C70419">
      <w:pPr>
        <w:jc w:val="both"/>
        <w:rPr>
          <w:b/>
          <w:bCs/>
          <w:lang w:val="es-ES"/>
        </w:rPr>
      </w:pPr>
    </w:p>
    <w:p w:rsidR="005460F0" w:rsidRPr="00C70419" w:rsidRDefault="005460F0" w:rsidP="00C70419">
      <w:pPr>
        <w:jc w:val="both"/>
        <w:rPr>
          <w:b/>
          <w:bCs/>
          <w:lang w:val="es-ES"/>
        </w:rPr>
      </w:pPr>
    </w:p>
    <w:p w:rsidR="00C70419" w:rsidRPr="00C70419" w:rsidRDefault="00C70419" w:rsidP="00C70419">
      <w:pPr>
        <w:spacing w:line="260" w:lineRule="atLeast"/>
        <w:jc w:val="center"/>
        <w:rPr>
          <w:rFonts w:cs="Arial"/>
          <w:szCs w:val="22"/>
          <w:lang w:val="es-ES"/>
        </w:rPr>
      </w:pPr>
      <w:r w:rsidRPr="00C70419">
        <w:rPr>
          <w:rFonts w:cs="Arial"/>
          <w:b/>
          <w:bCs/>
          <w:szCs w:val="22"/>
          <w:lang w:val="es-ES"/>
        </w:rPr>
        <w:t>ANUNCIO DE CONCESIÓN DE SUBVENCIONES EN RÉGIMEN DE CONCURRENCIA COMPETITIVA EN EL MARCO DE LAS BASES REGULADORAS ESPECÍFICAS PARA LA CONCESIÓN DE SUBVENCIONES PARA LIBROS DE TEXTO Y MATERIAL ESCOLAR OBLIGATORIO A PARTIR DEL AÑO 202</w:t>
      </w:r>
      <w:r w:rsidR="00703651">
        <w:rPr>
          <w:rFonts w:cs="Arial"/>
          <w:b/>
          <w:bCs/>
          <w:szCs w:val="22"/>
          <w:lang w:val="es-ES"/>
        </w:rPr>
        <w:t>3</w:t>
      </w:r>
      <w:r w:rsidRPr="00C70419">
        <w:rPr>
          <w:rFonts w:cs="Arial"/>
          <w:b/>
          <w:bCs/>
          <w:szCs w:val="22"/>
          <w:lang w:val="es-ES"/>
        </w:rPr>
        <w:t xml:space="preserve"> DEL AYUNTAMIENTO DE SENTMENAT</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 xml:space="preserve">1.- Indicación de la aprobación de las Bases Reguladoras Específicas y diario oficial </w:t>
      </w:r>
      <w:r w:rsidRPr="00C70419">
        <w:rPr>
          <w:rFonts w:cs="Arial"/>
          <w:b/>
          <w:szCs w:val="22"/>
          <w:u w:val="single"/>
          <w:lang w:val="es-ES"/>
        </w:rPr>
        <w:t>donde se han</w:t>
      </w:r>
      <w:r w:rsidRPr="00C70419">
        <w:rPr>
          <w:rFonts w:cs="Arial"/>
          <w:b/>
          <w:bCs/>
          <w:szCs w:val="22"/>
          <w:u w:val="single"/>
          <w:lang w:val="es-ES"/>
        </w:rPr>
        <w:t xml:space="preserve"> publicado</w:t>
      </w:r>
      <w:r w:rsidRPr="00C70419">
        <w:rPr>
          <w:rFonts w:cs="Arial"/>
          <w:b/>
          <w:bCs/>
          <w:szCs w:val="22"/>
          <w:lang w:val="es-ES"/>
        </w:rPr>
        <w:t xml:space="preserve">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Bases reguladoras específicas para la concesión de subvenciones en régimen de concurrencia competitiva para libros de texto y material escolar obligatorio a partir de 2020, aprobado inicialmente por acuerdo plenario del Ayuntamiento de Sentmenat en sesión ordinaria celebrada el 25 de junio de 2020.</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 xml:space="preserve">2.- Importe total máximo de las subvenciones a conceder y consignación </w:t>
      </w:r>
      <w:r w:rsidRPr="00C70419">
        <w:rPr>
          <w:rFonts w:cs="Arial"/>
          <w:b/>
          <w:szCs w:val="22"/>
          <w:u w:val="single"/>
          <w:lang w:val="es-ES"/>
        </w:rPr>
        <w:t>presupuestaria</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presupuesto máximo que se destinará este año para la concesión de las subvenciones sujetas a esta convocatoria será de 20.000 euros y correrá a cargo de la partida presupuestaria 330 2311 48000 Becas y ayudas sociales del departamento de Acción Social.</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Las subvenciones no podrán concederse por un importe superior al mencionado.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3.- Objeto, condiciones y finalidad de las subvenciones</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1.- El objeto de las subvenciones de este anuncio es financiar la adquisición de libros de texto de Educación Obligatoria y material escolar obligatorio, dentro del curso escolar 2021-2022. Los niños que residen y se inscriben en Sentmenat pueden optar a la concesión de la subvención, y matriculados en cursos de educación infantil (2º nivel), educación primaria y secundaria obligatoria, desde un centro público y/o concertado en Sentmenat, o en cualquier centro público y/o concertado fuera del municipio.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4.- Procedimiento de concesión</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El procedimiento de concesión de las subvenciones sujetas a esta convocatoria será el de concurrencia competitiva.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5.- Requisitos para la solicitud y cómo demostrarlos</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Las personas físicas o jurídicas que tengan que llevar a cabo la actividad que sustenta su subvención podrán ser beneficiarias de estas subvenciones, siempre que no se vean </w:t>
      </w:r>
      <w:r w:rsidRPr="00C70419">
        <w:rPr>
          <w:rFonts w:cs="Arial"/>
          <w:szCs w:val="22"/>
          <w:lang w:val="es-ES"/>
        </w:rPr>
        <w:lastRenderedPageBreak/>
        <w:t>afectadas por ninguna de las prohibiciones contenidas en el arte. 13 de la Ley 38/2003, de 17 de noviembre, de Subvenciones Generales (en lo sucesivo LGS), y cumplen las siguientes condiciones: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A. Estar inscrito en Sentmenat en el momento de presentar la solicitud y tener la residencia efectiva en el municipio el curso para el que se solicita la beca.</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B. Estar matriculado en un centro de enseñanza sostenido con fondos públicos de Sentmenat o fuera del municipio, y para cursar estudios de segundo ciclo en educación infantil, educación primaria, educación secundaria o educación especial. En el caso de los alumnos que </w:t>
      </w:r>
      <w:r>
        <w:rPr>
          <w:rFonts w:cs="Arial"/>
          <w:szCs w:val="22"/>
          <w:lang w:val="es-ES"/>
        </w:rPr>
        <w:t>empiecen la escolarización</w:t>
      </w:r>
      <w:r w:rsidRPr="00C70419">
        <w:rPr>
          <w:rFonts w:cs="Arial"/>
          <w:szCs w:val="22"/>
          <w:lang w:val="es-ES"/>
        </w:rPr>
        <w:t xml:space="preserve"> (P3 y 1º de ESO) las familias deberán indicar el centro admitido como consecuencia del proceso de preinscripción del curso para el que se solicita la beca.</w:t>
      </w:r>
    </w:p>
    <w:p w:rsidR="00C70419" w:rsidRPr="00C70419" w:rsidRDefault="00C70419" w:rsidP="00C70419">
      <w:pPr>
        <w:spacing w:line="260" w:lineRule="atLeast"/>
        <w:jc w:val="both"/>
        <w:rPr>
          <w:rFonts w:cs="Arial"/>
          <w:szCs w:val="22"/>
          <w:lang w:val="es-ES"/>
        </w:rPr>
      </w:pPr>
      <w:r w:rsidRPr="00C70419">
        <w:rPr>
          <w:rFonts w:cs="Arial"/>
          <w:szCs w:val="22"/>
          <w:lang w:val="es-ES"/>
        </w:rPr>
        <w:t>C. Los ingresos familiares no deben superar los umbrales máximos establecidos en el artículo 12 de esta convocatoria.</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 concurrencia de estos requisitos se acreditará en el momento de presentar la solicitud, presentando los documentos indicados en el siguiente artículo.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6.- Documentos que deben acompañar la solicitud</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La siguiente documentación debe adjuntarse a la solicitud de concesión: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Las solicitudes deberán presentarse en el formulario estándar (Anexo 1) que estará a disposición de los solicitantes en la Oficina de Atención Al Ciudadano del Ayuntamiento, en la oficina de Servicios Sociales, o descargándola desde la oficina electrónica del </w:t>
      </w:r>
      <w:hyperlink r:id="rId8" w:history="1">
        <w:r w:rsidRPr="00C70419">
          <w:rPr>
            <w:rFonts w:cs="Arial"/>
            <w:color w:val="0563C1"/>
            <w:szCs w:val="22"/>
            <w:u w:val="single"/>
            <w:lang w:val="es-ES"/>
          </w:rPr>
          <w:t>www.sentmenat.cat</w:t>
        </w:r>
      </w:hyperlink>
      <w:r w:rsidRPr="00C70419">
        <w:rPr>
          <w:rFonts w:cs="Arial"/>
          <w:szCs w:val="22"/>
          <w:lang w:val="es-ES"/>
        </w:rPr>
        <w:t xml:space="preserve">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 documentación que, en general, debe acompañar a todas las solicitudes es la siguiente:</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a) Formulario de solicitud </w:t>
      </w:r>
    </w:p>
    <w:p w:rsidR="00C70419" w:rsidRPr="00C70419" w:rsidRDefault="00C70419" w:rsidP="00C70419">
      <w:pPr>
        <w:spacing w:line="260" w:lineRule="atLeast"/>
        <w:jc w:val="both"/>
        <w:rPr>
          <w:rFonts w:cs="Arial"/>
          <w:szCs w:val="22"/>
          <w:lang w:val="es-ES"/>
        </w:rPr>
      </w:pPr>
      <w:r w:rsidRPr="00C70419">
        <w:rPr>
          <w:rFonts w:cs="Arial"/>
          <w:szCs w:val="22"/>
          <w:lang w:val="es-ES"/>
        </w:rPr>
        <w:t>b) Fotocopia del libro de familia de todas las páginas que contienen los miembros de la unidad familiar.</w:t>
      </w:r>
    </w:p>
    <w:p w:rsidR="00C70419" w:rsidRPr="00C70419" w:rsidRDefault="00C70419" w:rsidP="00C70419">
      <w:pPr>
        <w:spacing w:line="260" w:lineRule="atLeast"/>
        <w:jc w:val="both"/>
        <w:rPr>
          <w:rFonts w:cs="Arial"/>
          <w:szCs w:val="22"/>
          <w:lang w:val="es-ES"/>
        </w:rPr>
      </w:pPr>
      <w:r w:rsidRPr="00C70419">
        <w:rPr>
          <w:rFonts w:cs="Arial"/>
          <w:szCs w:val="22"/>
          <w:lang w:val="es-ES"/>
        </w:rPr>
        <w:t>c) Fotocopia del DNI de todos los miembros de renombre de la unidad familiar.</w:t>
      </w:r>
    </w:p>
    <w:p w:rsidR="00C70419" w:rsidRPr="00C70419" w:rsidRDefault="00C70419" w:rsidP="00C70419">
      <w:pPr>
        <w:spacing w:line="260" w:lineRule="atLeast"/>
        <w:jc w:val="both"/>
        <w:rPr>
          <w:rFonts w:cs="Arial"/>
          <w:szCs w:val="22"/>
          <w:lang w:val="es-ES"/>
        </w:rPr>
      </w:pPr>
      <w:r w:rsidRPr="00C70419">
        <w:rPr>
          <w:rFonts w:cs="Arial"/>
          <w:szCs w:val="22"/>
          <w:lang w:val="es-ES"/>
        </w:rPr>
        <w:t>d) Datos fiscales y de registro: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A. No es necesario facilitar los documentos si los interesados autorizan al Ayuntamiento a consultarlos en el Padrón y en la Agencia Estatal de Administración Tributaria.</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B. En su caso, una declaración responsable de la renta económica del año anterior a la convocatoria en relación con la unidad familiar, únicamente en el caso de que no sea posible obtener los importes de las bases imponibles generales y el ahorro a través de la Agencia Estatal de Administración Tributaria (anexo 2).</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La presentación de la solicitud de concesión de estas subvenciones supondrá la manifestación tácita de consentimiento inequívoco para el tratamiento de datos personales y su publicación en los términos establecidos en estas bases, de </w:t>
      </w:r>
      <w:r w:rsidRPr="00C70419">
        <w:rPr>
          <w:rFonts w:cs="Arial"/>
          <w:szCs w:val="22"/>
          <w:lang w:val="es-ES"/>
        </w:rPr>
        <w:lastRenderedPageBreak/>
        <w:t>conformidad con lo dispuesto en la Ley Orgánica 15/1999, de 13 de diciembre, de protección de datos personales.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 documentación antes mencionada deberá presentarse en cualquiera de las lenguas cooficiales de Cataluña, será debidamente firmada por el solicitante y será copia original o debidamente autenticada.</w:t>
      </w:r>
    </w:p>
    <w:p w:rsidR="00C70419" w:rsidRPr="00C70419" w:rsidRDefault="00C70419" w:rsidP="00C70419">
      <w:pPr>
        <w:spacing w:line="260" w:lineRule="atLeast"/>
        <w:jc w:val="both"/>
        <w:rPr>
          <w:rFonts w:cs="Arial"/>
          <w:szCs w:val="22"/>
          <w:lang w:val="es-ES"/>
        </w:rPr>
      </w:pPr>
      <w:r w:rsidRPr="00C70419">
        <w:rPr>
          <w:rFonts w:cs="Arial"/>
          <w:sz w:val="20"/>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7.- Plazo, forma y lugar de presentación de solicitudes</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El plazo de presentación de solicitudes comenzará </w:t>
      </w:r>
      <w:r w:rsidR="00703651">
        <w:rPr>
          <w:rFonts w:cs="Arial"/>
          <w:szCs w:val="22"/>
          <w:lang w:val="es-ES"/>
        </w:rPr>
        <w:t>los días y lugar que se indique en la convocatoria pública anual.</w:t>
      </w:r>
      <w:bookmarkStart w:id="0" w:name="_GoBack"/>
      <w:bookmarkEnd w:id="0"/>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formulario de solicitud estándar, así como el de todos los documentos requeridos en la base 5, se pueden encontrar en la oficina electrónica del ayuntamiento de Sentmenat</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Las solicitudes en conjunto con la documentación requerida en la Base 5 deberán presentarse al Registro del Ayuntamiento.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También podrán presentarse en cualquiera de las plazas previstas en el artículo 16 de la Ley 39/2015, de 1 de octubre, de Procedimiento Administrativo Común de las Administraciones Públicas.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 presentación de la solicitud de subvención implica el conocimiento y la aceptación de las normas que la rigen.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8.- Rectificación de defectos u omisiones en la documentación</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En el caso de que la documentación presentada sea incorrecta o incompleta, se exigirá al beneficiario, de tal modo que en un plazo de diez días hábiles a partir del día siguiente a la notificación, procederá a su rectificación o a las modificaciones necesarias, indicando que si no lo hace se entenderá como desistido de su solicitud.</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9.- Órganos competentes para la instrucción y propuesta de concesión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órgano competente para la resolución de este expediente lo hará de manera razonada, y deberá pronunciarse no sólo sobre las solicitudes a las que se concede la subvención, sino también sobre las solicitudes que deban desestimarse y las que deban retirarse.</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responsable de evaluar las solicitudes será el técnico del departamento de acción social designado. El órgano encargado de resolver el procedimiento de concesión de las subvenciones será la alcaldía municipal.</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organismo competente para la concesión podrá, discrecionalmente, dejar el concurso sin efecto o no agotar el crédito total previsto.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lastRenderedPageBreak/>
        <w:t>10.- Plazo de resolución y notificación</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Todas las solicitudes presentadas dentro del plazo establecido se examinarán conjuntamente, en un único procedimiento, y se resolverán en un único acto administrativo.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plazo de concesión de las subvenciones será, como máximo, de tres meses a partir de la fecha de cierre del plazo de presentación de solicitudes.</w:t>
      </w:r>
    </w:p>
    <w:p w:rsidR="00C70419" w:rsidRPr="00C70419" w:rsidRDefault="00C70419" w:rsidP="00C70419">
      <w:pPr>
        <w:spacing w:line="260" w:lineRule="atLeast"/>
        <w:jc w:val="both"/>
        <w:rPr>
          <w:rFonts w:cs="Arial"/>
          <w:szCs w:val="22"/>
          <w:lang w:val="es-ES"/>
        </w:rPr>
      </w:pPr>
      <w:r w:rsidRPr="00C70419">
        <w:rPr>
          <w:rFonts w:cs="Arial"/>
          <w:szCs w:val="22"/>
          <w:lang w:val="es-ES"/>
        </w:rPr>
        <w:t>Una vez acordada la concesión de las subvenciones, se notificarán a los interesados en un plazo máximo de 10 días a partir de la fecha de aprobación de la resolución, de conformidad con lo dispuesto en el artículo 40 de la Ley 39/2015, de 1 de octubre, de Procedimiento Administrativo Común de las Administraciones Públicas.</w:t>
      </w:r>
    </w:p>
    <w:p w:rsidR="00C70419" w:rsidRPr="00C70419" w:rsidRDefault="00C70419" w:rsidP="00C70419">
      <w:pPr>
        <w:spacing w:line="260" w:lineRule="atLeast"/>
        <w:jc w:val="both"/>
        <w:rPr>
          <w:rFonts w:cs="Arial"/>
          <w:szCs w:val="22"/>
          <w:lang w:val="es-ES"/>
        </w:rPr>
      </w:pPr>
      <w:r w:rsidRPr="00C70419">
        <w:rPr>
          <w:rFonts w:cs="Arial"/>
          <w:szCs w:val="22"/>
          <w:lang w:val="es-ES"/>
        </w:rPr>
        <w:t>La falta de resolución en el plazo especificado tendrá efectos despectivos.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11.- Régimen de recursos</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La resolución del procedimiento pone fin a la vía administrativa, y en su contra puede interponer recurso contencioso-administrativo en el plazo de dos meses a partir del día siguiente a su notificación.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Alternativamente y de manera potestativa, se puede presentar un recurso de reversión ante el mismo organismo que lo emitió en el plazo de un mes a partir del día siguiente a su notificación.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12.- Criterios objetivos para la concesión de la subvención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En relación con las solicitudes aceptadas, el profesional responsable de la evaluación técnica deberá tener en cuenta los Ingresos de la unidad familiar calculados a partir de la suma de las cajas de la Base Tributaria General y el Ahorro de la Declaración del Impuesto sobre la Renta del año anterior a la convocatoria de subvenciones, divididos por 12, que no deberán superar los umbrales establecidos en estas normas.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tbl>
      <w:tblPr>
        <w:tblW w:w="0" w:type="dxa"/>
        <w:jc w:val="center"/>
        <w:tblCellMar>
          <w:left w:w="0" w:type="dxa"/>
          <w:right w:w="0" w:type="dxa"/>
        </w:tblCellMar>
        <w:tblLook w:val="04A0" w:firstRow="1" w:lastRow="0" w:firstColumn="1" w:lastColumn="0" w:noHBand="0" w:noVBand="1"/>
      </w:tblPr>
      <w:tblGrid>
        <w:gridCol w:w="2765"/>
        <w:gridCol w:w="2273"/>
      </w:tblGrid>
      <w:tr w:rsidR="00C70419" w:rsidRPr="00C70419" w:rsidTr="00C70419">
        <w:trPr>
          <w:trHeight w:val="939"/>
          <w:jc w:val="center"/>
        </w:trPr>
        <w:tc>
          <w:tcPr>
            <w:tcW w:w="27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b/>
                <w:bCs/>
                <w:color w:val="000000"/>
                <w:szCs w:val="22"/>
                <w:lang w:val="es-ES"/>
              </w:rPr>
              <w:t>Miembros de la</w:t>
            </w:r>
          </w:p>
          <w:p w:rsidR="00C70419" w:rsidRPr="00C70419" w:rsidRDefault="00C70419" w:rsidP="00C70419">
            <w:pPr>
              <w:spacing w:line="360" w:lineRule="auto"/>
              <w:jc w:val="both"/>
              <w:rPr>
                <w:rFonts w:cs="Arial"/>
                <w:szCs w:val="22"/>
                <w:lang w:val="es-ES"/>
              </w:rPr>
            </w:pPr>
            <w:r w:rsidRPr="00C70419">
              <w:rPr>
                <w:rFonts w:cs="Arial"/>
                <w:b/>
                <w:bCs/>
                <w:color w:val="000000"/>
                <w:szCs w:val="22"/>
                <w:lang w:val="es-ES"/>
              </w:rPr>
              <w:t>unidad familiar</w:t>
            </w:r>
          </w:p>
        </w:tc>
        <w:tc>
          <w:tcPr>
            <w:tcW w:w="22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b/>
                <w:bCs/>
                <w:color w:val="000000"/>
                <w:szCs w:val="22"/>
                <w:lang w:val="es-ES"/>
              </w:rPr>
              <w:t>Umbral máximo</w:t>
            </w:r>
          </w:p>
          <w:p w:rsidR="00C70419" w:rsidRPr="00C70419" w:rsidRDefault="00C70419" w:rsidP="00C70419">
            <w:pPr>
              <w:spacing w:line="360" w:lineRule="auto"/>
              <w:jc w:val="both"/>
              <w:rPr>
                <w:rFonts w:cs="Arial"/>
                <w:szCs w:val="22"/>
                <w:lang w:val="es-ES"/>
              </w:rPr>
            </w:pPr>
            <w:r w:rsidRPr="00C70419">
              <w:rPr>
                <w:rFonts w:cs="Arial"/>
                <w:b/>
                <w:bCs/>
                <w:color w:val="000000"/>
                <w:szCs w:val="22"/>
                <w:lang w:val="es-ES"/>
              </w:rPr>
              <w:t>€/mensual</w:t>
            </w:r>
          </w:p>
        </w:tc>
      </w:tr>
      <w:tr w:rsidR="00C70419" w:rsidRPr="00C70419" w:rsidTr="00C70419">
        <w:trPr>
          <w:trHeight w:val="463"/>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Un adulto y un menor</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1.109,78€</w:t>
            </w:r>
          </w:p>
        </w:tc>
      </w:tr>
      <w:tr w:rsidR="00C70419" w:rsidRPr="00C70419" w:rsidTr="00C70419">
        <w:trPr>
          <w:trHeight w:val="477"/>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Un adulto y dos menores</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1.365,89€</w:t>
            </w:r>
          </w:p>
        </w:tc>
      </w:tr>
      <w:tr w:rsidR="00C70419" w:rsidRPr="00C70419" w:rsidTr="00C70419">
        <w:trPr>
          <w:trHeight w:val="463"/>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Un adulto y tres menores</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1.621,99€</w:t>
            </w:r>
          </w:p>
        </w:tc>
      </w:tr>
      <w:tr w:rsidR="00C70419" w:rsidRPr="00C70419" w:rsidTr="00C70419">
        <w:trPr>
          <w:trHeight w:val="477"/>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Dos adultos y un menor</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1.536,62€</w:t>
            </w:r>
          </w:p>
        </w:tc>
      </w:tr>
      <w:tr w:rsidR="00C70419" w:rsidRPr="00C70419" w:rsidTr="00C70419">
        <w:trPr>
          <w:trHeight w:val="463"/>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Dos adultos y dos menores</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1.792,73€</w:t>
            </w:r>
          </w:p>
        </w:tc>
      </w:tr>
      <w:tr w:rsidR="00C70419" w:rsidRPr="00C70419" w:rsidTr="00C70419">
        <w:trPr>
          <w:trHeight w:val="477"/>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lastRenderedPageBreak/>
              <w:t>Dos adultos y tres menores</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2.048,83€</w:t>
            </w:r>
          </w:p>
        </w:tc>
      </w:tr>
      <w:tr w:rsidR="00C70419" w:rsidRPr="00C70419" w:rsidTr="00C70419">
        <w:trPr>
          <w:trHeight w:val="463"/>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Tres adultos y un menor</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1.963,46€</w:t>
            </w:r>
          </w:p>
        </w:tc>
      </w:tr>
      <w:tr w:rsidR="00C70419" w:rsidRPr="00C70419" w:rsidTr="00C70419">
        <w:trPr>
          <w:trHeight w:val="477"/>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Tres adultos y dos menores</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2.219,57€</w:t>
            </w:r>
          </w:p>
        </w:tc>
      </w:tr>
      <w:tr w:rsidR="00C70419" w:rsidRPr="00C70419" w:rsidTr="00C70419">
        <w:trPr>
          <w:trHeight w:val="477"/>
          <w:jc w:val="center"/>
        </w:trPr>
        <w:tc>
          <w:tcPr>
            <w:tcW w:w="27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Tres adultos y tres menores</w:t>
            </w:r>
          </w:p>
        </w:tc>
        <w:tc>
          <w:tcPr>
            <w:tcW w:w="22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0419" w:rsidRPr="00C70419" w:rsidRDefault="00C70419" w:rsidP="00C70419">
            <w:pPr>
              <w:spacing w:line="360" w:lineRule="auto"/>
              <w:jc w:val="both"/>
              <w:rPr>
                <w:rFonts w:cs="Arial"/>
                <w:szCs w:val="22"/>
                <w:lang w:val="es-ES"/>
              </w:rPr>
            </w:pPr>
            <w:r w:rsidRPr="00C70419">
              <w:rPr>
                <w:rFonts w:cs="Arial"/>
                <w:color w:val="000000"/>
                <w:szCs w:val="22"/>
                <w:lang w:val="es-ES"/>
              </w:rPr>
              <w:t>2.475,67€</w:t>
            </w:r>
          </w:p>
        </w:tc>
      </w:tr>
    </w:tbl>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lang w:val="es-ES"/>
        </w:rPr>
        <w:t>ANEXO I</w:t>
      </w:r>
    </w:p>
    <w:p w:rsidR="00C70419" w:rsidRPr="00C70419" w:rsidRDefault="00C70419" w:rsidP="00C70419">
      <w:pPr>
        <w:spacing w:line="260" w:lineRule="atLeast"/>
        <w:jc w:val="both"/>
        <w:rPr>
          <w:rFonts w:cs="Arial"/>
          <w:szCs w:val="22"/>
          <w:lang w:val="es-ES"/>
        </w:rPr>
      </w:pPr>
      <w:r w:rsidRPr="00C70419">
        <w:rPr>
          <w:rFonts w:cs="Arial"/>
          <w:szCs w:val="22"/>
          <w:lang w:val="es-ES"/>
        </w:rPr>
        <w:t>* Para la composición de unidades familiares distintas de las detalladas en la tabla anterior, el cálculo se llevará a cabo de acuerdo con los siguientes criterios: el importe base, 853,68 €/mes, 426,84 €/mes para cada miembro mayor de edad y 256,10 € al mes para cada miembro menor.</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Los ingresos familiares a efectos de las subvenciones se obtendrán por la suma de la Base Imponible General y la Base Imponible del ahorro de las rentas del año anterior al año de la convocatoria, de cada miembro de la familia, y el importe obtenido se dividirá en 12. Para llevar a cabo este cálculo, las siguientes personas que viven en la misma dirección se consideran miembros de buena reputación, en la fecha de esta convocatoria:</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el padre y la madre, tutor o persona a cargo de la tutela y custodia, hermanos solteros menores de 25 años, adultos en el caso de personas con discapacidad.</w:t>
      </w:r>
    </w:p>
    <w:p w:rsidR="00C70419" w:rsidRPr="00C70419" w:rsidRDefault="00C70419" w:rsidP="00C70419">
      <w:pPr>
        <w:spacing w:line="260" w:lineRule="atLeast"/>
        <w:jc w:val="both"/>
        <w:rPr>
          <w:rFonts w:cs="Arial"/>
          <w:szCs w:val="22"/>
          <w:lang w:val="es-ES"/>
        </w:rPr>
      </w:pPr>
      <w:r w:rsidRPr="00C70419">
        <w:rPr>
          <w:rFonts w:cs="Arial"/>
          <w:szCs w:val="22"/>
          <w:lang w:val="es-ES"/>
        </w:rPr>
        <w:t>• el nuevo cónyuge o persona unida por relación análoga con el padre, la madre, el tutor o tutor.</w:t>
      </w:r>
    </w:p>
    <w:p w:rsidR="00C70419" w:rsidRPr="00C70419" w:rsidRDefault="00C70419" w:rsidP="00C70419">
      <w:pPr>
        <w:spacing w:line="260" w:lineRule="atLeast"/>
        <w:jc w:val="both"/>
        <w:rPr>
          <w:rFonts w:cs="Arial"/>
          <w:szCs w:val="22"/>
          <w:lang w:val="es-ES"/>
        </w:rPr>
      </w:pPr>
      <w:r w:rsidRPr="00C70419">
        <w:rPr>
          <w:rFonts w:cs="Arial"/>
          <w:szCs w:val="22"/>
          <w:lang w:val="es-ES"/>
        </w:rPr>
        <w:t>• en el caso de que el solicitante constituya una unidad familiar independiente, el cónyuge o persona unida por relación análoga también será considerado un miembro de buena reputación.</w:t>
      </w:r>
    </w:p>
    <w:p w:rsidR="00C70419" w:rsidRPr="00C70419" w:rsidRDefault="00C70419" w:rsidP="00C70419">
      <w:pPr>
        <w:spacing w:line="260" w:lineRule="atLeast"/>
        <w:jc w:val="both"/>
        <w:rPr>
          <w:rFonts w:cs="Arial"/>
          <w:szCs w:val="22"/>
          <w:lang w:val="es-ES"/>
        </w:rPr>
      </w:pPr>
      <w:r w:rsidRPr="00C70419">
        <w:rPr>
          <w:rFonts w:cs="Arial"/>
          <w:szCs w:val="22"/>
          <w:lang w:val="es-ES"/>
        </w:rPr>
        <w:t>• los ascendientes de los padres del solicitante de la beca que viven en la misma dirección.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En caso de que no sea posible obtener los datos de las bases imponibles descritas anteriormente, los solicitantes deberán justificar los ingresos de todos los miembros de renombre mediante una declaración responsable de los ingresos económicos de la unidad familiar (anexo 2).</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En el caso del divorcio o separación de los padres, no se considerará un miembro de buena reputación que no viva con el solicitante de la subvención.</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d) Debido a la naturaleza de las subvenciones y a la especificidad del grupo al que se dirigen, para obtener la condición de beneficiario, no es necesario demostrar el cumplimiento de los requisitos establecidos en el artículo 12.2 de la Ley General de Subvenciones 38/2003, de 17 de noviembre.</w:t>
      </w:r>
    </w:p>
    <w:p w:rsidR="00C70419" w:rsidRPr="00C70419" w:rsidRDefault="00C70419" w:rsidP="00C70419">
      <w:pPr>
        <w:spacing w:line="260" w:lineRule="atLeast"/>
        <w:jc w:val="both"/>
        <w:rPr>
          <w:rFonts w:cs="Arial"/>
          <w:szCs w:val="22"/>
          <w:lang w:val="es-ES"/>
        </w:rPr>
      </w:pPr>
      <w:r w:rsidRPr="00C70419">
        <w:rPr>
          <w:rFonts w:cs="Arial"/>
          <w:szCs w:val="22"/>
          <w:lang w:val="es-ES"/>
        </w:rPr>
        <w:lastRenderedPageBreak/>
        <w:t> </w:t>
      </w:r>
    </w:p>
    <w:p w:rsidR="00C70419" w:rsidRPr="00C70419" w:rsidRDefault="00C70419" w:rsidP="00C70419">
      <w:pPr>
        <w:spacing w:line="260" w:lineRule="atLeast"/>
        <w:jc w:val="both"/>
        <w:rPr>
          <w:rFonts w:cs="Arial"/>
          <w:szCs w:val="22"/>
          <w:lang w:val="es-ES"/>
        </w:rPr>
      </w:pPr>
      <w:r w:rsidRPr="00C70419">
        <w:rPr>
          <w:rFonts w:cs="Arial"/>
          <w:szCs w:val="22"/>
          <w:lang w:val="es-ES"/>
        </w:rPr>
        <w:t>f) Los padres, tutores legales o personas temporal o definitivamente responsables de la tutela de los tutores de los beneficiarios pueden solicitar subvenciones para libros de texto y útiles escolares.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g) La concurrencia de estos requisitos se acreditará en el momento de presentar la solicitud, presentando los documentos indicados en el siguiente artículo.</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13.- Importe total máximo de las subvenciones a conceder y envío presupuestario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crédito presupuestario disponible se distribuirá entre las solicitudes aceptadas. El importe máximo individual de la beca que se puede obtener para cada beneficiario es de 100 €, y será la misma cantidad económica para todos los solicitantes. En ningún caso el importe de la subvención concedida podrá ser superior al coste total del coste de los libros de texto y útiles escolares del centro matriculado.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14.- Importe individualizado de las subvenciones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El importe máximo propuesto para cada subvención individual es de 100 € por niño.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Si el número de solicitudes admitidas es muy elevado, teniendo en cuenta que el presupuesto total previsto puede ser inferior a 100 €, ya que se distribuirá por igual entre todas las solicitudes, por lo tanto, el importe de las becas puede estar entre 80 y 100 euros.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15.- Medios de notificación o publicación</w:t>
      </w:r>
    </w:p>
    <w:p w:rsidR="00C70419" w:rsidRPr="00C70419" w:rsidRDefault="00C70419" w:rsidP="00C70419">
      <w:pPr>
        <w:spacing w:line="260" w:lineRule="atLeast"/>
        <w:jc w:val="both"/>
        <w:rPr>
          <w:rFonts w:cs="Arial"/>
          <w:szCs w:val="22"/>
          <w:lang w:val="es-ES"/>
        </w:rPr>
      </w:pPr>
      <w:r w:rsidRPr="00C70419">
        <w:rPr>
          <w:rFonts w:cs="Arial"/>
          <w:b/>
          <w:bCs/>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Se darán a conocer las subvenciones concedidas en estos términos y condiciones, indicando la convocatoria, la solicitud presupuestaria, el beneficiario, el importe concedido, la finalidad de la subvención, los diferentes proyectos o programas subvencionados y los participantes en cada proyecto o programa subvencionado, tal y como se publican en el Sistema Nacional de Publicidad de Subvenciones, a través de su envío a la Base nacional de subvenciones.</w:t>
      </w:r>
    </w:p>
    <w:p w:rsidR="00C70419" w:rsidRPr="00C70419" w:rsidRDefault="00C70419" w:rsidP="00C70419">
      <w:pPr>
        <w:spacing w:line="260" w:lineRule="atLeast"/>
        <w:jc w:val="both"/>
        <w:rPr>
          <w:rFonts w:cs="Arial"/>
          <w:szCs w:val="22"/>
          <w:lang w:val="es-ES"/>
        </w:rPr>
      </w:pPr>
    </w:p>
    <w:p w:rsidR="00C70419" w:rsidRPr="00C70419" w:rsidRDefault="00C70419" w:rsidP="00C70419">
      <w:pPr>
        <w:spacing w:line="260" w:lineRule="atLeast"/>
        <w:jc w:val="both"/>
        <w:rPr>
          <w:rFonts w:cs="Arial"/>
          <w:szCs w:val="22"/>
          <w:lang w:val="es-ES"/>
        </w:rPr>
      </w:pPr>
      <w:r w:rsidRPr="00C70419">
        <w:rPr>
          <w:rFonts w:cs="Arial"/>
          <w:szCs w:val="22"/>
          <w:lang w:val="es-ES"/>
        </w:rPr>
        <w:t>Los beneficiarios deberán manifestar la colaboración del Ayuntamiento en la ejecución del proyecto o de la actividad, en toda la documentación impresa y en carteles o medios electrónicos y audiovisuales.</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b/>
          <w:bCs/>
          <w:szCs w:val="22"/>
          <w:u w:val="single"/>
          <w:lang w:val="es-ES"/>
        </w:rPr>
        <w:t>16.- Régimen jurídico supletorio</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both"/>
        <w:rPr>
          <w:rFonts w:cs="Arial"/>
          <w:szCs w:val="22"/>
          <w:lang w:val="es-ES"/>
        </w:rPr>
      </w:pPr>
      <w:r w:rsidRPr="00C70419">
        <w:rPr>
          <w:rFonts w:cs="Arial"/>
          <w:szCs w:val="22"/>
          <w:lang w:val="es-ES"/>
        </w:rPr>
        <w:t xml:space="preserve">En todos aquellos que no prever expresamente estos términos y condiciones, Ley 38/2003, de 17 de noviembre, Las Subvenciones Generales, Real Decreto 887/2006, son aplicables, a partir del 21 de julio, por el que se aprueba su Reglamento de Ejecución, la Ordenanza General de Subvenciones del Ayuntamiento, las Bases de Ejecución de los Presupuestos Generales para este año, la Ley 39/2015, de 1 de octubre, de Procedimiento Administrativo Común de las Administraciones Públicas, la </w:t>
      </w:r>
      <w:r w:rsidRPr="00C70419">
        <w:rPr>
          <w:rFonts w:cs="Arial"/>
          <w:szCs w:val="22"/>
          <w:lang w:val="es-ES"/>
        </w:rPr>
        <w:lastRenderedPageBreak/>
        <w:t>Ley 40/2015, de 1 de octubre, de Régimen Jurídico del Sector Público, y otra ley de estabilidad.</w:t>
      </w:r>
    </w:p>
    <w:p w:rsidR="00C70419" w:rsidRPr="00C70419" w:rsidRDefault="00C70419" w:rsidP="00C70419">
      <w:pPr>
        <w:spacing w:line="260" w:lineRule="atLeast"/>
        <w:jc w:val="both"/>
        <w:rPr>
          <w:rFonts w:cs="Arial"/>
          <w:szCs w:val="22"/>
          <w:lang w:val="es-ES"/>
        </w:rPr>
      </w:pPr>
      <w:r w:rsidRPr="00C70419">
        <w:rPr>
          <w:rFonts w:cs="Arial"/>
          <w:szCs w:val="22"/>
          <w:lang w:val="es-ES"/>
        </w:rPr>
        <w:t> </w:t>
      </w:r>
    </w:p>
    <w:p w:rsidR="00C70419" w:rsidRPr="00C70419" w:rsidRDefault="00C70419" w:rsidP="00C70419">
      <w:pPr>
        <w:spacing w:line="260" w:lineRule="atLeast"/>
        <w:jc w:val="center"/>
        <w:rPr>
          <w:rFonts w:cs="Arial"/>
          <w:szCs w:val="22"/>
          <w:lang w:val="es-ES"/>
        </w:rPr>
      </w:pPr>
      <w:r w:rsidRPr="00C70419">
        <w:rPr>
          <w:rFonts w:cs="Arial"/>
          <w:szCs w:val="22"/>
          <w:lang w:val="es-ES"/>
        </w:rPr>
        <w:t>Documento firmado electrónicamente.</w:t>
      </w:r>
    </w:p>
    <w:p w:rsidR="005460F0" w:rsidRPr="00C70419" w:rsidRDefault="005460F0" w:rsidP="00C70419">
      <w:pPr>
        <w:jc w:val="both"/>
        <w:rPr>
          <w:lang w:val="es-ES"/>
        </w:rPr>
      </w:pPr>
    </w:p>
    <w:sectPr w:rsidR="005460F0" w:rsidRPr="00C70419" w:rsidSect="00291433">
      <w:headerReference w:type="default" r:id="rId9"/>
      <w:footerReference w:type="default" r:id="rId10"/>
      <w:headerReference w:type="first" r:id="rId11"/>
      <w:type w:val="continuous"/>
      <w:pgSz w:w="11907" w:h="16840" w:code="9"/>
      <w:pgMar w:top="2552" w:right="1701" w:bottom="1985" w:left="1701"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AE6" w:rsidRDefault="00F94AE6">
      <w:r>
        <w:separator/>
      </w:r>
    </w:p>
  </w:endnote>
  <w:endnote w:type="continuationSeparator" w:id="0">
    <w:p w:rsidR="00F94AE6" w:rsidRDefault="00F94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Fixed">
    <w:altName w:val="Courier New"/>
    <w:charset w:val="00"/>
    <w:family w:val="modern"/>
    <w:pitch w:val="fixed"/>
    <w:sig w:usb0="00000000"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9D" w:rsidRDefault="009435A9">
    <w:pPr>
      <w:pStyle w:val="Piedepgina"/>
      <w:jc w:val="center"/>
    </w:pPr>
    <w:r>
      <w:rPr>
        <w:noProof/>
        <w:lang w:val="es-ES"/>
      </w:rPr>
      <w:drawing>
        <wp:inline distT="0" distB="0" distL="0" distR="0">
          <wp:extent cx="5581650" cy="104775"/>
          <wp:effectExtent l="0" t="0" r="0" b="0"/>
          <wp:docPr id="2" name="Imagen 2"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FD349D" w:rsidRDefault="00FD349D">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AE6" w:rsidRDefault="00F94AE6">
      <w:r>
        <w:separator/>
      </w:r>
    </w:p>
  </w:footnote>
  <w:footnote w:type="continuationSeparator" w:id="0">
    <w:p w:rsidR="00F94AE6" w:rsidRDefault="00F94A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9D" w:rsidRDefault="009435A9">
    <w:pPr>
      <w:pStyle w:val="Encabezado"/>
    </w:pPr>
    <w:r>
      <w:rPr>
        <w:noProof/>
        <w:lang w:val="es-ES" w:eastAsia="es-ES"/>
      </w:rPr>
      <w:drawing>
        <wp:inline distT="0" distB="0" distL="0" distR="0">
          <wp:extent cx="2305050" cy="428625"/>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9D" w:rsidRDefault="009435A9">
    <w:pPr>
      <w:pStyle w:val="Encabezado"/>
    </w:pPr>
    <w:r>
      <w:rPr>
        <w:noProof/>
        <w:lang w:val="es-ES" w:eastAsia="es-ES"/>
      </w:rPr>
      <mc:AlternateContent>
        <mc:Choice Requires="wps">
          <w:drawing>
            <wp:anchor distT="0" distB="0" distL="114300" distR="114300" simplePos="0" relativeHeight="251657728"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349D" w:rsidRDefault="009435A9">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3pt;margin-top:-5.85pt;width:223.05pt;height:4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ufhAIAAA8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" o:allowincell="f" stroked="f">
              <v:textbox>
                <w:txbxContent>
                  <w:p w:rsidR="00FD349D" w:rsidRDefault="009435A9">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66CF"/>
    <w:multiLevelType w:val="hybridMultilevel"/>
    <w:tmpl w:val="B8868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8F5F36"/>
    <w:multiLevelType w:val="multilevel"/>
    <w:tmpl w:val="EF7E45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AD41413"/>
    <w:multiLevelType w:val="hybridMultilevel"/>
    <w:tmpl w:val="B3CABBD0"/>
    <w:lvl w:ilvl="0" w:tplc="B276F366">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23B08D66">
      <w:numFmt w:val="bullet"/>
      <w:lvlText w:val="•"/>
      <w:lvlJc w:val="left"/>
      <w:pPr>
        <w:ind w:left="2370" w:hanging="424"/>
      </w:pPr>
      <w:rPr>
        <w:rFonts w:hint="default"/>
        <w:lang w:val="ca-ES" w:eastAsia="ca-ES" w:bidi="ca-ES"/>
      </w:rPr>
    </w:lvl>
    <w:lvl w:ilvl="2" w:tplc="12465752">
      <w:numFmt w:val="bullet"/>
      <w:lvlText w:val="•"/>
      <w:lvlJc w:val="left"/>
      <w:pPr>
        <w:ind w:left="3100" w:hanging="424"/>
      </w:pPr>
      <w:rPr>
        <w:rFonts w:hint="default"/>
        <w:lang w:val="ca-ES" w:eastAsia="ca-ES" w:bidi="ca-ES"/>
      </w:rPr>
    </w:lvl>
    <w:lvl w:ilvl="3" w:tplc="586474C0">
      <w:numFmt w:val="bullet"/>
      <w:lvlText w:val="•"/>
      <w:lvlJc w:val="left"/>
      <w:pPr>
        <w:ind w:left="3830" w:hanging="424"/>
      </w:pPr>
      <w:rPr>
        <w:rFonts w:hint="default"/>
        <w:lang w:val="ca-ES" w:eastAsia="ca-ES" w:bidi="ca-ES"/>
      </w:rPr>
    </w:lvl>
    <w:lvl w:ilvl="4" w:tplc="5BC04DBE">
      <w:numFmt w:val="bullet"/>
      <w:lvlText w:val="•"/>
      <w:lvlJc w:val="left"/>
      <w:pPr>
        <w:ind w:left="4560" w:hanging="424"/>
      </w:pPr>
      <w:rPr>
        <w:rFonts w:hint="default"/>
        <w:lang w:val="ca-ES" w:eastAsia="ca-ES" w:bidi="ca-ES"/>
      </w:rPr>
    </w:lvl>
    <w:lvl w:ilvl="5" w:tplc="D08C329E">
      <w:numFmt w:val="bullet"/>
      <w:lvlText w:val="•"/>
      <w:lvlJc w:val="left"/>
      <w:pPr>
        <w:ind w:left="5290" w:hanging="424"/>
      </w:pPr>
      <w:rPr>
        <w:rFonts w:hint="default"/>
        <w:lang w:val="ca-ES" w:eastAsia="ca-ES" w:bidi="ca-ES"/>
      </w:rPr>
    </w:lvl>
    <w:lvl w:ilvl="6" w:tplc="6448BE2E">
      <w:numFmt w:val="bullet"/>
      <w:lvlText w:val="•"/>
      <w:lvlJc w:val="left"/>
      <w:pPr>
        <w:ind w:left="6020" w:hanging="424"/>
      </w:pPr>
      <w:rPr>
        <w:rFonts w:hint="default"/>
        <w:lang w:val="ca-ES" w:eastAsia="ca-ES" w:bidi="ca-ES"/>
      </w:rPr>
    </w:lvl>
    <w:lvl w:ilvl="7" w:tplc="6D748530">
      <w:numFmt w:val="bullet"/>
      <w:lvlText w:val="•"/>
      <w:lvlJc w:val="left"/>
      <w:pPr>
        <w:ind w:left="6750" w:hanging="424"/>
      </w:pPr>
      <w:rPr>
        <w:rFonts w:hint="default"/>
        <w:lang w:val="ca-ES" w:eastAsia="ca-ES" w:bidi="ca-ES"/>
      </w:rPr>
    </w:lvl>
    <w:lvl w:ilvl="8" w:tplc="E570B894">
      <w:numFmt w:val="bullet"/>
      <w:lvlText w:val="•"/>
      <w:lvlJc w:val="left"/>
      <w:pPr>
        <w:ind w:left="7480" w:hanging="424"/>
      </w:pPr>
      <w:rPr>
        <w:rFonts w:hint="default"/>
        <w:lang w:val="ca-ES" w:eastAsia="ca-ES" w:bidi="ca-ES"/>
      </w:rPr>
    </w:lvl>
  </w:abstractNum>
  <w:abstractNum w:abstractNumId="3" w15:restartNumberingAfterBreak="0">
    <w:nsid w:val="0DD302DE"/>
    <w:multiLevelType w:val="hybridMultilevel"/>
    <w:tmpl w:val="44BE7A72"/>
    <w:lvl w:ilvl="0" w:tplc="FDAEA10A">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86C82E80">
      <w:numFmt w:val="bullet"/>
      <w:lvlText w:val=""/>
      <w:lvlJc w:val="left"/>
      <w:pPr>
        <w:ind w:left="934" w:hanging="361"/>
      </w:pPr>
      <w:rPr>
        <w:rFonts w:ascii="Symbol" w:eastAsia="Symbol" w:hAnsi="Symbol" w:cs="Symbol" w:hint="default"/>
        <w:w w:val="100"/>
        <w:sz w:val="24"/>
        <w:szCs w:val="24"/>
        <w:lang w:val="ca-ES" w:eastAsia="ca-ES" w:bidi="ca-ES"/>
      </w:rPr>
    </w:lvl>
    <w:lvl w:ilvl="2" w:tplc="4236A834">
      <w:numFmt w:val="bullet"/>
      <w:lvlText w:val="•"/>
      <w:lvlJc w:val="left"/>
      <w:pPr>
        <w:ind w:left="1946" w:hanging="361"/>
      </w:pPr>
      <w:rPr>
        <w:rFonts w:hint="default"/>
        <w:lang w:val="ca-ES" w:eastAsia="ca-ES" w:bidi="ca-ES"/>
      </w:rPr>
    </w:lvl>
    <w:lvl w:ilvl="3" w:tplc="74181BF8">
      <w:numFmt w:val="bullet"/>
      <w:lvlText w:val="•"/>
      <w:lvlJc w:val="left"/>
      <w:pPr>
        <w:ind w:left="2953" w:hanging="361"/>
      </w:pPr>
      <w:rPr>
        <w:rFonts w:hint="default"/>
        <w:lang w:val="ca-ES" w:eastAsia="ca-ES" w:bidi="ca-ES"/>
      </w:rPr>
    </w:lvl>
    <w:lvl w:ilvl="4" w:tplc="56E2A10A">
      <w:numFmt w:val="bullet"/>
      <w:lvlText w:val="•"/>
      <w:lvlJc w:val="left"/>
      <w:pPr>
        <w:ind w:left="3960" w:hanging="361"/>
      </w:pPr>
      <w:rPr>
        <w:rFonts w:hint="default"/>
        <w:lang w:val="ca-ES" w:eastAsia="ca-ES" w:bidi="ca-ES"/>
      </w:rPr>
    </w:lvl>
    <w:lvl w:ilvl="5" w:tplc="81FE5802">
      <w:numFmt w:val="bullet"/>
      <w:lvlText w:val="•"/>
      <w:lvlJc w:val="left"/>
      <w:pPr>
        <w:ind w:left="4966" w:hanging="361"/>
      </w:pPr>
      <w:rPr>
        <w:rFonts w:hint="default"/>
        <w:lang w:val="ca-ES" w:eastAsia="ca-ES" w:bidi="ca-ES"/>
      </w:rPr>
    </w:lvl>
    <w:lvl w:ilvl="6" w:tplc="D75EBD9A">
      <w:numFmt w:val="bullet"/>
      <w:lvlText w:val="•"/>
      <w:lvlJc w:val="left"/>
      <w:pPr>
        <w:ind w:left="5973" w:hanging="361"/>
      </w:pPr>
      <w:rPr>
        <w:rFonts w:hint="default"/>
        <w:lang w:val="ca-ES" w:eastAsia="ca-ES" w:bidi="ca-ES"/>
      </w:rPr>
    </w:lvl>
    <w:lvl w:ilvl="7" w:tplc="4034805A">
      <w:numFmt w:val="bullet"/>
      <w:lvlText w:val="•"/>
      <w:lvlJc w:val="left"/>
      <w:pPr>
        <w:ind w:left="6980" w:hanging="361"/>
      </w:pPr>
      <w:rPr>
        <w:rFonts w:hint="default"/>
        <w:lang w:val="ca-ES" w:eastAsia="ca-ES" w:bidi="ca-ES"/>
      </w:rPr>
    </w:lvl>
    <w:lvl w:ilvl="8" w:tplc="6CEE4B36">
      <w:numFmt w:val="bullet"/>
      <w:lvlText w:val="•"/>
      <w:lvlJc w:val="left"/>
      <w:pPr>
        <w:ind w:left="7986" w:hanging="361"/>
      </w:pPr>
      <w:rPr>
        <w:rFonts w:hint="default"/>
        <w:lang w:val="ca-ES" w:eastAsia="ca-ES" w:bidi="ca-ES"/>
      </w:rPr>
    </w:lvl>
  </w:abstractNum>
  <w:abstractNum w:abstractNumId="4" w15:restartNumberingAfterBreak="0">
    <w:nsid w:val="3F224CC5"/>
    <w:multiLevelType w:val="hybridMultilevel"/>
    <w:tmpl w:val="D3F4BDD8"/>
    <w:lvl w:ilvl="0" w:tplc="B4BAC0D0">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65525B46">
      <w:numFmt w:val="bullet"/>
      <w:lvlText w:val=""/>
      <w:lvlJc w:val="left"/>
      <w:pPr>
        <w:ind w:left="941" w:hanging="361"/>
      </w:pPr>
      <w:rPr>
        <w:rFonts w:ascii="Symbol" w:eastAsia="Symbol" w:hAnsi="Symbol" w:cs="Symbol" w:hint="default"/>
        <w:w w:val="100"/>
        <w:sz w:val="24"/>
        <w:szCs w:val="24"/>
        <w:lang w:val="ca-ES" w:eastAsia="ca-ES" w:bidi="ca-ES"/>
      </w:rPr>
    </w:lvl>
    <w:lvl w:ilvl="2" w:tplc="1250DD44">
      <w:numFmt w:val="bullet"/>
      <w:lvlText w:val="•"/>
      <w:lvlJc w:val="left"/>
      <w:pPr>
        <w:ind w:left="1828" w:hanging="361"/>
      </w:pPr>
      <w:rPr>
        <w:rFonts w:hint="default"/>
        <w:lang w:val="ca-ES" w:eastAsia="ca-ES" w:bidi="ca-ES"/>
      </w:rPr>
    </w:lvl>
    <w:lvl w:ilvl="3" w:tplc="11BC9C72">
      <w:numFmt w:val="bullet"/>
      <w:lvlText w:val="•"/>
      <w:lvlJc w:val="left"/>
      <w:pPr>
        <w:ind w:left="2717" w:hanging="361"/>
      </w:pPr>
      <w:rPr>
        <w:rFonts w:hint="default"/>
        <w:lang w:val="ca-ES" w:eastAsia="ca-ES" w:bidi="ca-ES"/>
      </w:rPr>
    </w:lvl>
    <w:lvl w:ilvl="4" w:tplc="41CCB432">
      <w:numFmt w:val="bullet"/>
      <w:lvlText w:val="•"/>
      <w:lvlJc w:val="left"/>
      <w:pPr>
        <w:ind w:left="3606" w:hanging="361"/>
      </w:pPr>
      <w:rPr>
        <w:rFonts w:hint="default"/>
        <w:lang w:val="ca-ES" w:eastAsia="ca-ES" w:bidi="ca-ES"/>
      </w:rPr>
    </w:lvl>
    <w:lvl w:ilvl="5" w:tplc="7422BDE8">
      <w:numFmt w:val="bullet"/>
      <w:lvlText w:val="•"/>
      <w:lvlJc w:val="left"/>
      <w:pPr>
        <w:ind w:left="4495" w:hanging="361"/>
      </w:pPr>
      <w:rPr>
        <w:rFonts w:hint="default"/>
        <w:lang w:val="ca-ES" w:eastAsia="ca-ES" w:bidi="ca-ES"/>
      </w:rPr>
    </w:lvl>
    <w:lvl w:ilvl="6" w:tplc="E1A2B0D6">
      <w:numFmt w:val="bullet"/>
      <w:lvlText w:val="•"/>
      <w:lvlJc w:val="left"/>
      <w:pPr>
        <w:ind w:left="5384" w:hanging="361"/>
      </w:pPr>
      <w:rPr>
        <w:rFonts w:hint="default"/>
        <w:lang w:val="ca-ES" w:eastAsia="ca-ES" w:bidi="ca-ES"/>
      </w:rPr>
    </w:lvl>
    <w:lvl w:ilvl="7" w:tplc="77BAC050">
      <w:numFmt w:val="bullet"/>
      <w:lvlText w:val="•"/>
      <w:lvlJc w:val="left"/>
      <w:pPr>
        <w:ind w:left="6273" w:hanging="361"/>
      </w:pPr>
      <w:rPr>
        <w:rFonts w:hint="default"/>
        <w:lang w:val="ca-ES" w:eastAsia="ca-ES" w:bidi="ca-ES"/>
      </w:rPr>
    </w:lvl>
    <w:lvl w:ilvl="8" w:tplc="374486D6">
      <w:numFmt w:val="bullet"/>
      <w:lvlText w:val="•"/>
      <w:lvlJc w:val="left"/>
      <w:pPr>
        <w:ind w:left="7162" w:hanging="361"/>
      </w:pPr>
      <w:rPr>
        <w:rFonts w:hint="default"/>
        <w:lang w:val="ca-ES" w:eastAsia="ca-ES" w:bidi="ca-ES"/>
      </w:rPr>
    </w:lvl>
  </w:abstractNum>
  <w:abstractNum w:abstractNumId="5" w15:restartNumberingAfterBreak="0">
    <w:nsid w:val="3F8E7295"/>
    <w:multiLevelType w:val="hybridMultilevel"/>
    <w:tmpl w:val="39D06E02"/>
    <w:lvl w:ilvl="0" w:tplc="E876AC8C">
      <w:start w:val="1"/>
      <w:numFmt w:val="bullet"/>
      <w:lvlText w:val="•"/>
      <w:lvlJc w:val="left"/>
      <w:pPr>
        <w:tabs>
          <w:tab w:val="num" w:pos="720"/>
        </w:tabs>
        <w:ind w:left="720" w:hanging="360"/>
      </w:pPr>
      <w:rPr>
        <w:rFonts w:ascii="Simplified Arabic Fixed" w:hAnsi="Simplified Arabic Fixed" w:hint="default"/>
        <w:color w:val="auto"/>
        <w:sz w:val="24"/>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55B65F0D"/>
    <w:multiLevelType w:val="multilevel"/>
    <w:tmpl w:val="3334DB8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firstLine="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2F9008E"/>
    <w:multiLevelType w:val="hybridMultilevel"/>
    <w:tmpl w:val="0652F558"/>
    <w:lvl w:ilvl="0" w:tplc="BCDE1EF0">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37703470">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1B6A378E">
      <w:numFmt w:val="bullet"/>
      <w:lvlText w:val="•"/>
      <w:lvlJc w:val="left"/>
      <w:pPr>
        <w:ind w:left="2440" w:hanging="174"/>
      </w:pPr>
      <w:rPr>
        <w:rFonts w:hint="default"/>
        <w:lang w:val="ca-ES" w:eastAsia="ca-ES" w:bidi="ca-ES"/>
      </w:rPr>
    </w:lvl>
    <w:lvl w:ilvl="3" w:tplc="D2DA760C">
      <w:numFmt w:val="bullet"/>
      <w:lvlText w:val="•"/>
      <w:lvlJc w:val="left"/>
      <w:pPr>
        <w:ind w:left="3240" w:hanging="174"/>
      </w:pPr>
      <w:rPr>
        <w:rFonts w:hint="default"/>
        <w:lang w:val="ca-ES" w:eastAsia="ca-ES" w:bidi="ca-ES"/>
      </w:rPr>
    </w:lvl>
    <w:lvl w:ilvl="4" w:tplc="4796D92A">
      <w:numFmt w:val="bullet"/>
      <w:lvlText w:val="•"/>
      <w:lvlJc w:val="left"/>
      <w:pPr>
        <w:ind w:left="4040" w:hanging="174"/>
      </w:pPr>
      <w:rPr>
        <w:rFonts w:hint="default"/>
        <w:lang w:val="ca-ES" w:eastAsia="ca-ES" w:bidi="ca-ES"/>
      </w:rPr>
    </w:lvl>
    <w:lvl w:ilvl="5" w:tplc="B5D8B314">
      <w:numFmt w:val="bullet"/>
      <w:lvlText w:val="•"/>
      <w:lvlJc w:val="left"/>
      <w:pPr>
        <w:ind w:left="4840" w:hanging="174"/>
      </w:pPr>
      <w:rPr>
        <w:rFonts w:hint="default"/>
        <w:lang w:val="ca-ES" w:eastAsia="ca-ES" w:bidi="ca-ES"/>
      </w:rPr>
    </w:lvl>
    <w:lvl w:ilvl="6" w:tplc="8AA09860">
      <w:numFmt w:val="bullet"/>
      <w:lvlText w:val="•"/>
      <w:lvlJc w:val="left"/>
      <w:pPr>
        <w:ind w:left="5640" w:hanging="174"/>
      </w:pPr>
      <w:rPr>
        <w:rFonts w:hint="default"/>
        <w:lang w:val="ca-ES" w:eastAsia="ca-ES" w:bidi="ca-ES"/>
      </w:rPr>
    </w:lvl>
    <w:lvl w:ilvl="7" w:tplc="13504CB0">
      <w:numFmt w:val="bullet"/>
      <w:lvlText w:val="•"/>
      <w:lvlJc w:val="left"/>
      <w:pPr>
        <w:ind w:left="6440" w:hanging="174"/>
      </w:pPr>
      <w:rPr>
        <w:rFonts w:hint="default"/>
        <w:lang w:val="ca-ES" w:eastAsia="ca-ES" w:bidi="ca-ES"/>
      </w:rPr>
    </w:lvl>
    <w:lvl w:ilvl="8" w:tplc="7900782E">
      <w:numFmt w:val="bullet"/>
      <w:lvlText w:val="•"/>
      <w:lvlJc w:val="left"/>
      <w:pPr>
        <w:ind w:left="7240" w:hanging="174"/>
      </w:pPr>
      <w:rPr>
        <w:rFonts w:hint="default"/>
        <w:lang w:val="ca-ES" w:eastAsia="ca-ES" w:bidi="ca-ES"/>
      </w:rPr>
    </w:lvl>
  </w:abstractNum>
  <w:abstractNum w:abstractNumId="8" w15:restartNumberingAfterBreak="0">
    <w:nsid w:val="7FD27E82"/>
    <w:multiLevelType w:val="multilevel"/>
    <w:tmpl w:val="CDF012E0"/>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7"/>
  </w:num>
  <w:num w:numId="4">
    <w:abstractNumId w:val="2"/>
  </w:num>
  <w:num w:numId="5">
    <w:abstractNumId w:val="0"/>
  </w:num>
  <w:num w:numId="6">
    <w:abstractNumId w:val="1"/>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D94"/>
    <w:rsid w:val="000055BE"/>
    <w:rsid w:val="0002436F"/>
    <w:rsid w:val="00232E48"/>
    <w:rsid w:val="00261593"/>
    <w:rsid w:val="00291433"/>
    <w:rsid w:val="003D59FB"/>
    <w:rsid w:val="00433D94"/>
    <w:rsid w:val="00450BC8"/>
    <w:rsid w:val="00503A8A"/>
    <w:rsid w:val="0051756A"/>
    <w:rsid w:val="00534FAC"/>
    <w:rsid w:val="005460F0"/>
    <w:rsid w:val="00560206"/>
    <w:rsid w:val="00571486"/>
    <w:rsid w:val="00647D9B"/>
    <w:rsid w:val="006B68DA"/>
    <w:rsid w:val="00703651"/>
    <w:rsid w:val="00846564"/>
    <w:rsid w:val="008E32B2"/>
    <w:rsid w:val="00933C63"/>
    <w:rsid w:val="009435A9"/>
    <w:rsid w:val="009557D9"/>
    <w:rsid w:val="009D2499"/>
    <w:rsid w:val="00A34749"/>
    <w:rsid w:val="00B238F5"/>
    <w:rsid w:val="00C06FE7"/>
    <w:rsid w:val="00C70419"/>
    <w:rsid w:val="00CC1208"/>
    <w:rsid w:val="00D1281F"/>
    <w:rsid w:val="00D639EE"/>
    <w:rsid w:val="00DA1D50"/>
    <w:rsid w:val="00E55994"/>
    <w:rsid w:val="00F94AE6"/>
    <w:rsid w:val="00FD349D"/>
    <w:rsid w:val="00FF76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68D40DB"/>
  <w15:chartTrackingRefBased/>
  <w15:docId w15:val="{5D322FAA-A8D3-42BF-9E6C-7BE46DB4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0F0"/>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semiHidden/>
    <w:unhideWhenUsed/>
    <w:qFormat/>
    <w:rsid w:val="005460F0"/>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table" w:styleId="Tablaconcuadrcula">
    <w:name w:val="Table Grid"/>
    <w:basedOn w:val="Tablanormal"/>
    <w:rsid w:val="00571486"/>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DA1D50"/>
    <w:rPr>
      <w:rFonts w:ascii="Calibri" w:eastAsia="Calibri" w:hAnsi="Calibri"/>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semiHidden/>
    <w:rsid w:val="005460F0"/>
    <w:rPr>
      <w:rFonts w:asciiTheme="majorHAnsi" w:eastAsiaTheme="majorEastAsia" w:hAnsiTheme="majorHAnsi" w:cstheme="majorBidi"/>
      <w:color w:val="1F4D78" w:themeColor="accent1" w:themeShade="7F"/>
      <w:sz w:val="22"/>
      <w:lang w:val="ca-ES"/>
    </w:rPr>
  </w:style>
  <w:style w:type="paragraph" w:styleId="Prrafodelista">
    <w:name w:val="List Paragraph"/>
    <w:basedOn w:val="Normal"/>
    <w:uiPriority w:val="34"/>
    <w:qFormat/>
    <w:rsid w:val="00503A8A"/>
    <w:pPr>
      <w:ind w:left="720"/>
      <w:contextualSpacing/>
    </w:pPr>
  </w:style>
  <w:style w:type="paragraph" w:styleId="Textonotapie">
    <w:name w:val="footnote text"/>
    <w:basedOn w:val="Normal"/>
    <w:link w:val="TextonotapieCar"/>
    <w:rsid w:val="00647D9B"/>
    <w:rPr>
      <w:sz w:val="20"/>
    </w:rPr>
  </w:style>
  <w:style w:type="character" w:customStyle="1" w:styleId="TextonotapieCar">
    <w:name w:val="Texto nota pie Car"/>
    <w:basedOn w:val="Fuentedeprrafopredeter"/>
    <w:link w:val="Textonotapie"/>
    <w:rsid w:val="00647D9B"/>
    <w:rPr>
      <w:rFonts w:ascii="Arial" w:hAnsi="Arial"/>
      <w:lang w:val="ca-ES"/>
    </w:rPr>
  </w:style>
  <w:style w:type="character" w:styleId="Refdenotaalpie">
    <w:name w:val="footnote reference"/>
    <w:basedOn w:val="Fuentedeprrafopredeter"/>
    <w:rsid w:val="00647D9B"/>
    <w:rPr>
      <w:vertAlign w:val="superscript"/>
    </w:rPr>
  </w:style>
  <w:style w:type="character" w:customStyle="1" w:styleId="PiedepginaCar">
    <w:name w:val="Pie de página Car"/>
    <w:basedOn w:val="Fuentedeprrafopredeter"/>
    <w:link w:val="Piedepgina"/>
    <w:uiPriority w:val="99"/>
    <w:rsid w:val="00291433"/>
    <w:rPr>
      <w:rFonts w:ascii="Arial" w:hAnsi="Arial"/>
      <w:sz w:val="22"/>
      <w:lang w:val="ca-ES"/>
    </w:rPr>
  </w:style>
  <w:style w:type="character" w:styleId="Hipervnculo">
    <w:name w:val="Hyperlink"/>
    <w:basedOn w:val="Fuentedeprrafopredeter"/>
    <w:rsid w:val="009D24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45078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ntmena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60CE2-E13F-43E0-B559-ADBA646F1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2114</Words>
  <Characters>11433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Sandra Núñez Rifà</cp:lastModifiedBy>
  <cp:revision>2</cp:revision>
  <cp:lastPrinted>2019-04-30T07:13:00Z</cp:lastPrinted>
  <dcterms:created xsi:type="dcterms:W3CDTF">2023-07-11T10:32:00Z</dcterms:created>
  <dcterms:modified xsi:type="dcterms:W3CDTF">2023-07-11T10:32:00Z</dcterms:modified>
</cp:coreProperties>
</file>