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071" w:rsidRDefault="00CB0071" w:rsidP="00CB0071">
      <w:pPr>
        <w:jc w:val="both"/>
      </w:pPr>
      <w:r>
        <w:t>Expediente núm.: 254/2025</w:t>
      </w:r>
    </w:p>
    <w:p w:rsidR="00CB0071" w:rsidRDefault="00CB0071" w:rsidP="00CB0071">
      <w:pPr>
        <w:jc w:val="both"/>
      </w:pPr>
      <w:r>
        <w:t>Propuesta de resolución</w:t>
      </w:r>
    </w:p>
    <w:p w:rsidR="00CB0071" w:rsidRDefault="00CB0071" w:rsidP="00CB0071">
      <w:pPr>
        <w:jc w:val="both"/>
      </w:pPr>
      <w:r>
        <w:t xml:space="preserve">Procedimiento: Asignaciones grupos políticos municipales para los meses de </w:t>
      </w:r>
      <w:proofErr w:type="gramStart"/>
      <w:r>
        <w:t>Diciembre</w:t>
      </w:r>
      <w:proofErr w:type="gramEnd"/>
      <w:r>
        <w:t xml:space="preserve"> de 2024 y primer trimestre de 2025</w:t>
      </w:r>
    </w:p>
    <w:p w:rsidR="00CB0071" w:rsidRDefault="00CB0071" w:rsidP="00CB0071">
      <w:pPr>
        <w:jc w:val="both"/>
      </w:pPr>
    </w:p>
    <w:p w:rsidR="00CB0071" w:rsidRDefault="00CB0071" w:rsidP="00CB0071">
      <w:pPr>
        <w:ind w:left="708" w:firstLine="708"/>
        <w:jc w:val="both"/>
      </w:pPr>
      <w:r>
        <w:t>PROPUESTA DE LA CONCEJALÍA DE HACIENDA</w:t>
      </w:r>
    </w:p>
    <w:p w:rsidR="00CB0071" w:rsidRDefault="00CB0071" w:rsidP="00CB0071">
      <w:pPr>
        <w:jc w:val="both"/>
      </w:pPr>
    </w:p>
    <w:p w:rsidR="00CB0071" w:rsidRDefault="00CB0071" w:rsidP="00CB0071">
      <w:pPr>
        <w:jc w:val="both"/>
      </w:pPr>
      <w:r>
        <w:t>En relación con el expediente 937/2025 relativo a la aprobación de los gastos correspondientes a las asignaciones de los grupos municipales de los meses de diciembre de 2024 y primer trimestre de 2025.</w:t>
      </w:r>
    </w:p>
    <w:p w:rsidR="00CB0071" w:rsidRDefault="00CB0071" w:rsidP="00CB0071">
      <w:pPr>
        <w:jc w:val="both"/>
      </w:pPr>
      <w:r>
        <w:t>De conformidad con el acuerdo Plenario adoptado en sesión extraordinaria de 12 de julio de 2023, por el que se fijan las asignaciones a los grupos municipales, correspondiendo 250,00 euros por grupo y 90,00 euros por cada concejal del grupo.</w:t>
      </w:r>
    </w:p>
    <w:p w:rsidR="00CB0071" w:rsidRDefault="00CB0071" w:rsidP="00CB0071">
      <w:pPr>
        <w:jc w:val="both"/>
      </w:pPr>
      <w:r>
        <w:t>Por todo lo expuesto,</w:t>
      </w:r>
    </w:p>
    <w:p w:rsidR="00CB0071" w:rsidRDefault="00CB0071" w:rsidP="00CB0071">
      <w:pPr>
        <w:ind w:left="3540" w:firstLine="708"/>
        <w:jc w:val="both"/>
      </w:pPr>
      <w:r>
        <w:t>PROPONGO</w:t>
      </w:r>
    </w:p>
    <w:p w:rsidR="00CB0071" w:rsidRDefault="00CB0071" w:rsidP="00CB0071">
      <w:pPr>
        <w:jc w:val="both"/>
      </w:pPr>
      <w:bookmarkStart w:id="0" w:name="_GoBack"/>
      <w:bookmarkEnd w:id="0"/>
      <w:r>
        <w:t xml:space="preserve">Primero. Proceder a la autorización y disposición de al gasto, así como al reconocimiento de la obligación de los gastos correspondientes a las asignaciones de los grupos municipales de los meses de diciembre de 2024 y primer trimestre de 2025, con cargo a la partida 100-9120-48000 TRANSFERENCIAS A GRUPOS MUNICIPALES, por un importe total de </w:t>
      </w:r>
      <w:r>
        <w:t>10.6</w:t>
      </w:r>
      <w:r>
        <w:t>8</w:t>
      </w:r>
      <w:r>
        <w:t>0,00 euros, con el siguiente detalle:</w:t>
      </w: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78"/>
        <w:gridCol w:w="1242"/>
        <w:gridCol w:w="1163"/>
        <w:gridCol w:w="1275"/>
        <w:gridCol w:w="964"/>
      </w:tblGrid>
      <w:tr w:rsidR="00CB0071" w:rsidRPr="00C4296E" w:rsidTr="00CB0071">
        <w:tc>
          <w:tcPr>
            <w:tcW w:w="3578" w:type="dxa"/>
            <w:shd w:val="clear" w:color="auto" w:fill="auto"/>
          </w:tcPr>
          <w:p w:rsidR="00CB0071" w:rsidRPr="00C4296E" w:rsidRDefault="00CB0071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Grup</w:t>
            </w:r>
            <w:r>
              <w:rPr>
                <w:sz w:val="18"/>
                <w:szCs w:val="18"/>
                <w:lang w:val="ca-ES"/>
              </w:rPr>
              <w:t>o</w:t>
            </w:r>
            <w:r w:rsidRPr="00C4296E">
              <w:rPr>
                <w:sz w:val="18"/>
                <w:szCs w:val="18"/>
                <w:lang w:val="ca-ES"/>
              </w:rPr>
              <w:t xml:space="preserve"> Municipal</w:t>
            </w:r>
          </w:p>
        </w:tc>
        <w:tc>
          <w:tcPr>
            <w:tcW w:w="1242" w:type="dxa"/>
            <w:shd w:val="clear" w:color="auto" w:fill="auto"/>
          </w:tcPr>
          <w:p w:rsidR="00CB0071" w:rsidRPr="00C4296E" w:rsidRDefault="00CB0071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CIF</w:t>
            </w:r>
          </w:p>
        </w:tc>
        <w:tc>
          <w:tcPr>
            <w:tcW w:w="1163" w:type="dxa"/>
            <w:shd w:val="clear" w:color="auto" w:fill="auto"/>
          </w:tcPr>
          <w:p w:rsidR="00CB0071" w:rsidRPr="00C4296E" w:rsidRDefault="00CB0071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proofErr w:type="spellStart"/>
            <w:r>
              <w:rPr>
                <w:sz w:val="18"/>
                <w:szCs w:val="18"/>
                <w:lang w:val="ca-ES"/>
              </w:rPr>
              <w:t>Nov</w:t>
            </w:r>
            <w:r>
              <w:rPr>
                <w:sz w:val="18"/>
                <w:szCs w:val="18"/>
                <w:lang w:val="ca-ES"/>
              </w:rPr>
              <w:t>i</w:t>
            </w:r>
            <w:r>
              <w:rPr>
                <w:sz w:val="18"/>
                <w:szCs w:val="18"/>
                <w:lang w:val="ca-ES"/>
              </w:rPr>
              <w:t>embre</w:t>
            </w:r>
            <w:proofErr w:type="spellEnd"/>
            <w:r>
              <w:rPr>
                <w:sz w:val="18"/>
                <w:szCs w:val="18"/>
                <w:lang w:val="ca-ES"/>
              </w:rPr>
              <w:t xml:space="preserve"> 2024</w:t>
            </w:r>
          </w:p>
        </w:tc>
        <w:tc>
          <w:tcPr>
            <w:tcW w:w="1275" w:type="dxa"/>
            <w:shd w:val="clear" w:color="auto" w:fill="auto"/>
          </w:tcPr>
          <w:p w:rsidR="00CB0071" w:rsidRPr="00C4296E" w:rsidRDefault="00CB0071" w:rsidP="00CB0071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proofErr w:type="spellStart"/>
            <w:r>
              <w:rPr>
                <w:sz w:val="18"/>
                <w:szCs w:val="18"/>
                <w:lang w:val="ca-ES"/>
              </w:rPr>
              <w:t>Enero</w:t>
            </w:r>
            <w:r>
              <w:rPr>
                <w:sz w:val="18"/>
                <w:szCs w:val="18"/>
                <w:lang w:val="ca-ES"/>
              </w:rPr>
              <w:t>-Mar</w:t>
            </w:r>
            <w:r>
              <w:rPr>
                <w:sz w:val="18"/>
                <w:szCs w:val="18"/>
                <w:lang w:val="ca-ES"/>
              </w:rPr>
              <w:t>zo</w:t>
            </w:r>
            <w:proofErr w:type="spellEnd"/>
            <w:r>
              <w:rPr>
                <w:sz w:val="18"/>
                <w:szCs w:val="18"/>
                <w:lang w:val="ca-ES"/>
              </w:rPr>
              <w:t xml:space="preserve"> 2025</w:t>
            </w:r>
          </w:p>
        </w:tc>
        <w:tc>
          <w:tcPr>
            <w:tcW w:w="964" w:type="dxa"/>
            <w:shd w:val="clear" w:color="auto" w:fill="auto"/>
          </w:tcPr>
          <w:p w:rsidR="00CB0071" w:rsidRPr="00C4296E" w:rsidRDefault="00CB0071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Total</w:t>
            </w:r>
          </w:p>
        </w:tc>
      </w:tr>
      <w:tr w:rsidR="00CB0071" w:rsidRPr="00C4296E" w:rsidTr="00CB0071">
        <w:tc>
          <w:tcPr>
            <w:tcW w:w="3578" w:type="dxa"/>
            <w:shd w:val="clear" w:color="auto" w:fill="auto"/>
          </w:tcPr>
          <w:p w:rsidR="00CB0071" w:rsidRPr="00C4296E" w:rsidRDefault="00CB0071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Grup Municipal ACSENT-E</w:t>
            </w:r>
          </w:p>
        </w:tc>
        <w:tc>
          <w:tcPr>
            <w:tcW w:w="1242" w:type="dxa"/>
            <w:shd w:val="clear" w:color="auto" w:fill="auto"/>
          </w:tcPr>
          <w:p w:rsidR="00CB0071" w:rsidRPr="00C4296E" w:rsidRDefault="00CB0071" w:rsidP="00A33FB0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V-66669987</w:t>
            </w:r>
          </w:p>
        </w:tc>
        <w:tc>
          <w:tcPr>
            <w:tcW w:w="1163" w:type="dxa"/>
            <w:shd w:val="clear" w:color="auto" w:fill="auto"/>
          </w:tcPr>
          <w:p w:rsidR="00CB0071" w:rsidRPr="00C4296E" w:rsidRDefault="00CB0071" w:rsidP="00A33FB0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1275" w:type="dxa"/>
            <w:shd w:val="clear" w:color="auto" w:fill="auto"/>
          </w:tcPr>
          <w:p w:rsidR="00CB0071" w:rsidRPr="00C4296E" w:rsidRDefault="00CB0071" w:rsidP="00A33FB0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1.290,00</w:t>
            </w:r>
          </w:p>
        </w:tc>
        <w:tc>
          <w:tcPr>
            <w:tcW w:w="964" w:type="dxa"/>
            <w:shd w:val="clear" w:color="auto" w:fill="auto"/>
          </w:tcPr>
          <w:p w:rsidR="00CB0071" w:rsidRPr="00C4296E" w:rsidRDefault="00CB0071" w:rsidP="00A33FB0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1.720,00</w:t>
            </w:r>
          </w:p>
        </w:tc>
      </w:tr>
      <w:tr w:rsidR="00CB0071" w:rsidRPr="00C4296E" w:rsidTr="00CB0071">
        <w:tc>
          <w:tcPr>
            <w:tcW w:w="3578" w:type="dxa"/>
            <w:shd w:val="clear" w:color="auto" w:fill="auto"/>
          </w:tcPr>
          <w:p w:rsidR="00CB0071" w:rsidRPr="00C4296E" w:rsidRDefault="00CB0071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Grup Municipal PSC-CP de Sentmenat</w:t>
            </w:r>
          </w:p>
        </w:tc>
        <w:tc>
          <w:tcPr>
            <w:tcW w:w="1242" w:type="dxa"/>
            <w:shd w:val="clear" w:color="auto" w:fill="auto"/>
          </w:tcPr>
          <w:p w:rsidR="00CB0071" w:rsidRPr="00C4296E" w:rsidRDefault="00CB0071" w:rsidP="00A33FB0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V-66694134</w:t>
            </w:r>
          </w:p>
        </w:tc>
        <w:tc>
          <w:tcPr>
            <w:tcW w:w="1163" w:type="dxa"/>
            <w:shd w:val="clear" w:color="auto" w:fill="auto"/>
          </w:tcPr>
          <w:p w:rsidR="00CB0071" w:rsidRPr="00C4296E" w:rsidRDefault="00CB0071" w:rsidP="00A33FB0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520,00</w:t>
            </w:r>
          </w:p>
        </w:tc>
        <w:tc>
          <w:tcPr>
            <w:tcW w:w="1275" w:type="dxa"/>
            <w:shd w:val="clear" w:color="auto" w:fill="auto"/>
          </w:tcPr>
          <w:p w:rsidR="00CB0071" w:rsidRPr="00C4296E" w:rsidRDefault="00CB0071" w:rsidP="00A33FB0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1.560,00</w:t>
            </w:r>
          </w:p>
        </w:tc>
        <w:tc>
          <w:tcPr>
            <w:tcW w:w="964" w:type="dxa"/>
            <w:shd w:val="clear" w:color="auto" w:fill="auto"/>
          </w:tcPr>
          <w:p w:rsidR="00CB0071" w:rsidRPr="00C4296E" w:rsidRDefault="00CB0071" w:rsidP="00A33FB0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2.080,00</w:t>
            </w:r>
          </w:p>
        </w:tc>
      </w:tr>
      <w:tr w:rsidR="00CB0071" w:rsidRPr="00C4296E" w:rsidTr="00CB0071">
        <w:tc>
          <w:tcPr>
            <w:tcW w:w="3578" w:type="dxa"/>
            <w:shd w:val="clear" w:color="auto" w:fill="auto"/>
          </w:tcPr>
          <w:p w:rsidR="00CB0071" w:rsidRPr="00C4296E" w:rsidRDefault="00CB0071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Junts per Sentmenat</w:t>
            </w:r>
          </w:p>
        </w:tc>
        <w:tc>
          <w:tcPr>
            <w:tcW w:w="1242" w:type="dxa"/>
            <w:shd w:val="clear" w:color="auto" w:fill="auto"/>
          </w:tcPr>
          <w:p w:rsidR="00CB0071" w:rsidRPr="00C4296E" w:rsidRDefault="00CB0071" w:rsidP="00A33FB0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V-64672611</w:t>
            </w:r>
          </w:p>
        </w:tc>
        <w:tc>
          <w:tcPr>
            <w:tcW w:w="1163" w:type="dxa"/>
            <w:shd w:val="clear" w:color="auto" w:fill="auto"/>
          </w:tcPr>
          <w:p w:rsidR="00CB0071" w:rsidRPr="00C4296E" w:rsidRDefault="00CB0071" w:rsidP="00A33FB0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1275" w:type="dxa"/>
            <w:shd w:val="clear" w:color="auto" w:fill="auto"/>
          </w:tcPr>
          <w:p w:rsidR="00CB0071" w:rsidRPr="00C4296E" w:rsidRDefault="00CB0071" w:rsidP="00A33FB0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1.290,00</w:t>
            </w:r>
          </w:p>
        </w:tc>
        <w:tc>
          <w:tcPr>
            <w:tcW w:w="964" w:type="dxa"/>
            <w:shd w:val="clear" w:color="auto" w:fill="auto"/>
          </w:tcPr>
          <w:p w:rsidR="00CB0071" w:rsidRPr="00C4296E" w:rsidRDefault="00CB0071" w:rsidP="00A33FB0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1.720,00</w:t>
            </w:r>
          </w:p>
        </w:tc>
      </w:tr>
      <w:tr w:rsidR="00CB0071" w:rsidRPr="00C4296E" w:rsidTr="00CB0071">
        <w:tc>
          <w:tcPr>
            <w:tcW w:w="3578" w:type="dxa"/>
            <w:shd w:val="clear" w:color="auto" w:fill="auto"/>
          </w:tcPr>
          <w:p w:rsidR="00CB0071" w:rsidRPr="00C4296E" w:rsidRDefault="00CB0071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CUP-AMUNT de Sentmenat</w:t>
            </w:r>
          </w:p>
        </w:tc>
        <w:tc>
          <w:tcPr>
            <w:tcW w:w="1242" w:type="dxa"/>
            <w:shd w:val="clear" w:color="auto" w:fill="auto"/>
          </w:tcPr>
          <w:p w:rsidR="00CB0071" w:rsidRPr="00C4296E" w:rsidRDefault="00CB0071" w:rsidP="00A33FB0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V-67480731</w:t>
            </w:r>
          </w:p>
        </w:tc>
        <w:tc>
          <w:tcPr>
            <w:tcW w:w="1163" w:type="dxa"/>
            <w:shd w:val="clear" w:color="auto" w:fill="auto"/>
          </w:tcPr>
          <w:p w:rsidR="00CB0071" w:rsidRPr="00C4296E" w:rsidRDefault="00CB0071" w:rsidP="00A33FB0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1275" w:type="dxa"/>
            <w:shd w:val="clear" w:color="auto" w:fill="auto"/>
          </w:tcPr>
          <w:p w:rsidR="00CB0071" w:rsidRPr="00C4296E" w:rsidRDefault="00CB0071" w:rsidP="00A33FB0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1.290,00</w:t>
            </w:r>
          </w:p>
        </w:tc>
        <w:tc>
          <w:tcPr>
            <w:tcW w:w="964" w:type="dxa"/>
            <w:shd w:val="clear" w:color="auto" w:fill="auto"/>
          </w:tcPr>
          <w:p w:rsidR="00CB0071" w:rsidRPr="00C4296E" w:rsidRDefault="00CB0071" w:rsidP="00A33FB0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1.720,00</w:t>
            </w:r>
          </w:p>
        </w:tc>
      </w:tr>
      <w:tr w:rsidR="00CB0071" w:rsidRPr="00C4296E" w:rsidTr="00CB0071">
        <w:tc>
          <w:tcPr>
            <w:tcW w:w="3578" w:type="dxa"/>
            <w:shd w:val="clear" w:color="auto" w:fill="auto"/>
          </w:tcPr>
          <w:p w:rsidR="00CB0071" w:rsidRPr="00C4296E" w:rsidRDefault="00CB0071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Grup Municipal ERC Sentmenat</w:t>
            </w:r>
          </w:p>
        </w:tc>
        <w:tc>
          <w:tcPr>
            <w:tcW w:w="1242" w:type="dxa"/>
            <w:shd w:val="clear" w:color="auto" w:fill="auto"/>
          </w:tcPr>
          <w:p w:rsidR="00CB0071" w:rsidRPr="00C4296E" w:rsidRDefault="00CB0071" w:rsidP="00A33FB0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V-56595101</w:t>
            </w:r>
          </w:p>
        </w:tc>
        <w:tc>
          <w:tcPr>
            <w:tcW w:w="1163" w:type="dxa"/>
            <w:shd w:val="clear" w:color="auto" w:fill="auto"/>
          </w:tcPr>
          <w:p w:rsidR="00CB0071" w:rsidRPr="00C4296E" w:rsidRDefault="00CB0071" w:rsidP="00A33FB0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1275" w:type="dxa"/>
            <w:shd w:val="clear" w:color="auto" w:fill="auto"/>
          </w:tcPr>
          <w:p w:rsidR="00CB0071" w:rsidRPr="00C4296E" w:rsidRDefault="00CB0071" w:rsidP="00A33FB0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1.290,00</w:t>
            </w:r>
          </w:p>
        </w:tc>
        <w:tc>
          <w:tcPr>
            <w:tcW w:w="964" w:type="dxa"/>
            <w:shd w:val="clear" w:color="auto" w:fill="auto"/>
          </w:tcPr>
          <w:p w:rsidR="00CB0071" w:rsidRPr="00C4296E" w:rsidRDefault="00CB0071" w:rsidP="00A33FB0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1.720,00</w:t>
            </w:r>
          </w:p>
        </w:tc>
      </w:tr>
      <w:tr w:rsidR="00CB0071" w:rsidRPr="00C4296E" w:rsidTr="00CB0071">
        <w:tc>
          <w:tcPr>
            <w:tcW w:w="3578" w:type="dxa"/>
            <w:shd w:val="clear" w:color="auto" w:fill="auto"/>
          </w:tcPr>
          <w:p w:rsidR="00CB0071" w:rsidRPr="00C4296E" w:rsidRDefault="00CB0071" w:rsidP="00A33FB0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Grup Municipal VOX de Sentmenat</w:t>
            </w:r>
          </w:p>
        </w:tc>
        <w:tc>
          <w:tcPr>
            <w:tcW w:w="1242" w:type="dxa"/>
            <w:shd w:val="clear" w:color="auto" w:fill="auto"/>
          </w:tcPr>
          <w:p w:rsidR="00CB0071" w:rsidRPr="00C4296E" w:rsidRDefault="00CB0071" w:rsidP="00A33FB0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V-56349137</w:t>
            </w:r>
          </w:p>
        </w:tc>
        <w:tc>
          <w:tcPr>
            <w:tcW w:w="1163" w:type="dxa"/>
            <w:shd w:val="clear" w:color="auto" w:fill="auto"/>
          </w:tcPr>
          <w:p w:rsidR="00CB0071" w:rsidRPr="00C4296E" w:rsidRDefault="00CB0071" w:rsidP="00A33FB0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1275" w:type="dxa"/>
            <w:shd w:val="clear" w:color="auto" w:fill="auto"/>
          </w:tcPr>
          <w:p w:rsidR="00CB0071" w:rsidRPr="00C4296E" w:rsidRDefault="00CB0071" w:rsidP="00A33FB0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1.290,00</w:t>
            </w:r>
          </w:p>
        </w:tc>
        <w:tc>
          <w:tcPr>
            <w:tcW w:w="964" w:type="dxa"/>
            <w:shd w:val="clear" w:color="auto" w:fill="auto"/>
          </w:tcPr>
          <w:p w:rsidR="00CB0071" w:rsidRPr="00C4296E" w:rsidRDefault="00CB0071" w:rsidP="00A33FB0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1.720,00</w:t>
            </w:r>
          </w:p>
        </w:tc>
      </w:tr>
      <w:tr w:rsidR="00CB0071" w:rsidRPr="00C4296E" w:rsidTr="00CB0071">
        <w:tc>
          <w:tcPr>
            <w:tcW w:w="3578" w:type="dxa"/>
            <w:shd w:val="clear" w:color="auto" w:fill="auto"/>
          </w:tcPr>
          <w:p w:rsidR="00CB0071" w:rsidRPr="009D3885" w:rsidRDefault="00CB0071" w:rsidP="00A33FB0">
            <w:pPr>
              <w:pStyle w:val="Textoindependiente"/>
              <w:jc w:val="both"/>
              <w:rPr>
                <w:b/>
                <w:sz w:val="18"/>
                <w:szCs w:val="18"/>
                <w:lang w:val="ca-ES"/>
              </w:rPr>
            </w:pPr>
            <w:r>
              <w:rPr>
                <w:b/>
                <w:sz w:val="18"/>
                <w:szCs w:val="18"/>
                <w:lang w:val="ca-ES"/>
              </w:rPr>
              <w:t>TOTAL</w:t>
            </w:r>
          </w:p>
        </w:tc>
        <w:tc>
          <w:tcPr>
            <w:tcW w:w="3680" w:type="dxa"/>
            <w:gridSpan w:val="3"/>
            <w:shd w:val="clear" w:color="auto" w:fill="auto"/>
          </w:tcPr>
          <w:p w:rsidR="00CB0071" w:rsidRDefault="00CB0071" w:rsidP="00A33FB0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</w:p>
        </w:tc>
        <w:tc>
          <w:tcPr>
            <w:tcW w:w="964" w:type="dxa"/>
            <w:shd w:val="clear" w:color="auto" w:fill="auto"/>
          </w:tcPr>
          <w:p w:rsidR="00CB0071" w:rsidRPr="008700BB" w:rsidRDefault="00CB0071" w:rsidP="00A33FB0">
            <w:pPr>
              <w:pStyle w:val="Textoindependiente"/>
              <w:jc w:val="center"/>
              <w:rPr>
                <w:b/>
                <w:sz w:val="18"/>
                <w:szCs w:val="18"/>
                <w:lang w:val="ca-ES"/>
              </w:rPr>
            </w:pPr>
            <w:r w:rsidRPr="008700BB">
              <w:rPr>
                <w:b/>
                <w:sz w:val="18"/>
                <w:szCs w:val="18"/>
                <w:lang w:val="ca-ES"/>
              </w:rPr>
              <w:t>10.680,00</w:t>
            </w:r>
          </w:p>
        </w:tc>
      </w:tr>
    </w:tbl>
    <w:p w:rsidR="00CB0071" w:rsidRDefault="00CB0071" w:rsidP="00CB0071">
      <w:pPr>
        <w:jc w:val="both"/>
      </w:pPr>
      <w:r>
        <w:t>Segundo. Ordenar el pago de las obligaciones reconocidas en el punto anterior.</w:t>
      </w:r>
    </w:p>
    <w:p w:rsidR="00CB0071" w:rsidRDefault="00CB0071" w:rsidP="00CB0071">
      <w:pPr>
        <w:jc w:val="both"/>
      </w:pPr>
      <w:r>
        <w:t>Tercero. Dar traslado a la Intervención y la Tesorería municipal a los efectos oportunos.</w:t>
      </w:r>
    </w:p>
    <w:p w:rsidR="00CB0071" w:rsidRDefault="00CB0071" w:rsidP="00CB0071">
      <w:pPr>
        <w:jc w:val="both"/>
      </w:pPr>
      <w:r>
        <w:t>Cuarto. Notificar el contenido de la presente resolución a los portavoces de los grupos municipales.</w:t>
      </w:r>
    </w:p>
    <w:p w:rsidR="00CB0071" w:rsidRDefault="00CB0071" w:rsidP="00CB0071">
      <w:pPr>
        <w:jc w:val="both"/>
      </w:pPr>
    </w:p>
    <w:p w:rsidR="00DD71AD" w:rsidRDefault="00CB0071" w:rsidP="00CB0071">
      <w:pPr>
        <w:jc w:val="both"/>
      </w:pPr>
      <w:r>
        <w:t>Documento firmado electrónicamente</w:t>
      </w:r>
    </w:p>
    <w:sectPr w:rsidR="00DD71A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0071" w:rsidRDefault="00CB0071" w:rsidP="00CB0071">
      <w:pPr>
        <w:spacing w:after="0" w:line="240" w:lineRule="auto"/>
      </w:pPr>
      <w:r>
        <w:separator/>
      </w:r>
    </w:p>
  </w:endnote>
  <w:endnote w:type="continuationSeparator" w:id="0">
    <w:p w:rsidR="00CB0071" w:rsidRDefault="00CB0071" w:rsidP="00CB00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0071" w:rsidRDefault="00CB0071" w:rsidP="00CB0071">
      <w:pPr>
        <w:spacing w:after="0" w:line="240" w:lineRule="auto"/>
      </w:pPr>
      <w:r>
        <w:separator/>
      </w:r>
    </w:p>
  </w:footnote>
  <w:footnote w:type="continuationSeparator" w:id="0">
    <w:p w:rsidR="00CB0071" w:rsidRDefault="00CB0071" w:rsidP="00CB00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071" w:rsidRDefault="00CB0071">
    <w:pPr>
      <w:pStyle w:val="Encabezado"/>
    </w:pPr>
    <w:r>
      <w:rPr>
        <w:noProof/>
        <w:lang w:eastAsia="es-ES"/>
      </w:rPr>
      <w:drawing>
        <wp:inline distT="0" distB="0" distL="0" distR="0">
          <wp:extent cx="2429510" cy="688975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76" r="-21" b="-76"/>
                  <a:stretch>
                    <a:fillRect/>
                  </a:stretch>
                </pic:blipFill>
                <pic:spPr bwMode="auto">
                  <a:xfrm>
                    <a:off x="0" y="0"/>
                    <a:ext cx="2429510" cy="6889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071"/>
    <w:rsid w:val="00814FAD"/>
    <w:rsid w:val="00A1128A"/>
    <w:rsid w:val="00CB0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C3E64"/>
  <w15:chartTrackingRefBased/>
  <w15:docId w15:val="{E3A38A4D-BDE4-4FC5-A01A-2D36F0AC1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B00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B0071"/>
  </w:style>
  <w:style w:type="paragraph" w:styleId="Piedepgina">
    <w:name w:val="footer"/>
    <w:basedOn w:val="Normal"/>
    <w:link w:val="PiedepginaCar"/>
    <w:uiPriority w:val="99"/>
    <w:unhideWhenUsed/>
    <w:rsid w:val="00CB00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B0071"/>
  </w:style>
  <w:style w:type="paragraph" w:styleId="Textoindependiente">
    <w:name w:val="Body Text"/>
    <w:basedOn w:val="Normal"/>
    <w:link w:val="TextoindependienteCar"/>
    <w:rsid w:val="00CB0071"/>
    <w:pPr>
      <w:widowControl w:val="0"/>
      <w:suppressAutoHyphens/>
      <w:spacing w:after="120" w:line="240" w:lineRule="auto"/>
    </w:pPr>
    <w:rPr>
      <w:rFonts w:ascii="Arial" w:eastAsia="DejaVu Sans" w:hAnsi="Arial" w:cs="DejaVu Sans"/>
      <w:szCs w:val="24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CB0071"/>
    <w:rPr>
      <w:rFonts w:ascii="Arial" w:eastAsia="DejaVu Sans" w:hAnsi="Arial" w:cs="DejaVu Sans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Figueres Nuñez</dc:creator>
  <cp:keywords/>
  <dc:description/>
  <cp:lastModifiedBy>Albert Figueres Nuñez</cp:lastModifiedBy>
  <cp:revision>1</cp:revision>
  <dcterms:created xsi:type="dcterms:W3CDTF">2025-08-18T06:21:00Z</dcterms:created>
  <dcterms:modified xsi:type="dcterms:W3CDTF">2025-08-18T06:27:00Z</dcterms:modified>
</cp:coreProperties>
</file>