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right"/>
        <w:rPr/>
      </w:pPr>
      <w:r>
        <w:rPr>
          <w:sz w:val="20"/>
          <w:szCs w:val="20"/>
        </w:rPr>
        <w:t>JGB</w:t>
      </w:r>
    </w:p>
    <w:p>
      <w:pPr>
        <w:pStyle w:val="Normal"/>
        <w:jc w:val="right"/>
        <w:rPr/>
      </w:pPr>
      <w:r>
        <w:rPr>
          <w:sz w:val="20"/>
          <w:szCs w:val="20"/>
        </w:rPr>
        <w:t>Asesor Jurídico Municipal</w:t>
      </w:r>
    </w:p>
    <w:p>
      <w:pPr>
        <w:pStyle w:val="Normal"/>
        <w:jc w:val="right"/>
        <w:rPr/>
      </w:pPr>
      <w:r>
        <w:rPr>
          <w:sz w:val="20"/>
          <w:szCs w:val="20"/>
        </w:rPr>
        <w:t>Convenio Ayuntamiento de San Javier</w:t>
      </w:r>
    </w:p>
    <w:p>
      <w:pPr>
        <w:pStyle w:val="Normal"/>
        <w:jc w:val="right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sz w:val="20"/>
          <w:szCs w:val="20"/>
        </w:rPr>
        <w:t>y APAMM 2025</w:t>
      </w:r>
    </w:p>
    <w:p>
      <w:pPr>
        <w:pStyle w:val="Normal"/>
        <w:snapToGrid w:val="false"/>
        <w:spacing w:lineRule="auto" w:line="360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snapToGrid w:val="false"/>
        <w:spacing w:lineRule="auto" w:line="360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snapToGrid w:val="false"/>
        <w:spacing w:lineRule="auto" w:line="360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snapToGrid w:val="false"/>
        <w:spacing w:lineRule="auto" w:line="360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snapToGrid w:val="false"/>
        <w:spacing w:lineRule="auto" w:line="360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snapToGrid w:val="false"/>
        <w:spacing w:lineRule="auto" w:line="360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snapToGrid w:val="false"/>
        <w:spacing w:lineRule="auto" w:line="360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false"/>
        <w:spacing w:lineRule="auto" w:line="360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false"/>
        <w:spacing w:lineRule="auto" w:line="360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false"/>
        <w:spacing w:lineRule="auto" w:line="360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false"/>
        <w:spacing w:lineRule="auto" w:line="360"/>
        <w:jc w:val="center"/>
        <w:rPr>
          <w:b/>
          <w:i/>
          <w:i/>
        </w:rPr>
      </w:pPr>
      <w:r>
        <w:rPr>
          <w:b/>
          <w:i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false"/>
        <w:spacing w:lineRule="auto" w:line="36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CONVENIO DE COLABORACIÓN ENTRE EL AYUNTAMIENTO DE SAN JAVIER Y LA ASOCIACIÓN PARKINSON MAR MENOR (APAMM), DURANTE EL EJERCICIO DE 2025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right"/>
        <w:rPr/>
      </w:pPr>
      <w:r>
        <w:rPr>
          <w:sz w:val="22"/>
          <w:szCs w:val="22"/>
        </w:rPr>
        <w:t>JGB</w:t>
      </w:r>
    </w:p>
    <w:p>
      <w:pPr>
        <w:pStyle w:val="Normal"/>
        <w:snapToGrid w:val="false"/>
        <w:jc w:val="right"/>
        <w:rPr/>
      </w:pPr>
      <w:r>
        <w:rPr>
          <w:sz w:val="22"/>
          <w:szCs w:val="22"/>
        </w:rPr>
        <w:t>Asesor Jurídico Municipal</w:t>
      </w:r>
    </w:p>
    <w:p>
      <w:pPr>
        <w:pStyle w:val="Normal"/>
        <w:snapToGrid w:val="false"/>
        <w:spacing w:lineRule="auto" w:line="360"/>
        <w:jc w:val="right"/>
        <w:rPr>
          <w:sz w:val="22"/>
          <w:szCs w:val="22"/>
        </w:rPr>
      </w:pPr>
      <w:r>
        <w:rPr>
          <w:sz w:val="22"/>
          <w:szCs w:val="22"/>
        </w:rPr>
        <w:t>Convenio Ayuntamiento de San Javier y APAMM 2025</w:t>
      </w:r>
    </w:p>
    <w:p>
      <w:pPr>
        <w:pStyle w:val="Normal"/>
        <w:snapToGrid w:val="false"/>
        <w:spacing w:lineRule="auto" w:line="360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napToGrid w:val="false"/>
        <w:jc w:val="center"/>
        <w:rPr/>
      </w:pPr>
      <w:r>
        <w:rPr/>
        <w:t>En San Javier, a 27 de mayo de 2025.</w:t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both"/>
        <w:rPr>
          <w:b/>
        </w:rPr>
      </w:pPr>
      <w:r>
        <w:rPr>
          <w:b/>
        </w:rPr>
      </w:r>
    </w:p>
    <w:p>
      <w:pPr>
        <w:pStyle w:val="Normal"/>
        <w:keepNext w:val="true"/>
        <w:snapToGrid w:val="false"/>
        <w:jc w:val="center"/>
        <w:rPr/>
      </w:pPr>
      <w:r>
        <w:rPr>
          <w:rFonts w:cs="Times New Roman"/>
          <w:b/>
        </w:rPr>
        <w:t>R E U N I D O S</w:t>
      </w:r>
    </w:p>
    <w:p>
      <w:pPr>
        <w:pStyle w:val="t4"/>
        <w:ind w:firstLine="708"/>
        <w:rPr/>
      </w:pPr>
      <w:r>
        <w:rPr>
          <w:rStyle w:val="t71"/>
          <w:rFonts w:cs="Times New Roman"/>
          <w:b/>
          <w:sz w:val="24"/>
          <w:szCs w:val="24"/>
        </w:rPr>
        <w:t>REUNIDOS:</w:t>
      </w:r>
    </w:p>
    <w:p>
      <w:pPr>
        <w:pStyle w:val="t4"/>
        <w:rPr>
          <w:rFonts w:ascii="Times New Roman" w:hAnsi="Times New Roman" w:cs="Times New Roman"/>
        </w:rPr>
      </w:pPr>
      <w:r>
        <w:rPr>
          <w:rFonts w:cs="Times New Roman"/>
        </w:rPr>
      </w:r>
    </w:p>
    <w:p>
      <w:pPr>
        <w:pStyle w:val="t4"/>
        <w:ind w:firstLine="708"/>
        <w:rPr/>
      </w:pPr>
      <w:r>
        <w:rPr>
          <w:rStyle w:val="t71"/>
          <w:rFonts w:cs="Times New Roman"/>
          <w:b/>
          <w:bCs/>
          <w:sz w:val="24"/>
          <w:szCs w:val="24"/>
        </w:rPr>
        <w:t>DE UNA PARTE,</w:t>
      </w:r>
      <w:r>
        <w:rPr>
          <w:rStyle w:val="t71"/>
          <w:rFonts w:cs="Times New Roman"/>
          <w:sz w:val="24"/>
          <w:szCs w:val="24"/>
        </w:rPr>
        <w:t xml:space="preserve"> </w:t>
      </w:r>
      <w:r>
        <w:rPr>
          <w:rStyle w:val="t71"/>
          <w:rFonts w:cs="Times New Roman"/>
          <w:b/>
          <w:bCs/>
          <w:sz w:val="24"/>
          <w:szCs w:val="24"/>
        </w:rPr>
        <w:t xml:space="preserve">D. José Miguel Luengo Gallego, </w:t>
      </w:r>
      <w:r>
        <w:rPr>
          <w:rStyle w:val="t71"/>
          <w:rFonts w:cs="Times New Roman"/>
          <w:sz w:val="24"/>
          <w:szCs w:val="24"/>
        </w:rPr>
        <w:t>alcalde del Ayuntamiento de San Javier</w:t>
      </w:r>
      <w:r>
        <w:rPr>
          <w:rStyle w:val="t71"/>
          <w:rFonts w:cs="Times New Roman"/>
          <w:b/>
          <w:bCs/>
          <w:sz w:val="24"/>
          <w:szCs w:val="24"/>
        </w:rPr>
        <w:t>,</w:t>
      </w:r>
      <w:r>
        <w:rPr>
          <w:rStyle w:val="t71"/>
          <w:rFonts w:cs="Times New Roman"/>
          <w:sz w:val="24"/>
          <w:szCs w:val="24"/>
        </w:rPr>
        <w:t xml:space="preserve"> y en representación de este, al amparo de lo dispuesto en el artículo 21.1, b) de la Ley de Bases de Régimen Local, 7/1985, de 2 de abril. </w:t>
      </w:r>
      <w:r>
        <w:rPr>
          <w:rStyle w:val="t71"/>
          <w:rFonts w:cs="Times New Roman"/>
          <w:color w:themeColor="text1" w:val="000000"/>
          <w:sz w:val="24"/>
          <w:szCs w:val="24"/>
        </w:rPr>
        <w:t>El Sr. alcalde es asistido en este acto por mí, el secretario de la Corporación, César Valcayo Andrino, que actúo como fedatario.</w:t>
      </w:r>
    </w:p>
    <w:p>
      <w:pPr>
        <w:pStyle w:val="Normal"/>
        <w:snapToGrid w:val="false"/>
        <w:ind w:firstLine="720"/>
        <w:jc w:val="both"/>
        <w:rPr/>
      </w:pPr>
      <w:r>
        <w:rPr/>
      </w:r>
    </w:p>
    <w:p>
      <w:pPr>
        <w:pStyle w:val="Normal"/>
        <w:snapToGrid w:val="false"/>
        <w:ind w:firstLine="720"/>
        <w:jc w:val="both"/>
        <w:rPr/>
      </w:pPr>
      <w:r>
        <w:rPr>
          <w:b/>
          <w:bCs/>
        </w:rPr>
        <w:t>Y de otra, Doña María Luisa González Fernández,</w:t>
      </w:r>
      <w:r>
        <w:rPr/>
        <w:t xml:space="preserve"> provista de D.N.I. </w:t>
      </w:r>
      <w:r>
        <w:rPr/>
        <w:t>***</w:t>
      </w:r>
      <w:r>
        <w:rPr/>
        <w:t>2678</w:t>
      </w:r>
      <w:r>
        <w:rPr/>
        <w:t>**</w:t>
      </w:r>
      <w:r>
        <w:rPr/>
        <w:t>, presidenta de la Asociación Parkinson Mar Menor, (en adelante</w:t>
      </w:r>
      <w:r>
        <w:rPr>
          <w:b/>
          <w:bCs/>
        </w:rPr>
        <w:t xml:space="preserve"> </w:t>
      </w:r>
      <w:r>
        <w:rPr/>
        <w:t>APMM), y en representación de esta, con sede en la Calle Bernal nº 13, CP: 30720 de Santiago de la Ribera, y con C.I.F. G73860918.</w:t>
      </w:r>
    </w:p>
    <w:p>
      <w:pPr>
        <w:pStyle w:val="Normal"/>
        <w:snapToGrid w:val="false"/>
        <w:ind w:firstLine="720"/>
        <w:jc w:val="both"/>
        <w:rPr/>
      </w:pPr>
      <w:r>
        <w:rPr/>
      </w:r>
    </w:p>
    <w:p>
      <w:pPr>
        <w:pStyle w:val="Normal"/>
        <w:snapToGrid w:val="false"/>
        <w:ind w:firstLine="720"/>
        <w:jc w:val="both"/>
        <w:rPr/>
      </w:pPr>
      <w:r>
        <w:rPr/>
        <w:t>La asociación APAMM se encuentra inscrita en el Registro Municipal de asociaciones del Ayuntamiento de San Javier, con el número 87.</w:t>
      </w:r>
    </w:p>
    <w:p>
      <w:pPr>
        <w:pStyle w:val="Normal"/>
        <w:keepNext w:val="true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>
          <w:b/>
        </w:rPr>
        <w:t xml:space="preserve">E X P O N E N </w:t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both"/>
        <w:rPr>
          <w:rFonts w:cs="Times New Roman"/>
          <w:color w:themeColor="text1" w:val="000000"/>
        </w:rPr>
      </w:pPr>
      <w:r>
        <w:rPr>
          <w:b/>
        </w:rPr>
        <w:tab/>
      </w:r>
      <w:r>
        <w:rPr/>
        <w:t>I - 1.- El artículo 23 de la Ley 3/2021, de 29 de julio, de Servicios Sociales de la Región de Murcia, establece que las entidades locales, en su ámbito territorial, sin perjuicio de lo previsto en la legislación de régimen local y en coordinación con la planificación general establecida por el Consejo de Gobierno, podrán ejercer las siguientes competencias: g) Coordinar las actuaciones de las entidades de iniciativa social que desarrollen sus servicios en el municipio, h) Estudiar, detectar y prevenir las necesidades sociales que se produzcan dentro de su ámbito territorial.</w:t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jc w:val="both"/>
        <w:rPr/>
      </w:pPr>
      <w:r>
        <w:rPr>
          <w:b/>
        </w:rPr>
        <w:tab/>
      </w:r>
      <w:r>
        <w:rPr/>
        <w:t>II.- El artículo 25 de la LBRL establece que el Municipio, para gestionar sus intereses y competencias, puede promover actividades y prestar los servicios públicos que contribuyan a satisfacer las necesidades y aspiraciones de la comunidad vecinal según este artículo.</w:t>
      </w:r>
      <w:r>
        <w:rPr>
          <w:rFonts w:cs="Times New Roman"/>
          <w:color w:val="000000"/>
        </w:rPr>
        <w:t xml:space="preserve"> En la letra e) de dicho artículo, se establece que el Municipio tendrá competencia para la</w:t>
      </w:r>
      <w:r>
        <w:rPr>
          <w:rFonts w:cs="Times New Roman"/>
          <w:color w:val="000000"/>
          <w:sz w:val="17"/>
          <w:szCs w:val="17"/>
        </w:rPr>
        <w:t xml:space="preserve"> </w:t>
      </w:r>
      <w:r>
        <w:rPr>
          <w:rFonts w:cs="Times New Roman"/>
          <w:i/>
          <w:iCs/>
          <w:color w:val="000000"/>
        </w:rPr>
        <w:t>“</w:t>
      </w:r>
      <w:r>
        <w:rPr>
          <w:rFonts w:cs="Times New Roman"/>
          <w:color w:val="000000"/>
        </w:rPr>
        <w:t>evaluación e información de situaciones de necesidad social y la atención inmediata a personas en situación o riesgo de exclusión social</w:t>
      </w:r>
      <w:r>
        <w:rPr>
          <w:rFonts w:cs="Times New Roman"/>
          <w:i/>
          <w:iCs/>
          <w:color w:val="000000"/>
        </w:rPr>
        <w:t>”.</w:t>
      </w:r>
    </w:p>
    <w:p>
      <w:pPr>
        <w:pStyle w:val="Normal"/>
        <w:snapToGrid w:val="false"/>
        <w:jc w:val="center"/>
        <w:rPr>
          <w:b/>
        </w:rPr>
      </w:pPr>
      <w:r>
        <w:rPr>
          <w:b/>
        </w:rPr>
      </w:r>
    </w:p>
    <w:p>
      <w:pPr>
        <w:pStyle w:val="Normal"/>
        <w:snapToGrid w:val="false"/>
        <w:ind w:firstLine="709"/>
        <w:jc w:val="both"/>
        <w:rPr/>
      </w:pPr>
      <w:r>
        <w:rPr/>
        <w:t>III.- La garantía del derecho a la protección de la salud a todos los españoles en condiciones de igualdad, con la prescripción de políticas de previsión, tratamiento, rehabilitación e integración de los discapacitados, está contemplada en la Constitución Española, en sus artículos 43 y 49.</w:t>
      </w:r>
    </w:p>
    <w:p>
      <w:pPr>
        <w:pStyle w:val="Normal"/>
        <w:snapToGrid w:val="false"/>
        <w:ind w:firstLine="709"/>
        <w:jc w:val="both"/>
        <w:rPr/>
      </w:pPr>
      <w:r>
        <w:rPr/>
      </w:r>
    </w:p>
    <w:p>
      <w:pPr>
        <w:pStyle w:val="Normal"/>
        <w:snapToGrid w:val="false"/>
        <w:ind w:firstLine="709"/>
        <w:jc w:val="both"/>
        <w:rPr/>
      </w:pPr>
      <w:r>
        <w:rPr/>
        <w:t>IV.- Son postulados básicos planteados por la Ley General de Sanidad de 1.986, los de la plena integración en el sistema sanitario general y la total equiparación del enfermo mental y físico a las demás personas que requieran servicios sanitarios y sociales.</w:t>
      </w:r>
    </w:p>
    <w:p>
      <w:pPr>
        <w:pStyle w:val="Normal"/>
        <w:snapToGrid w:val="false"/>
        <w:ind w:firstLine="709"/>
        <w:jc w:val="both"/>
        <w:rPr/>
      </w:pPr>
      <w:r>
        <w:rPr/>
      </w:r>
    </w:p>
    <w:p>
      <w:pPr>
        <w:pStyle w:val="Normal"/>
        <w:snapToGrid w:val="false"/>
        <w:ind w:firstLine="720"/>
        <w:jc w:val="both"/>
        <w:rPr/>
      </w:pPr>
      <w:r>
        <w:rPr/>
        <w:t>V.- APAMM tiene por objeto, entre otros, atender, asesorar y en su caso prestar ayuda, a los enfermos de parkinson de la comarca del Mar Menor, así como a sus familiares,</w:t>
      </w:r>
    </w:p>
    <w:p>
      <w:pPr>
        <w:pStyle w:val="Normal"/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snapToGrid w:val="false"/>
        <w:jc w:val="center"/>
        <w:rPr/>
      </w:pPr>
      <w:r>
        <w:rPr>
          <w:highlight w:val="white"/>
        </w:rPr>
        <w:t>1</w:t>
      </w:r>
    </w:p>
    <w:p>
      <w:pPr>
        <w:pStyle w:val="Normal"/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snapToGrid w:val="false"/>
        <w:ind w:firstLine="709"/>
        <w:jc w:val="both"/>
        <w:rPr/>
      </w:pPr>
      <w:r>
        <w:rPr/>
        <w:t>Esta asociación considera imprescindible dotar de recursos complementarios a aquellas personas con esta enfermedad y a sus familias, para conseguir el máximo de calidad de vida en cada período de desarrollo, mediante conferencias, mesas informativas, apoyo social, terapia de grupo, sesiones de logopedia etc.</w:t>
      </w:r>
    </w:p>
    <w:p>
      <w:pPr>
        <w:pStyle w:val="Normal"/>
        <w:snapToGrid w:val="false"/>
        <w:ind w:firstLine="709"/>
        <w:jc w:val="both"/>
        <w:rPr>
          <w:b/>
          <w:bCs/>
          <w:u w:val="single"/>
        </w:rPr>
      </w:pPr>
      <w:r>
        <w:rPr>
          <w:b/>
          <w:bCs/>
          <w:u w:val="none"/>
        </w:rPr>
        <w:t xml:space="preserve">                                                           </w:t>
      </w:r>
      <w:r>
        <w:rPr>
          <w:b/>
          <w:bCs/>
          <w:u w:val="single"/>
        </w:rPr>
        <w:t>CLÁUSULAS</w:t>
      </w:r>
    </w:p>
    <w:p>
      <w:pPr>
        <w:pStyle w:val="Normal"/>
        <w:keepNext w:val="true"/>
        <w:tabs>
          <w:tab w:val="clear" w:pos="709"/>
          <w:tab w:val="center" w:pos="3815" w:leader="none"/>
        </w:tabs>
        <w:snapToGrid w:val="false"/>
        <w:ind w:firstLine="567"/>
        <w:jc w:val="both"/>
        <w:rPr/>
      </w:pPr>
      <w:r>
        <w:rPr>
          <w:b/>
          <w:u w:val="single"/>
        </w:rPr>
        <w:t>Primera.- Objeto</w:t>
      </w:r>
    </w:p>
    <w:p>
      <w:pPr>
        <w:pStyle w:val="Normal"/>
        <w:tabs>
          <w:tab w:val="clear" w:pos="709"/>
          <w:tab w:val="center" w:pos="3815" w:leader="none"/>
        </w:tabs>
        <w:snapToGrid w:val="false"/>
        <w:ind w:firstLine="567"/>
        <w:jc w:val="both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9"/>
          <w:tab w:val="center" w:pos="3815" w:leader="none"/>
        </w:tabs>
        <w:snapToGrid w:val="false"/>
        <w:ind w:firstLine="567"/>
        <w:jc w:val="both"/>
        <w:rPr/>
      </w:pPr>
      <w:r>
        <w:rPr/>
        <w:t>Es objeto del presente convenio, la colaboración entre el Ayuntamiento de San Javier y la asociación APAMM, en la realización de actuaciones sociales para conseguir que las personas afectadas y sus familiares tengan una mejor calidad de vida, así como el mantenimiento de servicios, programas y actividades encaminadas a la Integración Social, contemplando las necesidades del colectivo de personas afectadas y familiares de la Comarca del Mar Menor, durante el ejercicio 2025.</w:t>
      </w:r>
    </w:p>
    <w:p>
      <w:pPr>
        <w:pStyle w:val="Normal"/>
        <w:tabs>
          <w:tab w:val="clear" w:pos="709"/>
          <w:tab w:val="center" w:pos="3815" w:leader="none"/>
        </w:tabs>
        <w:snapToGrid w:val="false"/>
        <w:ind w:firstLine="567"/>
        <w:jc w:val="center"/>
        <w:rPr/>
      </w:pPr>
      <w:r>
        <w:rPr/>
      </w:r>
    </w:p>
    <w:p>
      <w:pPr>
        <w:pStyle w:val="Normal"/>
        <w:keepNext w:val="true"/>
        <w:tabs>
          <w:tab w:val="clear" w:pos="709"/>
          <w:tab w:val="center" w:pos="3815" w:leader="none"/>
        </w:tabs>
        <w:snapToGrid w:val="false"/>
        <w:ind w:firstLine="567"/>
        <w:jc w:val="both"/>
        <w:rPr/>
      </w:pPr>
      <w:r>
        <w:rPr>
          <w:b/>
          <w:u w:val="single"/>
        </w:rPr>
        <w:t>Segunda.- Obligaciones de la Asociación APAMM</w:t>
      </w:r>
    </w:p>
    <w:p>
      <w:pPr>
        <w:pStyle w:val="Normal"/>
        <w:tabs>
          <w:tab w:val="clear" w:pos="709"/>
          <w:tab w:val="center" w:pos="3815" w:leader="none"/>
        </w:tabs>
        <w:snapToGrid w:val="false"/>
        <w:ind w:firstLine="567"/>
        <w:jc w:val="both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numPr>
          <w:ilvl w:val="0"/>
          <w:numId w:val="1"/>
        </w:numPr>
        <w:tabs>
          <w:tab w:val="clear" w:pos="709"/>
          <w:tab w:val="center" w:pos="3815" w:leader="none"/>
        </w:tabs>
        <w:snapToGrid w:val="false"/>
        <w:jc w:val="both"/>
        <w:rPr/>
      </w:pPr>
      <w:r>
        <w:rPr/>
        <w:t>Prestar el servicio atendiendo a las recomendaciones de la concejalía de Derechos Sociales.</w:t>
      </w:r>
    </w:p>
    <w:p>
      <w:pPr>
        <w:pStyle w:val="Normal"/>
        <w:numPr>
          <w:ilvl w:val="0"/>
          <w:numId w:val="1"/>
        </w:numPr>
        <w:tabs>
          <w:tab w:val="clear" w:pos="709"/>
          <w:tab w:val="center" w:pos="3815" w:leader="none"/>
        </w:tabs>
        <w:snapToGrid w:val="false"/>
        <w:jc w:val="both"/>
        <w:rPr/>
      </w:pPr>
      <w:r>
        <w:rPr/>
        <w:t>Campañas de sensibilización y Prevención.</w:t>
      </w:r>
    </w:p>
    <w:p>
      <w:pPr>
        <w:pStyle w:val="Normal"/>
        <w:numPr>
          <w:ilvl w:val="0"/>
          <w:numId w:val="1"/>
        </w:numPr>
        <w:tabs>
          <w:tab w:val="clear" w:pos="709"/>
          <w:tab w:val="center" w:pos="3815" w:leader="none"/>
        </w:tabs>
        <w:snapToGrid w:val="false"/>
        <w:jc w:val="both"/>
        <w:rPr/>
      </w:pPr>
      <w:r>
        <w:rPr/>
        <w:t>Actividades de capacitación y sensibilización de Voluntariado.</w:t>
      </w:r>
    </w:p>
    <w:p>
      <w:pPr>
        <w:pStyle w:val="Normal"/>
        <w:numPr>
          <w:ilvl w:val="0"/>
          <w:numId w:val="1"/>
        </w:numPr>
        <w:tabs>
          <w:tab w:val="clear" w:pos="709"/>
          <w:tab w:val="center" w:pos="3815" w:leader="none"/>
        </w:tabs>
        <w:snapToGrid w:val="false"/>
        <w:jc w:val="both"/>
        <w:rPr/>
      </w:pPr>
      <w:r>
        <w:rPr/>
        <w:t>Actividades de Participación comunitaria.</w:t>
      </w:r>
    </w:p>
    <w:p>
      <w:pPr>
        <w:pStyle w:val="Normal"/>
        <w:numPr>
          <w:ilvl w:val="0"/>
          <w:numId w:val="1"/>
        </w:numPr>
        <w:tabs>
          <w:tab w:val="clear" w:pos="709"/>
          <w:tab w:val="center" w:pos="3815" w:leader="none"/>
        </w:tabs>
        <w:snapToGrid w:val="false"/>
        <w:jc w:val="both"/>
        <w:rPr/>
      </w:pPr>
      <w:r>
        <w:rPr/>
        <w:t>Programas de Acogida, de Escuelas de Familias, Servicio de Respiro Familiar, dirigidos a las familias.</w:t>
      </w:r>
    </w:p>
    <w:p>
      <w:pPr>
        <w:pStyle w:val="Normal"/>
        <w:numPr>
          <w:ilvl w:val="0"/>
          <w:numId w:val="1"/>
        </w:numPr>
        <w:tabs>
          <w:tab w:val="clear" w:pos="709"/>
          <w:tab w:val="center" w:pos="3815" w:leader="none"/>
        </w:tabs>
        <w:snapToGrid w:val="false"/>
        <w:jc w:val="both"/>
        <w:rPr/>
      </w:pPr>
      <w:r>
        <w:rPr/>
        <w:t>Presentación de informe de evaluación del desarrollo y resultado del programa, indicando los usuarios/as atendidos/as en el marco del convenio.</w:t>
      </w:r>
    </w:p>
    <w:p>
      <w:pPr>
        <w:pStyle w:val="Normal"/>
        <w:numPr>
          <w:ilvl w:val="0"/>
          <w:numId w:val="1"/>
        </w:numPr>
        <w:tabs>
          <w:tab w:val="clear" w:pos="709"/>
          <w:tab w:val="center" w:pos="3815" w:leader="none"/>
        </w:tabs>
        <w:snapToGrid w:val="false"/>
        <w:jc w:val="both"/>
        <w:rPr/>
      </w:pPr>
      <w:r>
        <w:rPr/>
        <w:t>Talleres manuales: materiales precisos para su realización.</w:t>
      </w:r>
    </w:p>
    <w:p>
      <w:pPr>
        <w:pStyle w:val="Normal"/>
        <w:tabs>
          <w:tab w:val="clear" w:pos="709"/>
          <w:tab w:val="center" w:pos="3815" w:leader="none"/>
        </w:tabs>
        <w:snapToGrid w:val="false"/>
        <w:jc w:val="both"/>
        <w:rPr/>
      </w:pPr>
      <w:r>
        <w:rPr/>
      </w:r>
    </w:p>
    <w:p>
      <w:pPr>
        <w:pStyle w:val="Normal"/>
        <w:tabs>
          <w:tab w:val="clear" w:pos="709"/>
          <w:tab w:val="center" w:pos="3815" w:leader="none"/>
        </w:tabs>
        <w:snapToGrid w:val="false"/>
        <w:ind w:firstLine="567"/>
        <w:jc w:val="both"/>
        <w:rPr/>
      </w:pPr>
      <w:r>
        <w:rPr/>
      </w:r>
    </w:p>
    <w:p>
      <w:pPr>
        <w:pStyle w:val="Normal"/>
        <w:keepNext w:val="true"/>
        <w:tabs>
          <w:tab w:val="clear" w:pos="709"/>
          <w:tab w:val="center" w:pos="3815" w:leader="none"/>
        </w:tabs>
        <w:snapToGrid w:val="false"/>
        <w:ind w:firstLine="567"/>
        <w:jc w:val="both"/>
        <w:rPr/>
      </w:pPr>
      <w:r>
        <w:rPr>
          <w:b/>
          <w:u w:val="single"/>
        </w:rPr>
        <w:t>Tercera.- Obligaciones del Ayuntamiento de San Javier</w:t>
      </w:r>
    </w:p>
    <w:p>
      <w:pPr>
        <w:pStyle w:val="Normal"/>
        <w:snapToGrid w:val="false"/>
        <w:rPr/>
      </w:pPr>
      <w:r>
        <w:rPr/>
      </w:r>
    </w:p>
    <w:p>
      <w:pPr>
        <w:pStyle w:val="Normal"/>
        <w:snapToGrid w:val="false"/>
        <w:ind w:firstLine="567"/>
        <w:jc w:val="both"/>
        <w:rPr/>
      </w:pPr>
      <w:r>
        <w:rPr/>
        <w:t>El Ayuntamiento de San Javier se compromete a:</w:t>
      </w:r>
    </w:p>
    <w:p>
      <w:pPr>
        <w:pStyle w:val="Normal"/>
        <w:snapToGrid w:val="false"/>
        <w:ind w:firstLine="567"/>
        <w:jc w:val="both"/>
        <w:rPr/>
      </w:pPr>
      <w:r>
        <w:rPr/>
      </w:r>
    </w:p>
    <w:p>
      <w:pPr>
        <w:pStyle w:val="Normal"/>
        <w:numPr>
          <w:ilvl w:val="0"/>
          <w:numId w:val="2"/>
        </w:numPr>
        <w:snapToGrid w:val="false"/>
        <w:jc w:val="both"/>
        <w:rPr/>
      </w:pPr>
      <w:r>
        <w:rPr/>
        <w:t>Colaborar económicamente con la asociación APAMM, en la cuantía señalada en la cláusula cuarta de este convenio.</w:t>
      </w:r>
    </w:p>
    <w:p>
      <w:pPr>
        <w:pStyle w:val="Normal"/>
        <w:numPr>
          <w:ilvl w:val="0"/>
          <w:numId w:val="2"/>
        </w:numPr>
        <w:snapToGrid w:val="false"/>
        <w:jc w:val="both"/>
        <w:rPr/>
      </w:pPr>
      <w:r>
        <w:rPr/>
        <w:t>Hacer seguimiento de las acciones desarrolladas en el marco del convenio.</w:t>
      </w:r>
    </w:p>
    <w:p>
      <w:pPr>
        <w:pStyle w:val="Normal"/>
        <w:snapToGrid w:val="false"/>
        <w:ind w:firstLine="567"/>
        <w:jc w:val="center"/>
        <w:rPr/>
      </w:pPr>
      <w:r>
        <w:rPr/>
      </w:r>
    </w:p>
    <w:p>
      <w:pPr>
        <w:pStyle w:val="Normal"/>
        <w:snapToGrid w:val="false"/>
        <w:ind w:firstLine="567"/>
        <w:jc w:val="center"/>
        <w:rPr/>
      </w:pPr>
      <w:r>
        <w:rPr/>
      </w:r>
    </w:p>
    <w:p>
      <w:pPr>
        <w:pStyle w:val="Normal"/>
        <w:snapToGrid w:val="false"/>
        <w:ind w:firstLine="567"/>
        <w:jc w:val="both"/>
        <w:rPr>
          <w:b/>
          <w:bCs/>
          <w:u w:val="single"/>
        </w:rPr>
      </w:pPr>
      <w:r>
        <w:rPr>
          <w:b/>
          <w:bCs/>
          <w:u w:val="single"/>
        </w:rPr>
        <w:t>Cuarta.- Financiación y pago</w:t>
      </w:r>
    </w:p>
    <w:p>
      <w:pPr>
        <w:pStyle w:val="Normal"/>
        <w:snapToGrid w:val="false"/>
        <w:ind w:firstLine="567"/>
        <w:jc w:val="both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  <w:t xml:space="preserve">Para la prestación de estos servicios, según este convenio, el Ayuntamiento de San Javier aportará 4.000 euros, para atender los gastos derivados de las acciones desarrolladas. </w:t>
      </w:r>
      <w:r>
        <w:rPr>
          <w:rFonts w:cs="Times New Roman"/>
          <w:color w:themeColor="text1" w:val="000000"/>
        </w:rPr>
        <w:t>Esta cantidad está prevista en el presupuesto municipal del ejercicio 2025 publicado en el BORM de 15 de febrero, Número 38</w:t>
      </w:r>
      <w:r>
        <w:rPr>
          <w:rFonts w:cs="Times New Roman"/>
          <w:color w:val="FF0000"/>
        </w:rPr>
        <w:t>.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  <w:t>El Ayuntamiento de San Javier, tras firmar este convenio, procederá al pago anticipado del importe de la aportación económica correspondiente, eximiendo a APAMM de la garantía alguna.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jc w:val="center"/>
        <w:rPr/>
      </w:pPr>
      <w:r>
        <w:rPr>
          <w:highlight w:val="white"/>
        </w:rPr>
        <w:t>2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  <w:t xml:space="preserve">Por su parte, la asociación APAMM se hará cargo de los demás gastos que se generen por la prestación de los servicios. 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  <w:t xml:space="preserve">La presente subvención será compatible con otras subvenciones, ayudas o ingresos procedentes de personas físicas o jurídicas, públicas o privadas. En todo caso, el importe de la presente subvención, aislada o en concurrencia con otras subvenciones, ayudas, ingresos o recursos, no podrá superar el coste de la actividad subvencionada. 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center"/>
        <w:rPr/>
      </w:pPr>
      <w:r>
        <w:rPr/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>
          <w:b/>
          <w:u w:val="single"/>
        </w:rPr>
        <w:t>Quinta.- Vigencia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  <w:t>Este Convenio estará vigente hasta el 31 de marzo de 2026, salvo denuncia expresa de una de las partes, que deberá conocerse la otra, con un mes de antelación a la fecha en que se quiera dar por extinguido el Convenio.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center"/>
        <w:rPr/>
      </w:pPr>
      <w:r>
        <w:rPr/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>
          <w:b/>
          <w:u w:val="single"/>
        </w:rPr>
        <w:t>Sexta.-Justificación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  <w:t>La justificación de la inversión dada a los fondos recibidos y acreditación del cumplimiento de la finalidad para la que estaban previstos se hará antes del 31 de marzo de 2026, mediante la presentación de los siguientes documentos: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720" w:leader="none"/>
          <w:tab w:val="center" w:pos="3815" w:leader="none"/>
        </w:tabs>
        <w:snapToGrid w:val="false"/>
        <w:jc w:val="both"/>
        <w:rPr/>
      </w:pPr>
      <w:r>
        <w:rPr/>
        <w:t>Memoria detallada de la actividad con indicación de los resultados obtenidos.</w:t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720" w:leader="none"/>
          <w:tab w:val="center" w:pos="3815" w:leader="none"/>
        </w:tabs>
        <w:snapToGrid w:val="false"/>
        <w:jc w:val="both"/>
        <w:rPr/>
      </w:pPr>
      <w:r>
        <w:rPr/>
        <w:t>Documentos probatorios de la publicidad dada a la aportación municipal.</w:t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720" w:leader="none"/>
          <w:tab w:val="center" w:pos="3815" w:leader="none"/>
        </w:tabs>
        <w:snapToGrid w:val="false"/>
        <w:jc w:val="both"/>
        <w:rPr/>
      </w:pPr>
      <w:r>
        <w:rPr/>
        <w:t>Memoria económica de ingresos y gastos de la actividad o proyecto, así como justificantes de gastos por importe al menos igual a la subvención concedida.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left="1287"/>
        <w:jc w:val="both"/>
        <w:rPr/>
      </w:pPr>
      <w:r>
        <w:rPr/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  <w:t>Los documentos justificativos de gastos estarán constituidos por nóminas, documentos de ingreso de cuotas de la Seguridad Social, facturas y demás documentos de valor probatorio equivalente y ajustados a la legislación fiscal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  <w:t>La forma de pago del gasto subvencionado se expresará en la factura o documento equivalente, y se justificará de la manera que a continuación se indica:</w:t>
      </w:r>
    </w:p>
    <w:p>
      <w:pPr>
        <w:pStyle w:val="Normal"/>
        <w:tabs>
          <w:tab w:val="clear" w:pos="709"/>
          <w:tab w:val="left" w:pos="720" w:leader="none"/>
          <w:tab w:val="center" w:pos="3815" w:leader="none"/>
        </w:tabs>
        <w:snapToGrid w:val="false"/>
        <w:ind w:firstLine="567"/>
        <w:jc w:val="both"/>
        <w:rPr/>
      </w:pPr>
      <w:r>
        <w:rPr/>
      </w:r>
    </w:p>
    <w:p>
      <w:pPr>
        <w:pStyle w:val="Normal"/>
        <w:snapToGrid w:val="false"/>
        <w:ind w:right="44"/>
        <w:jc w:val="both"/>
        <w:rPr/>
      </w:pPr>
      <w:r>
        <w:rPr/>
        <w:tab/>
        <w:t>1.- Pago en efectivo: mediante recibí firmado sobre el propio documento con indicación del nombre y apellidos de quien recibe los fondos y su DNI.</w:t>
      </w:r>
    </w:p>
    <w:p>
      <w:pPr>
        <w:pStyle w:val="Normal"/>
        <w:snapToGrid w:val="false"/>
        <w:ind w:right="44"/>
        <w:jc w:val="both"/>
        <w:rPr/>
      </w:pPr>
      <w:r>
        <w:rPr/>
      </w:r>
    </w:p>
    <w:p>
      <w:pPr>
        <w:pStyle w:val="Normal"/>
        <w:snapToGrid w:val="false"/>
        <w:ind w:right="44"/>
        <w:jc w:val="both"/>
        <w:rPr/>
      </w:pPr>
      <w:r>
        <w:rPr/>
        <w:tab/>
        <w:t>2.- Pago por cheque nominativo. Mediante incorporación a la factura de copia del cheque y presentación ante el Ayuntamiento para su cotejo del cargo bancario del citado cheque.</w:t>
      </w:r>
    </w:p>
    <w:p>
      <w:pPr>
        <w:pStyle w:val="Normal"/>
        <w:snapToGrid w:val="false"/>
        <w:ind w:right="44"/>
        <w:jc w:val="both"/>
        <w:rPr/>
      </w:pPr>
      <w:r>
        <w:rPr/>
      </w:r>
    </w:p>
    <w:p>
      <w:pPr>
        <w:pStyle w:val="Normal"/>
        <w:snapToGrid w:val="false"/>
        <w:ind w:right="44"/>
        <w:jc w:val="both"/>
        <w:rPr/>
      </w:pPr>
      <w:r>
        <w:rPr/>
        <w:tab/>
        <w:t>3.- Pago por transferencia: Indicación en la factura de esta forma de pago, así como de la cuenta beneficiaria, y presentación ante el Ayuntamiento para su cotejo del cargo bancario de la indicada transferencia.</w:t>
      </w:r>
    </w:p>
    <w:p>
      <w:pPr>
        <w:pStyle w:val="Normal"/>
        <w:snapToGrid w:val="false"/>
        <w:ind w:right="44"/>
        <w:jc w:val="both"/>
        <w:rPr/>
      </w:pPr>
      <w:r>
        <w:rPr/>
      </w:r>
    </w:p>
    <w:p>
      <w:pPr>
        <w:pStyle w:val="Normal"/>
        <w:snapToGrid w:val="false"/>
        <w:ind w:right="44"/>
        <w:jc w:val="both"/>
        <w:rPr/>
      </w:pPr>
      <w:r>
        <w:rPr/>
        <w:tab/>
        <w:t>4.- Pago por domiciliación bancaria: mediante presentación ante el Ayuntamiento para su cotejo del cargo bancario correspondiente.</w:t>
      </w:r>
    </w:p>
    <w:p>
      <w:pPr>
        <w:pStyle w:val="Normal"/>
        <w:snapToGrid w:val="false"/>
        <w:ind w:right="44"/>
        <w:jc w:val="both"/>
        <w:rPr/>
      </w:pPr>
      <w:r>
        <w:rPr/>
      </w:r>
    </w:p>
    <w:p>
      <w:pPr>
        <w:pStyle w:val="Normal"/>
        <w:snapToGrid w:val="false"/>
        <w:ind w:firstLine="708" w:right="44"/>
        <w:jc w:val="both"/>
        <w:rPr/>
      </w:pPr>
      <w:r>
        <w:rPr/>
        <w:t>Todos los gastos deberán estar referidos a, como máximo, 31 de diciembre de 2025, y los pagos hasta el 31 de marzo de 2026, fecha máxima de justificación de la subvención concedida</w:t>
      </w:r>
      <w:r>
        <w:rPr>
          <w:b/>
          <w:bCs/>
        </w:rPr>
        <w:t>.</w:t>
      </w:r>
    </w:p>
    <w:p>
      <w:pPr>
        <w:pStyle w:val="Normal"/>
        <w:snapToGrid w:val="false"/>
        <w:ind w:right="44"/>
        <w:jc w:val="center"/>
        <w:rPr/>
      </w:pPr>
      <w:r>
        <w:rPr/>
        <w:t>3</w:t>
      </w:r>
    </w:p>
    <w:p>
      <w:pPr>
        <w:pStyle w:val="Normal"/>
        <w:snapToGrid w:val="false"/>
        <w:ind w:firstLine="708" w:right="44"/>
        <w:jc w:val="both"/>
        <w:rPr/>
      </w:pPr>
      <w:r>
        <w:rPr/>
      </w:r>
    </w:p>
    <w:p>
      <w:pPr>
        <w:pStyle w:val="Normal"/>
        <w:snapToGrid w:val="false"/>
        <w:ind w:firstLine="708" w:right="44"/>
        <w:jc w:val="both"/>
        <w:rPr/>
      </w:pPr>
      <w:r>
        <w:rPr/>
      </w:r>
    </w:p>
    <w:p>
      <w:pPr>
        <w:pStyle w:val="Normal"/>
        <w:snapToGrid w:val="false"/>
        <w:ind w:firstLine="708" w:right="44"/>
        <w:jc w:val="both"/>
        <w:rPr/>
      </w:pPr>
      <w:r>
        <w:rPr/>
      </w:r>
    </w:p>
    <w:p>
      <w:pPr>
        <w:pStyle w:val="Normal"/>
        <w:snapToGrid w:val="false"/>
        <w:ind w:firstLine="567" w:left="142"/>
        <w:jc w:val="both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snapToGrid w:val="false"/>
        <w:ind w:firstLine="567" w:left="142"/>
        <w:jc w:val="both"/>
        <w:rPr/>
      </w:pPr>
      <w:r>
        <w:rPr>
          <w:b/>
          <w:u w:val="single"/>
        </w:rPr>
        <w:t>Séptima.- Comisión de Seguimiento</w:t>
      </w:r>
    </w:p>
    <w:p>
      <w:pPr>
        <w:pStyle w:val="Normal"/>
        <w:snapToGrid w:val="false"/>
        <w:ind w:firstLine="567" w:left="142"/>
        <w:jc w:val="both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snapToGrid w:val="false"/>
        <w:ind w:firstLine="567" w:left="142"/>
        <w:jc w:val="both"/>
        <w:rPr/>
      </w:pPr>
      <w:r>
        <w:rPr/>
        <w:t>El seguimiento de las acciones que el convenio contempla se llevará a cabo a través de una Comisión de seguimiento con participación de las partes firmantes del mismo, cuya composición será la siguiente:</w:t>
      </w:r>
    </w:p>
    <w:p>
      <w:pPr>
        <w:pStyle w:val="Normal"/>
        <w:snapToGrid w:val="false"/>
        <w:ind w:firstLine="567" w:left="142"/>
        <w:jc w:val="both"/>
        <w:rPr/>
      </w:pPr>
      <w:r>
        <w:rPr/>
      </w:r>
    </w:p>
    <w:p>
      <w:pPr>
        <w:pStyle w:val="Normal"/>
        <w:numPr>
          <w:ilvl w:val="0"/>
          <w:numId w:val="4"/>
        </w:numPr>
        <w:snapToGrid w:val="false"/>
        <w:jc w:val="both"/>
        <w:rPr/>
      </w:pPr>
      <w:r>
        <w:rPr/>
        <w:t>Por el Ayuntamiento de San Javier, la concejal delegada de Derechos Sociales o persona en quien delegue y un técnico de Servicios Sociales.</w:t>
      </w:r>
    </w:p>
    <w:p>
      <w:pPr>
        <w:pStyle w:val="Normal"/>
        <w:numPr>
          <w:ilvl w:val="0"/>
          <w:numId w:val="4"/>
        </w:numPr>
        <w:snapToGrid w:val="false"/>
        <w:jc w:val="both"/>
        <w:rPr/>
      </w:pPr>
      <w:r>
        <w:rPr/>
        <w:t>Por APAMM, su presidenta o persona en quien delegue.</w:t>
      </w:r>
    </w:p>
    <w:p>
      <w:pPr>
        <w:pStyle w:val="Normal"/>
        <w:snapToGrid w:val="false"/>
        <w:jc w:val="center"/>
        <w:rPr>
          <w:highlight w:val="white"/>
        </w:rPr>
      </w:pPr>
      <w:r>
        <w:rPr>
          <w:highlight w:val="white"/>
        </w:rPr>
      </w:r>
    </w:p>
    <w:p>
      <w:pPr>
        <w:pStyle w:val="Normal"/>
        <w:snapToGrid w:val="false"/>
        <w:ind w:firstLine="540"/>
        <w:jc w:val="both"/>
        <w:rPr/>
      </w:pPr>
      <w:r>
        <w:rPr/>
        <w:t>Serán funciones de la citada Comisión de Seguimiento interpretar y resolver cuantas dudas y discrepancias pudieran surgir sobre el cumplimiento del presente convenio, así como aquellas cuestiones que se planteen durante su ejecución, fijar los criterios para el seguimiento y evaluación de los resultados y aprobar la memoria del desarrollo del servicio.</w:t>
      </w:r>
    </w:p>
    <w:p>
      <w:pPr>
        <w:pStyle w:val="Normal"/>
        <w:snapToGrid w:val="false"/>
        <w:ind w:firstLine="567" w:left="142"/>
        <w:jc w:val="center"/>
        <w:rPr/>
      </w:pPr>
      <w:r>
        <w:rPr/>
      </w:r>
    </w:p>
    <w:p>
      <w:pPr>
        <w:pStyle w:val="Normal"/>
        <w:snapToGrid w:val="false"/>
        <w:jc w:val="both"/>
        <w:rPr/>
      </w:pPr>
      <w:r>
        <w:rPr>
          <w:rFonts w:eastAsia="Times New Roman" w:cs="Times New Roman"/>
        </w:rPr>
        <w:tab/>
      </w:r>
      <w:r>
        <w:rPr>
          <w:rFonts w:eastAsia="Times New Roman" w:cs="Times New Roman"/>
          <w:b/>
          <w:bCs/>
          <w:u w:val="single"/>
        </w:rPr>
        <w:t>Octava</w:t>
      </w:r>
      <w:r>
        <w:rPr>
          <w:b/>
          <w:bCs/>
          <w:u w:val="single"/>
        </w:rPr>
        <w:t>: Protección de datos</w:t>
      </w:r>
    </w:p>
    <w:p>
      <w:pPr>
        <w:pStyle w:val="Normal"/>
        <w:snapToGrid w:val="false"/>
        <w:ind w:firstLine="540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color w:val="111111"/>
        </w:rPr>
      </w:pPr>
      <w:r>
        <w:rPr>
          <w:rFonts w:eastAsia="Times New Roman" w:cs="Times New Roman"/>
          <w:color w:val="111111"/>
        </w:rPr>
        <w:tab/>
        <w:t>El tratamiento de datos personales que surja de la aplicación del convenio de colaboración se efectuará según lo dispuesto en la Ley Orgánica 3/2018, de 5 de diciembre, de Protección de Datos Personales y garantía de los derechos digitales o, en su caso, ley que la sustituya, y su normativa de desarrollo.</w:t>
      </w:r>
    </w:p>
    <w:p>
      <w:pPr>
        <w:pStyle w:val="Normal"/>
        <w:keepNext w:val="true"/>
        <w:snapToGrid w:val="false"/>
        <w:jc w:val="both"/>
        <w:rPr>
          <w:highlight w:val="white"/>
        </w:rPr>
      </w:pPr>
      <w:r>
        <w:rPr>
          <w:highlight w:val="white"/>
        </w:rPr>
      </w:r>
    </w:p>
    <w:p>
      <w:pPr>
        <w:pStyle w:val="Normal"/>
        <w:snapToGrid w:val="false"/>
        <w:jc w:val="both"/>
        <w:rPr/>
      </w:pPr>
      <w:r>
        <w:rPr>
          <w:rFonts w:eastAsia="Times New Roman" w:cs="Times New Roman"/>
          <w:b/>
        </w:rPr>
        <w:t xml:space="preserve">      </w:t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  <w:u w:val="single"/>
        </w:rPr>
        <w:t>Novena</w:t>
      </w:r>
      <w:r>
        <w:rPr>
          <w:b/>
          <w:u w:val="single"/>
        </w:rPr>
        <w:t>: Resolución</w:t>
      </w:r>
    </w:p>
    <w:p>
      <w:pPr>
        <w:pStyle w:val="Normal"/>
        <w:snapToGrid w:val="false"/>
        <w:ind w:firstLine="567" w:left="142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cs="Times New Roman"/>
        </w:rPr>
        <w:tab/>
      </w:r>
      <w:r>
        <w:rPr>
          <w:rFonts w:cs="Times New Roman"/>
          <w:color w:val="000000"/>
          <w:highlight w:val="white"/>
        </w:rPr>
        <w:t>El presente convenio se extinguirá por el cumplimiento de las actuaciones que constituyen su objeto o por incurrir en causa de resolución.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>
          <w:color w:val="000000"/>
          <w:highlight w:val="white"/>
        </w:rPr>
        <w:tab/>
        <w:t>1. Son causas de resolución:</w:t>
      </w:r>
    </w:p>
    <w:p>
      <w:pPr>
        <w:pStyle w:val="Normal"/>
        <w:jc w:val="both"/>
        <w:rPr/>
      </w:pPr>
      <w:r>
        <w:rPr>
          <w:color w:val="000000"/>
          <w:highlight w:val="white"/>
        </w:rPr>
        <w:tab/>
      </w:r>
    </w:p>
    <w:p>
      <w:pPr>
        <w:pStyle w:val="Normal"/>
        <w:jc w:val="both"/>
        <w:rPr/>
      </w:pPr>
      <w:r>
        <w:rPr>
          <w:color w:val="000000"/>
          <w:highlight w:val="white"/>
        </w:rPr>
        <w:tab/>
        <w:t>a) El transcurso del plazo de vigencia del convenio sin haberse acordado la prórroga de este.</w:t>
      </w:r>
    </w:p>
    <w:p>
      <w:pPr>
        <w:pStyle w:val="Normal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jc w:val="both"/>
        <w:rPr/>
      </w:pPr>
      <w:r>
        <w:rPr>
          <w:color w:val="000000"/>
          <w:highlight w:val="white"/>
        </w:rPr>
        <w:tab/>
        <w:t>b) El acuerdo unánime de todos los firmantes.</w:t>
      </w:r>
    </w:p>
    <w:p>
      <w:pPr>
        <w:pStyle w:val="Normal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jc w:val="both"/>
        <w:rPr/>
      </w:pPr>
      <w:r>
        <w:rPr>
          <w:color w:val="000000"/>
          <w:highlight w:val="white"/>
        </w:rPr>
        <w:tab/>
        <w:t>c) El incumplimiento de las obligaciones y compromisos asumidos por parte de alguno de los firmantes.</w:t>
      </w:r>
    </w:p>
    <w:p>
      <w:pPr>
        <w:pStyle w:val="Normal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jc w:val="both"/>
        <w:rPr/>
      </w:pPr>
      <w:r>
        <w:rPr>
          <w:color w:val="000000"/>
          <w:highlight w:val="white"/>
        </w:rPr>
        <w:tab/>
        <w:t>En este caso, cualquiera de las partes podrá notificar a la parte incumplidora, un requerimiento para que cumpla en un determinado plazo con las obligaciones o compromisos que se consideran incumplidos. Este requerimiento será comunicado al responsable del mecanismo de seguimiento, vigilancia y control de la ejecución del convenio y a las demás partes firmantes.</w:t>
      </w:r>
    </w:p>
    <w:p>
      <w:pPr>
        <w:pStyle w:val="Normal"/>
        <w:jc w:val="center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jc w:val="both"/>
        <w:rPr/>
      </w:pPr>
      <w:r>
        <w:rPr>
          <w:color w:val="000000"/>
          <w:highlight w:val="white"/>
        </w:rPr>
        <w:tab/>
        <w:t>Si trascurrido el plazo indicado en el requerimiento persistiera el incumplimiento, la parte que lo dirigió notificará a las partes firmantes la concurrencia de la causa de resolución y se entenderá resuelto el convenio. La resolución del convenio por esta causa podrá conllevar la indemnización de los perjuicios causados si así se hubiera previsto.</w:t>
      </w:r>
    </w:p>
    <w:p>
      <w:pPr>
        <w:pStyle w:val="Normal"/>
        <w:jc w:val="center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jc w:val="center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jc w:val="center"/>
        <w:rPr/>
      </w:pPr>
      <w:r>
        <w:rPr>
          <w:color w:val="000000"/>
          <w:highlight w:val="white"/>
        </w:rPr>
        <w:t>4</w:t>
      </w:r>
    </w:p>
    <w:p>
      <w:pPr>
        <w:pStyle w:val="Normal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jc w:val="both"/>
        <w:rPr/>
      </w:pPr>
      <w:r>
        <w:rPr>
          <w:color w:val="000000"/>
          <w:highlight w:val="white"/>
        </w:rPr>
        <w:tab/>
        <w:t>d) Por decisión judicial declaratoria de la nulidad del convenio.</w:t>
      </w:r>
    </w:p>
    <w:p>
      <w:pPr>
        <w:pStyle w:val="Normal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keepNext w:val="true"/>
        <w:snapToGrid w:val="false"/>
        <w:ind w:firstLine="567" w:right="-285"/>
        <w:jc w:val="both"/>
        <w:rPr/>
      </w:pPr>
      <w:r>
        <w:rPr>
          <w:rFonts w:cs="Book Antiqua"/>
          <w:color w:val="000000"/>
          <w:highlight w:val="white"/>
        </w:rPr>
        <w:tab/>
        <w:t>e) Por cualquier otra causa distinta de las anteriores prevista en el convenio o en otras leyes.</w:t>
      </w:r>
    </w:p>
    <w:p>
      <w:pPr>
        <w:pStyle w:val="Normal"/>
        <w:keepNext w:val="true"/>
        <w:snapToGrid w:val="false"/>
        <w:ind w:firstLine="567" w:left="142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snapToGrid w:val="false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keepNext w:val="true"/>
        <w:snapToGrid w:val="false"/>
        <w:ind w:left="709"/>
        <w:jc w:val="both"/>
        <w:rPr/>
      </w:pPr>
      <w:r>
        <w:rPr>
          <w:b/>
          <w:u w:val="single"/>
        </w:rPr>
        <w:t>Novena.- Jurisdicción</w:t>
      </w:r>
    </w:p>
    <w:p>
      <w:pPr>
        <w:pStyle w:val="Normal"/>
        <w:snapToGrid w:val="false"/>
        <w:ind w:left="709"/>
        <w:jc w:val="both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snapToGrid w:val="false"/>
        <w:ind w:firstLine="709"/>
        <w:jc w:val="both"/>
        <w:rPr/>
      </w:pPr>
      <w:r>
        <w:rPr/>
        <w:t>La Jurisdicción Contencioso-Administrativa será la competente para resolución de cuantas cuestiones litigiosas puedan suscitarse en la interpretación o aplicación del presente convenio.</w:t>
      </w:r>
    </w:p>
    <w:p>
      <w:pPr>
        <w:pStyle w:val="Normal"/>
        <w:snapToGrid w:val="false"/>
        <w:ind w:firstLine="709"/>
        <w:jc w:val="both"/>
        <w:rPr/>
      </w:pPr>
      <w:r>
        <w:rPr/>
      </w:r>
    </w:p>
    <w:p>
      <w:pPr>
        <w:pStyle w:val="Normal"/>
        <w:snapToGrid w:val="false"/>
        <w:ind w:firstLine="709"/>
        <w:jc w:val="both"/>
        <w:rPr/>
      </w:pPr>
      <w:r>
        <w:rPr/>
        <w:t>De acuerdo con cuanto antecede y en prueba de conformidad, suscriben el presente convenio, en duplicado ejemplar, en el lugar y fecha indicados.</w:t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ind w:firstLine="709"/>
        <w:jc w:val="both"/>
        <w:rPr/>
      </w:pPr>
      <w:r>
        <w:rPr/>
      </w:r>
    </w:p>
    <w:p>
      <w:pPr>
        <w:pStyle w:val="Normal"/>
        <w:snapToGrid w:val="false"/>
        <w:ind w:firstLine="709"/>
        <w:jc w:val="both"/>
        <w:rPr/>
      </w:pPr>
      <w:r>
        <w:rPr>
          <w:rFonts w:eastAsia="Times New Roman" w:cs="Times New Roman"/>
        </w:rPr>
        <w:t xml:space="preserve">             </w:t>
      </w:r>
      <w:r>
        <w:rPr>
          <w:rFonts w:eastAsia="Times New Roman" w:cs="Times New Roman"/>
        </w:rPr>
        <w:t>EL</w:t>
      </w:r>
      <w:r>
        <w:rPr/>
        <w:t xml:space="preserve"> ALCALDE                                       LA PRESIDENTA DE APAMM</w:t>
      </w:r>
    </w:p>
    <w:p>
      <w:pPr>
        <w:pStyle w:val="Normal"/>
        <w:snapToGrid w:val="false"/>
        <w:ind w:firstLine="709"/>
        <w:jc w:val="both"/>
        <w:rPr/>
      </w:pPr>
      <w:r>
        <w:rPr>
          <w:rFonts w:eastAsia="Times New Roman" w:cs="Times New Roman"/>
        </w:rPr>
        <w:t xml:space="preserve">           </w:t>
      </w:r>
    </w:p>
    <w:p>
      <w:pPr>
        <w:pStyle w:val="Normal"/>
        <w:snapToGrid w:val="false"/>
        <w:ind w:firstLine="709"/>
        <w:jc w:val="both"/>
        <w:rPr/>
      </w:pPr>
      <w:r>
        <w:rPr/>
      </w:r>
    </w:p>
    <w:p>
      <w:pPr>
        <w:pStyle w:val="Normal"/>
        <w:snapToGrid w:val="false"/>
        <w:ind w:firstLine="709"/>
        <w:jc w:val="both"/>
        <w:rPr/>
      </w:pPr>
      <w:r>
        <w:rPr/>
      </w:r>
    </w:p>
    <w:p>
      <w:pPr>
        <w:pStyle w:val="Normal"/>
        <w:snapToGrid w:val="false"/>
        <w:ind w:firstLine="709"/>
        <w:jc w:val="both"/>
        <w:rPr/>
      </w:pPr>
      <w:r>
        <w:rPr/>
      </w:r>
    </w:p>
    <w:p>
      <w:pPr>
        <w:pStyle w:val="Normal"/>
        <w:snapToGrid w:val="false"/>
        <w:ind w:firstLine="709"/>
        <w:jc w:val="both"/>
        <w:rPr/>
      </w:pPr>
      <w:r>
        <w:rPr/>
      </w:r>
    </w:p>
    <w:p>
      <w:pPr>
        <w:pStyle w:val="Normal"/>
        <w:snapToGrid w:val="false"/>
        <w:jc w:val="both"/>
        <w:rPr/>
      </w:pPr>
      <w:r>
        <w:rPr>
          <w:rFonts w:eastAsia="Times New Roman" w:cs="Times New Roman"/>
        </w:rPr>
        <w:t xml:space="preserve">         </w:t>
      </w:r>
      <w:r>
        <w:rPr/>
        <w:t>Fdo.: José Miguel Luengo Gallego                    Fdo.:  M.ª Luisa González Fernández</w:t>
      </w:r>
    </w:p>
    <w:p>
      <w:pPr>
        <w:pStyle w:val="Normal"/>
        <w:snapToGrid w:val="false"/>
        <w:jc w:val="both"/>
        <w:rPr/>
      </w:pPr>
      <w:r>
        <w:rPr/>
      </w:r>
    </w:p>
    <w:p>
      <w:pPr>
        <w:pStyle w:val="Normal"/>
        <w:snapToGrid w:val="false"/>
        <w:jc w:val="both"/>
        <w:rPr/>
      </w:pPr>
      <w:r>
        <w:rPr/>
      </w:r>
    </w:p>
    <w:p>
      <w:pPr>
        <w:pStyle w:val="Normal"/>
        <w:snapToGrid w:val="false"/>
        <w:jc w:val="both"/>
        <w:rPr/>
      </w:pPr>
      <w:r>
        <w:rPr/>
      </w:r>
    </w:p>
    <w:p>
      <w:pPr>
        <w:pStyle w:val="Normal"/>
        <w:snapToGrid w:val="false"/>
        <w:jc w:val="both"/>
        <w:rPr/>
      </w:pPr>
      <w:r>
        <w:rPr>
          <w:rFonts w:eastAsia="Times New Roman" w:cs="Times New Roman"/>
          <w:color w:themeColor="text1" w:val="000000"/>
        </w:rPr>
        <w:t xml:space="preserve">         </w:t>
      </w:r>
      <w:r>
        <w:rPr>
          <w:color w:themeColor="text1" w:val="000000"/>
        </w:rPr>
        <w:t>Ante mí, el secretario,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snapToGrid w:val="false"/>
        <w:jc w:val="both"/>
        <w:rPr/>
      </w:pPr>
      <w:r>
        <w:rPr>
          <w:rFonts w:eastAsia="Times New Roman" w:cs="Times New Roman"/>
          <w:color w:val="000000"/>
        </w:rPr>
        <w:t xml:space="preserve">        </w:t>
      </w:r>
      <w:r>
        <w:rPr>
          <w:color w:val="000000"/>
        </w:rPr>
        <w:t>Fdo. César Valcayo Andrino</w:t>
      </w:r>
    </w:p>
    <w:p>
      <w:pPr>
        <w:pStyle w:val="Normal"/>
        <w:snapToGrid w:val="false"/>
        <w:jc w:val="both"/>
        <w:rPr/>
      </w:pPr>
      <w:r>
        <w:rPr/>
      </w:r>
    </w:p>
    <w:p>
      <w:pPr>
        <w:pStyle w:val="Normal"/>
        <w:snapToGrid w:val="false"/>
        <w:jc w:val="both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</w:r>
    </w:p>
    <w:p>
      <w:pPr>
        <w:pStyle w:val="Normal"/>
        <w:snapToGrid w:val="false"/>
        <w:jc w:val="center"/>
        <w:rPr/>
      </w:pPr>
      <w:r>
        <w:rPr/>
        <w:t>5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ascii="Times New Roman" w:hAnsi="Times New Roman"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sz w:val="24"/>
        <w:szCs w:val="24"/>
        <w:lang w:val="es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2z0" w:customStyle="1">
    <w:name w:val="WW8Num2z0"/>
    <w:qFormat/>
    <w:rPr>
      <w:sz w:val="24"/>
      <w:szCs w:val="24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4z0" w:customStyle="1">
    <w:name w:val="WW8Num4z0"/>
    <w:qFormat/>
    <w:rPr>
      <w:sz w:val="24"/>
      <w:szCs w:val="24"/>
      <w:lang w:val="es-ES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Fuentedeprrafopredeter2" w:customStyle="1">
    <w:name w:val="Fuente de párrafo predeter.2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Fuentedeprrafopredeter1" w:customStyle="1">
    <w:name w:val="Fuente de párrafo predeter.1"/>
    <w:qFormat/>
    <w:rPr/>
  </w:style>
  <w:style w:type="character" w:styleId="t71" w:customStyle="1">
    <w:name w:val="t71"/>
    <w:qFormat/>
    <w:rPr>
      <w:rFonts w:ascii="Arial" w:hAnsi="Arial" w:cs="Arial"/>
      <w:sz w:val="22"/>
      <w:szCs w:val="22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/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Descripcin1" w:customStyle="1">
    <w:name w:val="Descripción1"/>
    <w:basedOn w:val="Normal"/>
    <w:qFormat/>
    <w:pPr>
      <w:suppressLineNumbers/>
      <w:spacing w:before="120" w:after="120"/>
    </w:pPr>
    <w:rPr>
      <w:i/>
      <w:iCs/>
    </w:rPr>
  </w:style>
  <w:style w:type="paragraph" w:styleId="Encabezado1" w:customStyle="1">
    <w:name w:val="Encabezado1"/>
    <w:basedOn w:val="Normal"/>
    <w:next w:val="BodyText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Etiqueta" w:customStyle="1">
    <w:name w:val="Etiqueta"/>
    <w:basedOn w:val="Normal"/>
    <w:qFormat/>
    <w:pPr>
      <w:suppressLineNumbers/>
      <w:spacing w:before="120" w:after="120"/>
    </w:pPr>
    <w:rPr>
      <w:i/>
      <w:iCs/>
    </w:rPr>
  </w:style>
  <w:style w:type="paragraph" w:styleId="t4" w:customStyle="1">
    <w:name w:val="t4"/>
    <w:basedOn w:val="Normal"/>
    <w:qFormat/>
    <w:pPr>
      <w:jc w:val="both"/>
    </w:pPr>
    <w:rPr/>
  </w:style>
  <w:style w:type="numbering" w:styleId="Ningunalistauser" w:default="1">
    <w:name w:val="Ninguna lista (user)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LibreOffice/25.2.4.3$Windows_X86_64 LibreOffice_project/33e196637044ead23f5c3226cde09b47731f7e27</Application>
  <AppVersion>15.0000</AppVersion>
  <Pages>6</Pages>
  <Words>1671</Words>
  <Characters>8936</Characters>
  <CharactersWithSpaces>10705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2024-06-06T09:59:00Z</dcterms:created>
  <dc:creator/>
  <dc:description/>
  <dc:language>es-ES</dc:language>
  <cp:lastModifiedBy/>
  <cp:lastPrinted>2025-05-15T08:47:37Z</cp:lastPrinted>
  <dcterms:modified xsi:type="dcterms:W3CDTF">2025-07-31T12:21:26Z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