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BASES REGULADORAS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 D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AS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 SUBVENCIÓNS DE CONCORRENCIA COMPETITIVA PARA ANPAS DE CENTROS ESCOLARES DO CONCELLO DE RIANXO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BASE 1.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OBXECTO, FINALIDADE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E FINALIDADE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Estas bases teñen por finalidade rexer a concesión das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axudas en réxime de concorrencia competitiva para colaborar nos gastos derivados das actividades das asociacións de nais e pais de alumnado dos centros públicos de educación primaria e do instituto público de educación secundaria durante o exercicio 2025.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 finalidade deste programa é potenciar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as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actividades formativas e outro tipo de actividades de crecemento e desenvolvemento persoal baseado en valores, como complemento da educación, favorecendo a participación das familias na vida escolar.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Entre os obxectivos específicos están impulsar as actividades de conciliación familiar e de encontro entre o alumnado e as familias, así como favorecer a inclusión e a igualdade de oportunidades entre o alumnado.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2. FINANCIAMENTO DAS AXUDAS.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O gasto derivado destas axudas imputarase á aplicación orzamentaria 231.48900 do orzamento municipal vixente do Concello de Rianxo. O importe máximo determinarase coa aprobación da convocatoria.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3. ENTIDADES BENEFICIARIAS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 E REQUISITOS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3.1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Poderán acollerse a estas axudas as asociacións de nais e pais (ANPAS) do alumnado dos centros públicos de educación primaria e do instituto público de educación secundaria do Concello de Rianxo.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3.2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As entidades beneficiarias deberán cumprir, en todo caso, os requisitos e obrigas esixidos nos artigos 13 e 14 da Lei 38/2003, do 17 de novembro, xeral de subvencións.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3.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3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É obrigatorio o cumprimento de todos os requisitos citados á finalización da presentación da solicitude. Non cumprir os requisitos dará lugar á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súa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exclusión.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4. OBRIGAS DAS ENTIDADES BENEFICIARIAS.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Así mesmo, as entidades beneficiarias da axudas adquirirán as seguintes obrigas: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Cumprir cos proxectos ou actividades que fundamentaron a concesión da axuda.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Xustificar ante o Concello de Rianxo o cumprimento dos requisitos e condicións, así como a realización da actividade e finalidade que determine a concesión da axuda.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Someterse ás actuación de comprobación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realizadas polo Concello de Rianxo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, no seu caso, así como calquera outra de comprobación e control financeiro que poidan realizar os órganos de control competentes, aportando canta información lle sexa requirida no exercicio das actuacións anteriores.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Conservar os documentos xustificativos da aplicación dos fondos recibidos, incluídos os documentos electrónicos, en tanto poidan ser obxecto das actuacións de comprobación e control.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Cumprir co trámite de aceptación da axuda.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As entidades beneficiarias das subvencións quedan obrigadas a facer constar a colaboración prestad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a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polo Concello de Rianxo mediante o logotipo en toda a información (impresa, informática,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radiofónica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e audiovisual) que se faga das actividades subvencionadas e na súa páxina web,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no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caso de tela.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Baseados na Lei 3/1983, de 15 de xuño, de normalización lingüística de Galicia, a presentación da documentación deberá realizarse en galego.</w:t>
      </w:r>
    </w:p>
    <w:p>
      <w:pPr>
        <w:pStyle w:val="BodyText"/>
        <w:numPr>
          <w:ilvl w:val="0"/>
          <w:numId w:val="2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Se a entidade beneficiaria, polo motivo que sexa, decidira non levar a cabo o proxecto/actividade para a que lle foi concedida a axuda, deberá presentar por rexistro a renuncia expresa á citada axuda.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No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caso de que xa lles fose feito algún pago por ese concepto, deberá devolver o importe íntegro recibido, engadindo o xustificante da devolución á comunicación da renuncia.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BASE 5.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C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RITERIO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S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 DE BAREMACIÓN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E CONTÍA DAS AXUDAS.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5.1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O crédito orzamentario indicado distribuirase en función da puntuación obtida na baremación segundo os criterios establecidos nesta convocatoria cun máximo de 30 puntos.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Familias asociadas (máximo 10 puntos):</w:t>
      </w:r>
    </w:p>
    <w:tbl>
      <w:tblPr>
        <w:tblW w:w="9638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280"/>
        <w:gridCol w:w="1358"/>
      </w:tblGrid>
      <w:tr>
        <w:trPr/>
        <w:tc>
          <w:tcPr>
            <w:tcW w:w="8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Por cada familia asociada que conste na entidade na data da solicitude</w:t>
            </w:r>
          </w:p>
        </w:tc>
        <w:tc>
          <w:tcPr>
            <w:tcW w:w="13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0,1 punto</w:t>
            </w:r>
          </w:p>
        </w:tc>
      </w:tr>
    </w:tbl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B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Proxecto de actividades (máximo 15 puntos):</w:t>
      </w:r>
    </w:p>
    <w:tbl>
      <w:tblPr>
        <w:tblW w:w="9638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280"/>
        <w:gridCol w:w="1358"/>
      </w:tblGrid>
      <w:tr>
        <w:trPr/>
        <w:tc>
          <w:tcPr>
            <w:tcW w:w="8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Realizar polo menos unha actividade que favoreza a conciliación familiar (1) desenvolvéndose no recinto do centro escolar</w:t>
            </w:r>
          </w:p>
        </w:tc>
        <w:tc>
          <w:tcPr>
            <w:tcW w:w="13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5 puntos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Xestionar 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i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ntegramente o comedor escolar do centro para un número de alumnos e alumnas superior a 20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10 puntos</w:t>
            </w:r>
          </w:p>
        </w:tc>
      </w:tr>
      <w:tr>
        <w:trPr>
          <w:trHeight w:val="887" w:hRule="atLeast"/>
        </w:trPr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Xestionar integramente o comedor escola do centro para un número de alumnos e </w:t>
            </w:r>
          </w:p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alumnas inferior a 20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5 puntos</w:t>
            </w:r>
          </w:p>
        </w:tc>
      </w:tr>
    </w:tbl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(1) Entendendo por conciliación familiar no ámbito escolar a capacidade para equilibrar as responsabilidades laborais e familiares coas necesidades e demandas escolares dos fillos/as. Isto implica a necesidade de implementar servizos educativos antes e despois do horario escolar (por exemplo, actividades extraescolares) e incluso en días non lectivos durante o período vacacional (campamentos, etc.).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Carácter social dos proxecto (máximo 5 puntos): </w:t>
      </w:r>
    </w:p>
    <w:tbl>
      <w:tblPr>
        <w:tblW w:w="9638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280"/>
        <w:gridCol w:w="1358"/>
      </w:tblGrid>
      <w:tr>
        <w:trPr/>
        <w:tc>
          <w:tcPr>
            <w:tcW w:w="8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Actividades inclusivas para a diversidade funcional e de integración escolar para o alumnado con necesidades especiais</w:t>
            </w:r>
          </w:p>
        </w:tc>
        <w:tc>
          <w:tcPr>
            <w:tcW w:w="13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 punto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Actividades de coeducación que promovan a igualdade entre homes e mulleres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 punto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Actividades para a promoción da convivencia e prevención do acoso escolar/ciberbulling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 punto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Actividades encadradas no eido da educación ambiental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 punto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Actividades que promovan o uso do galego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 punto</w:t>
            </w:r>
          </w:p>
        </w:tc>
      </w:tr>
    </w:tbl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Unha mesma actividade pode obter puntuación en varios apartados.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D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Participación na programación municipal (máximo 5 puntos): </w:t>
      </w:r>
    </w:p>
    <w:tbl>
      <w:tblPr>
        <w:tblW w:w="9638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280"/>
        <w:gridCol w:w="1358"/>
      </w:tblGrid>
      <w:tr>
        <w:trPr/>
        <w:tc>
          <w:tcPr>
            <w:tcW w:w="8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Participar polo menos nunha actividade da programación municipal (Actos Castelao, Día de Rosalía, Letras Galegas, etc.).</w:t>
            </w:r>
          </w:p>
        </w:tc>
        <w:tc>
          <w:tcPr>
            <w:tcW w:w="13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5 puntos</w:t>
            </w:r>
          </w:p>
        </w:tc>
      </w:tr>
    </w:tbl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 participación na programación municipal debe ter lugar dentro do período subvencionable; isto é, o exercicio 2025.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5.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2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contía das axudas atenderá ao seguinte baremo:</w:t>
      </w:r>
    </w:p>
    <w:tbl>
      <w:tblPr>
        <w:tblW w:w="9638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8280"/>
        <w:gridCol w:w="1358"/>
      </w:tblGrid>
      <w:tr>
        <w:trPr/>
        <w:tc>
          <w:tcPr>
            <w:tcW w:w="8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Entidades que obteñan máis de 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30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 puntos</w:t>
            </w:r>
          </w:p>
        </w:tc>
        <w:tc>
          <w:tcPr>
            <w:tcW w:w="13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2.000 €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Entidades que obteñan entre 2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5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 e 29,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99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 puntos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1.5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00 €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Entidades que obteñan entre 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2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0 e 2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4,99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 puntos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1.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0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00 €</w:t>
            </w:r>
          </w:p>
        </w:tc>
      </w:tr>
      <w:tr>
        <w:trPr/>
        <w:tc>
          <w:tcPr>
            <w:tcW w:w="828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both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Entidades que obteñan 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entre 10 e 19,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99</w:t>
            </w: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 xml:space="preserve"> puntos</w:t>
            </w:r>
          </w:p>
        </w:tc>
        <w:tc>
          <w:tcPr>
            <w:tcW w:w="13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spacing w:lineRule="auto" w:line="240" w:before="57" w:after="57"/>
              <w:jc w:val="center"/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</w:pPr>
            <w:r>
              <w:rPr>
                <w:rFonts w:ascii="Noto Sans" w:hAnsi="Noto Sans"/>
                <w:sz w:val="21"/>
                <w:szCs w:val="21"/>
                <w:shd w:fill="auto" w:val="clear"/>
                <w:lang w:val="gl-ES"/>
              </w:rPr>
              <w:t>500 €</w:t>
            </w:r>
          </w:p>
        </w:tc>
      </w:tr>
    </w:tbl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5.3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En calquera caso, o importe da subvención non poderá superar os gastos xustificados.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5.4 No caso de concorrencia con outros ingresos para a mesma finalidade, a suma de todos eles non poderá superar o custo das actividades subvencionadas.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BBE33D" w:val="clear"/>
          <w:lang w:val="gl-ES"/>
        </w:rPr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5.5 No caso de que a proposta das axudas supere o crédito da convocatoria,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concederase as subvencións propostas ás entidades que obtivesen maior puntuación ata esgotar o crédito orzamentario.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BASE 6.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PRAZO E FORMA DE PRESENTACIÓN DAS SOLICITUDES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6.1 As bases reguladoras das axudas publicaranse no BOP, na Base de Datos Nacional de Subvencións (BDNS) e no taboleiro de anuncios da sede electrónica, sen prexuízo doutros medios de publicidade como bandos informativos. Asemade, publicarase un extracto da convocatoria no BOP a través da BDNS.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6.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2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O prazo de presentación de solicitudes será de 15 días hábiles desde o día seguinte á publicación do extracto da convocatoria no Boletín Oficial da Provincia.</w:t>
      </w:r>
    </w:p>
    <w:p>
      <w:pPr>
        <w:pStyle w:val="BodyText"/>
        <w:jc w:val="both"/>
        <w:rPr>
          <w:rFonts w:ascii="Noto Sans" w:hAnsi="Noto Sans"/>
          <w:sz w:val="21"/>
          <w:szCs w:val="21"/>
          <w:lang w:val="gl-ES"/>
        </w:rPr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6.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3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En cumprimento do disposto no artigo 14.2 e 14.3 da Lei 39/2015, de 1 de outubro, do Procedemento Administrativo Común das Administracións Públicas, as solicitudes de axuda reguladas na presente convocatoria serán presentadas telem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a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ticamente a través da sede electrónica do Concello de Rianxo empregando o formulario habilitado a tal fin dispoñibles na páxina web municipal.</w:t>
      </w:r>
    </w:p>
    <w:p>
      <w:pPr>
        <w:pStyle w:val="BodyText"/>
        <w:jc w:val="both"/>
        <w:rPr>
          <w:rFonts w:ascii="Noto Sans" w:hAnsi="Noto Sans"/>
          <w:sz w:val="21"/>
          <w:szCs w:val="21"/>
          <w:lang w:val="gl-ES"/>
        </w:rPr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De conformidade co artigo 68.4 da Lei 39/2015, do 1 de outubro, do procedemento administrativo común das Administracións Públicas, se algunha das entidades presenta a súa solicitude presencialmente, requiriráselle para que a emenda a través da súa presentación electrónica. A estes efectos, considerarase como data de presentación da solicitude aquela na que se realizase a emenda.</w:t>
      </w:r>
    </w:p>
    <w:p>
      <w:pPr>
        <w:pStyle w:val="BodyText"/>
        <w:jc w:val="both"/>
        <w:rPr>
          <w:rFonts w:ascii="Noto Sans" w:hAnsi="Noto Sans"/>
          <w:sz w:val="21"/>
          <w:szCs w:val="21"/>
          <w:lang w:val="gl-ES"/>
        </w:rPr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6.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4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Para participar na convocatoria deberá presentarse a seguinte documentación:</w:t>
      </w:r>
    </w:p>
    <w:p>
      <w:pPr>
        <w:pStyle w:val="BodyText"/>
        <w:numPr>
          <w:ilvl w:val="0"/>
          <w:numId w:val="3"/>
        </w:numPr>
        <w:jc w:val="both"/>
        <w:rPr/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 xml:space="preserve">Modelo de solicitude asinado pola persoa representante da entidade cun certificado dixital de representante 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(anexo 0).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Memoria de actividades (anexo I).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hd w:fill="auto" w:val="clear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Orzamento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dos ingresos e gastos estimados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das actividades (anexo II).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Declaración responsable do cumprimento de requisitos e das obrigas esixidas nestas bases (anexo III).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Certificación do/a secretario/a da entidade do nomeamento dos cargos da entidade (anexo IV).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Certificación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e declaración responsable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dos criterios de baremación (anexos V.A e V.B).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As entidades que xestionen integramente o comedor escolar deberán presentar a documentación acreditativa que xustifique o número de menús servidos en dous meses previos á solicitude,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como mínimo,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dentro do exercicio 2025. Para estes efectos servirán facturas, liquidacións de taxas desagregadas e outra documentación que permita verificar este extremo.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Fotocopia da tarxeta do CIF da entidade e do NIF da persoa representante.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hd w:fill="auto" w:val="clear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Estatutos da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entidade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.</w:t>
      </w:r>
    </w:p>
    <w:p>
      <w:pPr>
        <w:pStyle w:val="BodyText"/>
        <w:numPr>
          <w:ilvl w:val="0"/>
          <w:numId w:val="4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No caso de que o concello non teña rexistrado na contabilidade municipal a conta bancaria no que a entidade quere que se abone a axuda: o certificado da dita conta bancaria, expedido e asinado pola entidade financeira.</w:t>
      </w:r>
    </w:p>
    <w:p>
      <w:pPr>
        <w:pStyle w:val="BodyText"/>
        <w:jc w:val="both"/>
        <w:rPr>
          <w:rFonts w:ascii="Noto Sans" w:hAnsi="Noto Sans"/>
          <w:shd w:fill="auto" w:val="clear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6.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5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No caso de que a entidade dispoña dos gastos suficientes para presentar a conta xustificativa no momento da solicitude, poderá achegala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con esta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A documentación é a prevista na base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8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. Neste caso, non será necesario que se acheguen coa solicitude os anexos I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nin II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7. COMPETENCIA E PROCEDEMENTO DE TRAMITACIÓN.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7.1 Na fase de instrución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participarán os seguintes órganos:</w:t>
      </w:r>
    </w:p>
    <w:p>
      <w:pPr>
        <w:pStyle w:val="BodyText"/>
        <w:numPr>
          <w:ilvl w:val="0"/>
          <w:numId w:val="5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Ó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rgano instrutor: a educadora familiar e, subsidiariamente, unha técnica do Departamento de Servizos Sociais.</w:t>
      </w:r>
    </w:p>
    <w:p>
      <w:pPr>
        <w:pStyle w:val="BodyText"/>
        <w:numPr>
          <w:ilvl w:val="0"/>
          <w:numId w:val="5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Ó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rgano avaliador: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a Comisión Avaliadora formada pola concelleira e dúas técnicas do Departamento de Servizos Sociais.</w:t>
      </w:r>
    </w:p>
    <w:p>
      <w:pPr>
        <w:pStyle w:val="BodyText"/>
        <w:numPr>
          <w:ilvl w:val="0"/>
          <w:numId w:val="5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Órgano concedente: a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Xunta de Goberno Local.</w:t>
      </w:r>
    </w:p>
    <w:p>
      <w:pPr>
        <w:pStyle w:val="BodyText"/>
        <w:jc w:val="both"/>
        <w:rPr>
          <w:rFonts w:ascii="Noto Sans" w:hAnsi="Noto Sans"/>
          <w:shd w:fill="auto" w:val="clear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7.2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Se a solicitude non está debidamente cuberta ou non se presenta a documentación esixida, o órgano instrutor requiriralle á entidade solicitante a súa emenda no prazo de 10 días hábiles, coa advertencia de que, de non facelo, considerase que desistiu da súa solicitude.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Por tratarse dun procedemento de concorrencia competitiva, segundo o artigo 45 da Lei 39/2015, do 1 de outubro, os requirimentos de emenda realiz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aranse no taboleiro de anuncios da sede electrónica municipal. A dita publicación indicará a relación de solicitudes, coas deficiencias detectadas, co fin de que a entidade afectada presente a emenda no prazo de 10 días hábiles a contar desde o día seguinte ao da publicación.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7.3 Sen prexuízo do disposto no parágrafo anterior, en calquera fase do procedemento anterior á proposta de resolución, poderáselle requirir á entidade solicitante qu presente e documentación complementaria que se considere conveniente para a correcta definición, avaliación e comprobación da solicitude presentada.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7.4 Transcorrido o prazo de emenda, o órgano instrutor comprobará a documentación presentada e elaborará a listaxe de solicitudes que cumpren os requisitos para acceder ás axudas. Estas serán as solicitudes que pasarán á fase de valoración.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7.5 A Comisión de Valoración deberá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outorgar unha puntuación ás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solicitudes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que cumpren cos requisitos,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conforme aos criterios da base 5.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O resultado da avaliación recollerase nunha acta que incluirá as puntuacións outorgadas, desagregadas por cada un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dos criterios e subcriterios,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as actividades subvencionadas, o importe da axuda proposta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 o do gasto a xustificar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. Asi mesmo, recollerá as solicitudes que non pasaron á fase de valoración e os motivos d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is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7.6 O órgano instrutor, á vista do resultado da avaliación da Comisión de Valoración, elaborará unha proposta de acordo co seguinte contido:</w:t>
      </w:r>
    </w:p>
    <w:p>
      <w:pPr>
        <w:pStyle w:val="BodyText"/>
        <w:numPr>
          <w:ilvl w:val="0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 relación de solicitudes denegadas, coa indicación do motivo.</w:t>
      </w:r>
    </w:p>
    <w:p>
      <w:pPr>
        <w:pStyle w:val="BodyText"/>
        <w:numPr>
          <w:ilvl w:val="0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A  relación de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solicitudes admitidas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ordenadas de maior a menor puntuación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con:</w:t>
      </w:r>
    </w:p>
    <w:p>
      <w:pPr>
        <w:pStyle w:val="BodyText"/>
        <w:numPr>
          <w:ilvl w:val="1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Indicación expresa de que reúnen os requisitos para ser beneficiarias das axudas.</w:t>
      </w:r>
    </w:p>
    <w:p>
      <w:pPr>
        <w:pStyle w:val="BodyText"/>
        <w:numPr>
          <w:ilvl w:val="1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Puntuación obtida, desagregada por cada un dos criterios e subcriterios.</w:t>
      </w:r>
    </w:p>
    <w:p>
      <w:pPr>
        <w:pStyle w:val="BodyText"/>
        <w:numPr>
          <w:ilvl w:val="1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Actividades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subvencionadas.</w:t>
      </w:r>
    </w:p>
    <w:p>
      <w:pPr>
        <w:pStyle w:val="BodyText"/>
        <w:numPr>
          <w:ilvl w:val="1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Importe da axuda proposta.</w:t>
      </w:r>
    </w:p>
    <w:p>
      <w:pPr>
        <w:pStyle w:val="BodyText"/>
        <w:numPr>
          <w:ilvl w:val="0"/>
          <w:numId w:val="6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A relación de solicitudes que presentaron a conta xustificativa e para as que procede o pago do 100 por cento da axuda outorgada, de acordo cos criterios previstos na base 8.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O dito informe elevarase á Xunta de Goberno Local para a resolución do procedemento.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7.7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Tras a fiscalización da proposta, a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Xunta de Goberno Local resolverá o procedemento no prazo de tres meses, contados a partir do día seguinte ao do remate do prazo de presentación de solicitudes. A resolución notificaráselle ás entidades solicitantes.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7.8. A resolución do procedemento porá fin á vía administrativa e contra ela poderase interpoñer o recurso contencioso-administrativo perante o Xulgado do Contencioso-Administrativo, no prazo de dous meses contados desde o seguinte ao da notificación da resolución ou no prazo de seis meses a contar desde o día seguinte á data na que poida entenderse desestimada a solicitude por silencio administrativo.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Con carácter potestativo, de conformidade co artigo 123 da Lei 39/2015, do 1 de outubro, de procedemento administrativo común, poderase interpoñer o recurso de reposición no prazo dun mes contado a partir do seguinte ao da notificación da resolución ou desde o seguinte a aquel no que a solicitude poida entenderse desestimada por silencio administrativo.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8. PAGO E XUSTIFICACIÓN DAS AXUDAS.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8.1 Tras a notificación do acordo de concesión, aboaráselle ás entidades beneficiarias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o 80 por cento da axuda concedida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.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O pago do 20 por cento restante farase efectivo tras a presentación da conta xustificativa, de acordo co disposto nos apartados seguintes.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8.2 O prazo para xustificar as axudas rematará o 31 de outubro de 2025.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No caso de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que a entidade dispoña dos gastos suficientes para presentar a conta xustificativa no momento da solicitude, poderá achegala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con esta.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Neste caso, non será necesario que se acheguen coa solicitude os anexos I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nin II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. 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8.3 Contido da conta xustificativa:</w:t>
      </w:r>
    </w:p>
    <w:p>
      <w:pPr>
        <w:pStyle w:val="BodyText"/>
        <w:numPr>
          <w:ilvl w:val="0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Declaración responsable (anexo VI).</w:t>
      </w:r>
    </w:p>
    <w:p>
      <w:pPr>
        <w:pStyle w:val="BodyText"/>
        <w:numPr>
          <w:ilvl w:val="0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Certificación de ingresos e gastos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efectivamente realizados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das actividades subvencionadas (anexo VII).</w:t>
      </w:r>
    </w:p>
    <w:p>
      <w:pPr>
        <w:pStyle w:val="BodyText"/>
        <w:numPr>
          <w:ilvl w:val="0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Copias das facturas relacionadas no anexo VII. </w:t>
      </w:r>
    </w:p>
    <w:p>
      <w:pPr>
        <w:pStyle w:val="BodyText"/>
        <w:numPr>
          <w:ilvl w:val="1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As facturas  deberán acadar, como mínimo, o importe da subvención concedida. </w:t>
      </w:r>
    </w:p>
    <w:p>
      <w:pPr>
        <w:pStyle w:val="BodyText"/>
        <w:numPr>
          <w:ilvl w:val="1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No caso das entidades que recibiron puntuación por xestionar integramente o comedor escolar, as facturas/liquidacións deberán indicar o número de menús. </w:t>
      </w:r>
    </w:p>
    <w:p>
      <w:pPr>
        <w:pStyle w:val="BodyText"/>
        <w:numPr>
          <w:ilvl w:val="1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No caso da obtención d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outros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ingresos para o mesmo fin, o importe das facturas deberá ascender á suma dos importes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deses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ingresos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e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a subvención municipal.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Para estes efectos teñen a consideración de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ingresos os pagos das familias polo comedor escolar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e polo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resto de actividades que inclúa a conta xustificativa.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Non teñen tal consideración as cotas ordinarias de socio que non están vinculadas a ningunha actividade específica.</w:t>
      </w:r>
    </w:p>
    <w:p>
      <w:pPr>
        <w:pStyle w:val="BodyText"/>
        <w:numPr>
          <w:ilvl w:val="0"/>
          <w:numId w:val="7"/>
        </w:numPr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Acreditación do cumprimento da obriga de publicidade.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8.4 Se da conta xustificativa despréndese que non se realizou algunha das actividades obxecto de puntuación na fase de valoración, recalcularase a subvención sen ter en conta os puntos obtidos por esas actuacións. No caso de que resulte unha subvención inferior á concedida acordarase a súa anulación, xunto coa aprobación da conta xustificativa. Aos efectos da xustificación consideraras a axuda minorada.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8.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>5</w:t>
      </w:r>
      <w:r>
        <w:rPr>
          <w:rStyle w:val="Fuentedeprrafopredeter"/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Non está permitido presentar contas xustificativas parciais, senón dunha única vez; ben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simultaneamente coa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solicitude, ben con posterioridade á concesión da subvención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e dentro do prazo da base 8.2.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8.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6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Regras específicas para as solicitudes que acheguen a conta xustificativa:</w:t>
      </w:r>
    </w:p>
    <w:p>
      <w:pPr>
        <w:pStyle w:val="BodyText"/>
        <w:numPr>
          <w:ilvl w:val="0"/>
          <w:numId w:val="8"/>
        </w:numPr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Para antes da resolución de concesión:</w:t>
      </w:r>
    </w:p>
    <w:p>
      <w:pPr>
        <w:pStyle w:val="BodyText"/>
        <w:numPr>
          <w:ilvl w:val="1"/>
          <w:numId w:val="8"/>
        </w:numPr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No caso de que os gastos correctamente xustificados sexan inferiores ao importe da axuda que correspondería segundo a base 5.2, o órgano instrutor notificaralle á entidade a dita circunstancia para que no prazo de emenda complete a conta xustificativa con maiores gastos. Se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a entidade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 non atende o dito requirimento, considerarase como gasto definitivamente xustificado o presentado correctamente coa solicitude. No caso de que atenda o requirimento pero non acade a xustificar o importe de axuda que se derive da base 5.2, considerase como gasto definitivamente xustificado a suma do que se presente de forma correcta na solicitude e na emenda. Non se requirirán máis emendas no caso de xustificación insuficiente.</w:t>
      </w:r>
    </w:p>
    <w:p>
      <w:pPr>
        <w:pStyle w:val="BodyText"/>
        <w:numPr>
          <w:ilvl w:val="1"/>
          <w:numId w:val="8"/>
        </w:numPr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O importe da subvención será o menor dos seguintes: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a 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contía prevista no baremo da base 5.2 e o importe correctamente xustificado.</w:t>
      </w:r>
    </w:p>
    <w:p>
      <w:pPr>
        <w:pStyle w:val="BodyText"/>
        <w:numPr>
          <w:ilvl w:val="0"/>
          <w:numId w:val="8"/>
        </w:numPr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P</w:t>
      </w: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ago: tras a resolución a da concesión aboaráselle á entidade a totalidade do importe da axuda outorgada.</w:t>
      </w:r>
    </w:p>
    <w:p>
      <w:pPr>
        <w:pStyle w:val="BodyText"/>
        <w:numPr>
          <w:ilvl w:val="0"/>
          <w:numId w:val="0"/>
        </w:numPr>
        <w:ind w:hanging="0" w:start="1080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BASE 9.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GASTOS SUBVENCIONABLES </w:t>
      </w: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E NON SUBVENCIONABLES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9.1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Considéranse gastos subvencionables os realizados no ano natural 2025 que de maneira indubitativa respondan á natureza da actividade subvencionable e se realicen no prazo establecido nesta convocatoria. Así, considéranse subvencionables: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 actividades extraescolares, entendendo como tales as desenvoltas fóra do horario lectivo con carácter estable ao longo dun período similar ao curso escolar dentro das instalacións educativas.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 actividades que fomenten a conciliación da vida laboral e familiar (por exemplo, o servizo de comedor), entendendo como tales aquelas que os centros educativos non ofrecen aos pais e nais durante a xornada lectiva.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 actividades que favorezan a realización de actuacións conxuntas entre a comunidade educativa.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derivados das actividades que desenvolvan actuacións de carácter integrados que promovan a inclusión, a convivencia e a igualdade na comunidade educativa.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derivados das actividades que promovan o uso da lingua galega na comunidade educativa.</w:t>
      </w:r>
    </w:p>
    <w:p>
      <w:pPr>
        <w:pStyle w:val="BodyText"/>
        <w:numPr>
          <w:ilvl w:val="0"/>
          <w:numId w:val="9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Gastos derivados das actividades que fomenten o respecto polo medioambiente na comunidade educativa.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9.2 Non son subvencionables os seguintes gastos:</w:t>
      </w:r>
    </w:p>
    <w:p>
      <w:pPr>
        <w:pStyle w:val="BodyText"/>
        <w:numPr>
          <w:ilvl w:val="0"/>
          <w:numId w:val="10"/>
        </w:numPr>
        <w:jc w:val="both"/>
        <w:rPr>
          <w:rFonts w:ascii="Noto Sans" w:hAnsi="Noto Sans"/>
          <w:shd w:fill="auto" w:val="clear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Gastos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de funcionamento da entidade (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subministros, mantemento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 alugueiro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das sedes das entidades,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gastos de xestoría,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 xml:space="preserve"> </w:t>
      </w:r>
      <w:r>
        <w:rPr>
          <w:rFonts w:ascii="Noto Sans" w:hAnsi="Noto Sans"/>
          <w:sz w:val="21"/>
          <w:szCs w:val="21"/>
          <w:shd w:fill="auto" w:val="clear"/>
          <w:lang w:val="gl-ES"/>
        </w:rPr>
        <w:t>etc.)</w:t>
      </w:r>
    </w:p>
    <w:p>
      <w:pPr>
        <w:pStyle w:val="BodyText"/>
        <w:numPr>
          <w:ilvl w:val="0"/>
          <w:numId w:val="11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Intereses debedores das contas bancarias, gastos bancarios e comisións.</w:t>
      </w:r>
    </w:p>
    <w:p>
      <w:pPr>
        <w:pStyle w:val="BodyText"/>
        <w:numPr>
          <w:ilvl w:val="0"/>
          <w:numId w:val="11"/>
        </w:numPr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  <w:t>Dietas, gastos de desprazamento.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>BASE 10. CAUSAS E PROCEDEMENTO DE REINTEGRO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10.1 </w:t>
      </w: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Os supostos de reintegro son os previstos no artigo 37 da Lei 39/2003, do 17 de novembro, xeral de subvencións, e no artigo 33 da Lei 9/2007, do 13 de xuño, de subvencións de Galicia.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10.2 O procedemento de reintegro da subvención, así como o réxime de infraccións e sanción, rexeranse polas disposicións xerais sobre procedementos administrativos previsto na Lei 39/2015, de 1 de outubro, do Procedemento Administrativo Común das Administracións Públicas, así como polas disposicións da Lei 9/2007, de 13 de xuño, de subvención de Galicia e normativa de desenvolvemento.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/>
          <w:bCs/>
          <w:sz w:val="21"/>
          <w:szCs w:val="21"/>
          <w:shd w:fill="auto" w:val="clear"/>
          <w:lang w:val="gl-ES"/>
        </w:rPr>
        <w:t xml:space="preserve">BASE 11. TRATAMENTO DE DATOS DE CARÁCTER PERSOAL. </w:t>
      </w:r>
    </w:p>
    <w:p>
      <w:pPr>
        <w:pStyle w:val="BodyText"/>
        <w:jc w:val="both"/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 xml:space="preserve">Os datos persoais que deban facilitar as entidades solicitantes das axudas só se empregarán para comprobar a concorrencia dos requisitos necesarios para obter estas axudas e serán tratados aos exclusivos efectos da concesión das mesmas, sendo responsable do tratamento dos datos o Concello de Rianxo. </w:t>
      </w:r>
    </w:p>
    <w:p>
      <w:pPr>
        <w:pStyle w:val="BodyText"/>
        <w:jc w:val="both"/>
        <w:rPr>
          <w:rFonts w:ascii="Noto Sans" w:hAnsi="Noto Sans"/>
          <w:sz w:val="21"/>
          <w:szCs w:val="21"/>
          <w:shd w:fill="auto" w:val="clear"/>
          <w:lang w:val="gl-ES"/>
        </w:rPr>
      </w:pPr>
      <w:r>
        <w:rPr>
          <w:rFonts w:ascii="Noto Sans" w:hAnsi="Noto Sans"/>
          <w:sz w:val="21"/>
          <w:szCs w:val="21"/>
          <w:shd w:fill="auto" w:val="clear"/>
          <w:lang w:val="gl-ES"/>
        </w:rPr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b/>
          <w:bCs/>
          <w:sz w:val="21"/>
          <w:szCs w:val="21"/>
          <w:shd w:fill="auto" w:val="clear"/>
          <w:lang w:val="gl-ES"/>
        </w:rPr>
        <w:t>BASE 12. RÉXIME XURÍDICO.</w:t>
      </w:r>
    </w:p>
    <w:p>
      <w:pPr>
        <w:pStyle w:val="BodyText"/>
        <w:jc w:val="both"/>
        <w:rPr/>
      </w:pPr>
      <w:r>
        <w:rPr>
          <w:rStyle w:val="Fuentedeprrafopredeter"/>
          <w:rFonts w:ascii="Noto Sans" w:hAnsi="Noto Sans"/>
          <w:b w:val="false"/>
          <w:bCs w:val="false"/>
          <w:sz w:val="21"/>
          <w:szCs w:val="21"/>
          <w:shd w:fill="auto" w:val="clear"/>
          <w:lang w:val="gl-ES"/>
        </w:rPr>
        <w:t>A normativa que regula a concesión destas axudas, no non establecido nestas bases será a establecida na Lei 39/2015, do 1 de outubro, do procedemento administrativo común das Administracións Públicas; na Lei 38/2003, do 17 de novembro, xeral de subvencións; no Real Decreto 887/2006, do 21 de xullo, polo que se aproba o regulamento xeral de subvencións; na Lei 9/2007, do 13 de xuño, de subvencións de Galicia e na Ordenanza reguladora de subvencións do Concello de Rianxo.</w:t>
      </w:r>
    </w:p>
    <w:p>
      <w:pPr>
        <w:pStyle w:val="BodyText"/>
        <w:jc w:val="both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BodyText"/>
        <w:jc w:val="both"/>
        <w:rPr>
          <w:rFonts w:ascii="Noto Sans" w:hAnsi="Noto Sans"/>
        </w:rPr>
      </w:pPr>
      <w:r>
        <w:rPr>
          <w:rFonts w:ascii="Noto Sans" w:hAnsi="Noto Sans"/>
        </w:rPr>
      </w:r>
    </w:p>
    <w:p>
      <w:pPr>
        <w:pStyle w:val="BodyText"/>
        <w:jc w:val="both"/>
        <w:rPr>
          <w:rFonts w:ascii="Noto Sans" w:hAnsi="Noto Sans"/>
        </w:rPr>
      </w:pPr>
      <w:r>
        <w:rPr>
          <w:rFonts w:ascii="Noto Sans" w:hAnsi="Noto Sans"/>
        </w:rPr>
        <w:t xml:space="preserve">Rianxo, mércores 23 de xullo de 2025 </w:t>
      </w:r>
    </w:p>
    <w:p>
      <w:pPr>
        <w:pStyle w:val="BodyText"/>
        <w:spacing w:before="0" w:after="140"/>
        <w:jc w:val="both"/>
        <w:rPr>
          <w:rFonts w:ascii="Noto Sans" w:hAnsi="Noto Sans"/>
        </w:rPr>
      </w:pPr>
      <w:r>
        <w:rPr>
          <w:rFonts w:ascii="Noto Sans" w:hAnsi="Noto Sans"/>
        </w:rPr>
        <w:t>O alcalde, Julián Bustelo Abuín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gutter="0" w:header="1134" w:top="1635" w:footer="567" w:bottom="130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Noto Sans">
    <w:altName w:val="Liberation Sans"/>
    <w:charset w:val="00" w:characterSet="windows-1252"/>
    <w:family w:val="swiss"/>
    <w:pitch w:val="variable"/>
  </w:font>
  <w:font w:name="OpenSymbol">
    <w:altName w:val="Arial Unicode MS"/>
    <w:charset w:val="02"/>
    <w:family w:val="auto"/>
    <w:pitch w:val="default"/>
  </w:font>
  <w:font w:name="Noto Sans">
    <w:charset w:val="00" w:characterSet="windows-1252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>
        <w:color w:val="999999"/>
      </w:rPr>
      <w:t xml:space="preserve">Páx. </w:t>
    </w:r>
    <w:r>
      <w:rPr>
        <w:color w:val="999999"/>
      </w:rPr>
      <w:fldChar w:fldCharType="begin"/>
    </w:r>
    <w:r>
      <w:rPr>
        <w:color w:val="999999"/>
      </w:rPr>
      <w:instrText xml:space="preserve"> PAGE </w:instrText>
    </w:r>
    <w:r>
      <w:rPr>
        <w:color w:val="999999"/>
      </w:rPr>
      <w:fldChar w:fldCharType="separate"/>
    </w:r>
    <w:r>
      <w:rPr>
        <w:color w:val="999999"/>
      </w:rPr>
      <w:t>9</w:t>
    </w:r>
    <w:r>
      <w:rPr>
        <w:color w:val="999999"/>
      </w:rPr>
      <w:fldChar w:fldCharType="end"/>
    </w:r>
    <w:r>
      <w:rPr>
        <w:color w:val="999999"/>
      </w:rPr>
      <w:t xml:space="preserve"> de </w:t>
    </w:r>
    <w:r>
      <w:rPr>
        <w:color w:val="999999"/>
      </w:rPr>
      <w:fldChar w:fldCharType="begin"/>
    </w:r>
    <w:r>
      <w:rPr>
        <w:color w:val="999999"/>
      </w:rPr>
      <w:instrText xml:space="preserve"> NUMPAGES \* ARABIC </w:instrText>
    </w:r>
    <w:r>
      <w:rPr>
        <w:color w:val="999999"/>
      </w:rPr>
      <w:fldChar w:fldCharType="separate"/>
    </w:r>
    <w:r>
      <w:rPr>
        <w:color w:val="999999"/>
      </w:rPr>
      <w:t>9</w:t>
    </w:r>
    <w:r>
      <w:rPr>
        <w:color w:val="999999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color w:val="999999"/>
      </w:rPr>
    </w:pPr>
    <w:r>
      <w:rPr>
        <w:color w:val="999999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b/>
        <w:bCs/>
      </w:rPr>
    </w:pP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617980" cy="434340"/>
          <wp:effectExtent l="0" t="0" r="0" b="0"/>
          <wp:wrapSquare wrapText="largest"/>
          <wp:docPr id="1" name="Imaxe1 Copia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1 Copia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7980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posOffset>2221865</wp:posOffset>
          </wp:positionH>
          <wp:positionV relativeFrom="paragraph">
            <wp:posOffset>-64770</wp:posOffset>
          </wp:positionV>
          <wp:extent cx="1614805" cy="717550"/>
          <wp:effectExtent l="0" t="0" r="0" b="0"/>
          <wp:wrapSquare wrapText="largest"/>
          <wp:docPr id="2" name="Image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" descr="" titl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2" t="-26" r="-12" b="-26"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</w:rPr>
      <w:t>Con</w:t>
    </w:r>
    <w:r>
      <w:rPr>
        <w:b/>
        <w:bCs/>
      </w:rPr>
      <w:t>cello de Rianxo</w:t>
    </w:r>
  </w:p>
  <w:p>
    <w:pPr>
      <w:pStyle w:val="Header"/>
      <w:rPr/>
    </w:pPr>
    <w:r>
      <w:rPr/>
      <w:t>Praza Castelao 1, 15920 Rianxo</w:t>
    </w:r>
  </w:p>
  <w:p>
    <w:pPr>
      <w:pStyle w:val="Header"/>
      <w:rPr/>
    </w:pPr>
    <w:r>
      <w:rPr>
        <w:b/>
        <w:bCs/>
      </w:rPr>
      <w:t>Tel.</w:t>
    </w:r>
    <w:r>
      <w:rPr/>
      <w:t xml:space="preserve"> 981 86 00 75 </w:t>
    </w:r>
    <w:r>
      <w:rPr>
        <w:b/>
        <w:bCs/>
      </w:rPr>
      <w:t>Fax</w:t>
    </w:r>
    <w:r>
      <w:rPr/>
      <w:t xml:space="preserve"> 981 86 66 28</w:t>
    </w:r>
  </w:p>
  <w:p>
    <w:pPr>
      <w:pStyle w:val="Header"/>
      <w:rPr/>
    </w:pPr>
    <w:r>
      <w:rPr/>
      <w:t>rianxo</w:t>
    </w:r>
    <w:r>
      <w:rPr>
        <w:b/>
        <w:bCs/>
      </w:rPr>
      <w:t>.gal</w:t>
    </w:r>
    <w:r>
      <w:rPr/>
      <w:t xml:space="preserve"> concelloderianxo</w:t>
    </w:r>
    <w:r>
      <w:rPr>
        <w:b/>
        <w:bCs/>
      </w:rPr>
      <w:t>.gal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432" w:hanging="432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576" w:hanging="576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720" w:hanging="72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864" w:hanging="864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1008" w:hanging="1008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1152" w:hanging="1152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1296" w:hanging="1296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1440" w:hanging="144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1584" w:hanging="1584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73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Noto Sans;Liberation Sans" w:hAnsi="Noto Sans;Liberation Sans" w:eastAsia="Source Han Sans CN Regular" w:cs="Lohit Devanagari"/>
      <w:color w:val="auto"/>
      <w:kern w:val="2"/>
      <w:sz w:val="21"/>
      <w:szCs w:val="24"/>
      <w:lang w:val="gl-ES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bidi w:val="0"/>
      <w:spacing w:before="240" w:after="120"/>
      <w:ind w:hanging="0" w:start="0" w:end="0"/>
      <w:outlineLvl w:val="0"/>
    </w:pPr>
    <w:rPr>
      <w:b w:val="false"/>
      <w:bCs/>
      <w:caps/>
      <w:sz w:val="21"/>
      <w:szCs w:val="36"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bidi w:val="0"/>
      <w:spacing w:before="200" w:after="120"/>
      <w:ind w:hanging="0" w:start="0" w:end="0"/>
      <w:outlineLvl w:val="1"/>
    </w:pPr>
    <w:rPr>
      <w:b/>
      <w:bCs/>
      <w:sz w:val="21"/>
      <w:szCs w:val="32"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bidi w:val="0"/>
      <w:spacing w:before="140" w:after="120"/>
      <w:outlineLvl w:val="2"/>
    </w:pPr>
    <w:rPr>
      <w:b w:val="false"/>
      <w:bCs/>
      <w:i w:val="false"/>
      <w:sz w:val="21"/>
      <w:szCs w:val="28"/>
      <w:u w:val="single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0"/>
      <w:szCs w:val="27"/>
    </w:rPr>
  </w:style>
  <w:style w:type="paragraph" w:styleId="Heading5">
    <w:name w:val="heading 5"/>
    <w:basedOn w:val="Ttulo"/>
    <w:next w:val="BodyText"/>
    <w:qFormat/>
    <w:pPr>
      <w:numPr>
        <w:ilvl w:val="4"/>
        <w:numId w:val="1"/>
      </w:numPr>
      <w:spacing w:before="120" w:after="60"/>
      <w:outlineLvl w:val="4"/>
    </w:pPr>
    <w:rPr>
      <w:b/>
      <w:bCs/>
      <w:sz w:val="18"/>
      <w:szCs w:val="24"/>
    </w:rPr>
  </w:style>
  <w:style w:type="paragraph" w:styleId="Heading6">
    <w:name w:val="heading 6"/>
    <w:basedOn w:val="Ttulo"/>
    <w:next w:val="BodyText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18"/>
      <w:szCs w:val="24"/>
    </w:rPr>
  </w:style>
  <w:style w:type="paragraph" w:styleId="Heading7">
    <w:name w:val="heading 7"/>
    <w:basedOn w:val="Ttulo"/>
    <w:next w:val="BodyText"/>
    <w:qFormat/>
    <w:pPr>
      <w:numPr>
        <w:ilvl w:val="6"/>
        <w:numId w:val="1"/>
      </w:numPr>
      <w:spacing w:before="60" w:after="60"/>
      <w:outlineLvl w:val="6"/>
    </w:pPr>
    <w:rPr>
      <w:b/>
      <w:bCs/>
      <w:sz w:val="17"/>
      <w:szCs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mbolosdenumeracin">
    <w:name w:val="Símbolos de numeración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uentedeprrafopredeter">
    <w:name w:val="Fuente de párrafo predeter."/>
    <w:qFormat/>
    <w:rPr/>
  </w:style>
  <w:style w:type="character" w:styleId="WWCharLFO2LVL1">
    <w:name w:val="WW_CharLFO2LVL1"/>
    <w:qFormat/>
    <w:rPr>
      <w:rFonts w:ascii="OpenSymbol" w:hAnsi="OpenSymbol" w:eastAsia="OpenSymbol" w:cs="OpenSymbol"/>
    </w:rPr>
  </w:style>
  <w:style w:type="character" w:styleId="WWCharLFO2LVL2">
    <w:name w:val="WW_CharLFO2LVL2"/>
    <w:qFormat/>
    <w:rPr>
      <w:rFonts w:ascii="OpenSymbol" w:hAnsi="OpenSymbol" w:eastAsia="OpenSymbol" w:cs="OpenSymbol"/>
    </w:rPr>
  </w:style>
  <w:style w:type="character" w:styleId="WWCharLFO2LVL3">
    <w:name w:val="WW_CharLFO2LVL3"/>
    <w:qFormat/>
    <w:rPr>
      <w:rFonts w:ascii="OpenSymbol" w:hAnsi="OpenSymbol" w:eastAsia="OpenSymbol" w:cs="OpenSymbol"/>
    </w:rPr>
  </w:style>
  <w:style w:type="character" w:styleId="WWCharLFO2LVL4">
    <w:name w:val="WW_CharLFO2LVL4"/>
    <w:qFormat/>
    <w:rPr>
      <w:rFonts w:ascii="OpenSymbol" w:hAnsi="OpenSymbol" w:eastAsia="OpenSymbol" w:cs="OpenSymbol"/>
    </w:rPr>
  </w:style>
  <w:style w:type="character" w:styleId="WWCharLFO2LVL5">
    <w:name w:val="WW_CharLFO2LVL5"/>
    <w:qFormat/>
    <w:rPr>
      <w:rFonts w:ascii="OpenSymbol" w:hAnsi="OpenSymbol" w:eastAsia="OpenSymbol" w:cs="OpenSymbol"/>
    </w:rPr>
  </w:style>
  <w:style w:type="character" w:styleId="WWCharLFO2LVL6">
    <w:name w:val="WW_CharLFO2LVL6"/>
    <w:qFormat/>
    <w:rPr>
      <w:rFonts w:ascii="OpenSymbol" w:hAnsi="OpenSymbol" w:eastAsia="OpenSymbol" w:cs="OpenSymbol"/>
    </w:rPr>
  </w:style>
  <w:style w:type="character" w:styleId="WWCharLFO2LVL7">
    <w:name w:val="WW_CharLFO2LVL7"/>
    <w:qFormat/>
    <w:rPr>
      <w:rFonts w:ascii="OpenSymbol" w:hAnsi="OpenSymbol" w:eastAsia="OpenSymbol" w:cs="OpenSymbol"/>
    </w:rPr>
  </w:style>
  <w:style w:type="character" w:styleId="WWCharLFO2LVL8">
    <w:name w:val="WW_CharLFO2LVL8"/>
    <w:qFormat/>
    <w:rPr>
      <w:rFonts w:ascii="OpenSymbol" w:hAnsi="OpenSymbol" w:eastAsia="OpenSymbol" w:cs="OpenSymbol"/>
    </w:rPr>
  </w:style>
  <w:style w:type="character" w:styleId="WWCharLFO2LVL9">
    <w:name w:val="WW_CharLFO2LVL9"/>
    <w:qFormat/>
    <w:rPr>
      <w:rFonts w:ascii="OpenSymbol" w:hAnsi="OpenSymbol" w:eastAsia="OpenSymbol" w:cs="OpenSymbol"/>
    </w:rPr>
  </w:style>
  <w:style w:type="character" w:styleId="Bolos">
    <w:name w:val="Bolos"/>
    <w:qFormat/>
    <w:rPr>
      <w:rFonts w:ascii="OpenSymbol;Arial Unicode MS" w:hAnsi="OpenSymbol;Arial Unicode MS" w:eastAsia="OpenSymbol;Arial Unicode MS" w:cs="OpenSymbol;Arial Unicode MS"/>
    </w:rPr>
  </w:style>
  <w:style w:type="character" w:styleId="WWCharLFO4LVL1">
    <w:name w:val="WW_CharLFO4LVL1"/>
    <w:qFormat/>
    <w:rPr>
      <w:rFonts w:ascii="OpenSymbol" w:hAnsi="OpenSymbol" w:eastAsia="OpenSymbol" w:cs="OpenSymbol"/>
    </w:rPr>
  </w:style>
  <w:style w:type="character" w:styleId="WWCharLFO4LVL2">
    <w:name w:val="WW_CharLFO4LVL2"/>
    <w:qFormat/>
    <w:rPr>
      <w:rFonts w:ascii="OpenSymbol" w:hAnsi="OpenSymbol" w:eastAsia="OpenSymbol" w:cs="OpenSymbol"/>
    </w:rPr>
  </w:style>
  <w:style w:type="character" w:styleId="WWCharLFO4LVL3">
    <w:name w:val="WW_CharLFO4LVL3"/>
    <w:qFormat/>
    <w:rPr>
      <w:rFonts w:ascii="OpenSymbol" w:hAnsi="OpenSymbol" w:eastAsia="OpenSymbol" w:cs="OpenSymbol"/>
    </w:rPr>
  </w:style>
  <w:style w:type="character" w:styleId="WWCharLFO4LVL4">
    <w:name w:val="WW_CharLFO4LVL4"/>
    <w:qFormat/>
    <w:rPr>
      <w:rFonts w:ascii="OpenSymbol" w:hAnsi="OpenSymbol" w:eastAsia="OpenSymbol" w:cs="OpenSymbol"/>
    </w:rPr>
  </w:style>
  <w:style w:type="character" w:styleId="WWCharLFO4LVL5">
    <w:name w:val="WW_CharLFO4LVL5"/>
    <w:qFormat/>
    <w:rPr>
      <w:rFonts w:ascii="OpenSymbol" w:hAnsi="OpenSymbol" w:eastAsia="OpenSymbol" w:cs="OpenSymbol"/>
    </w:rPr>
  </w:style>
  <w:style w:type="character" w:styleId="WWCharLFO4LVL6">
    <w:name w:val="WW_CharLFO4LVL6"/>
    <w:qFormat/>
    <w:rPr>
      <w:rFonts w:ascii="OpenSymbol" w:hAnsi="OpenSymbol" w:eastAsia="OpenSymbol" w:cs="OpenSymbol"/>
    </w:rPr>
  </w:style>
  <w:style w:type="character" w:styleId="WWCharLFO4LVL7">
    <w:name w:val="WW_CharLFO4LVL7"/>
    <w:qFormat/>
    <w:rPr>
      <w:rFonts w:ascii="OpenSymbol" w:hAnsi="OpenSymbol" w:eastAsia="OpenSymbol" w:cs="OpenSymbol"/>
    </w:rPr>
  </w:style>
  <w:style w:type="character" w:styleId="WWCharLFO4LVL8">
    <w:name w:val="WW_CharLFO4LVL8"/>
    <w:qFormat/>
    <w:rPr>
      <w:rFonts w:ascii="OpenSymbol" w:hAnsi="OpenSymbol" w:eastAsia="OpenSymbol" w:cs="OpenSymbol"/>
    </w:rPr>
  </w:style>
  <w:style w:type="character" w:styleId="WWCharLFO4LVL9">
    <w:name w:val="WW_CharLFO4LVL9"/>
    <w:qFormat/>
    <w:rPr>
      <w:rFonts w:ascii="OpenSymbol" w:hAnsi="OpenSymbol" w:eastAsia="OpenSymbol" w:cs="OpenSymbol"/>
    </w:rPr>
  </w:style>
  <w:style w:type="character" w:styleId="WWCharLFO8LVL1">
    <w:name w:val="WW_CharLFO8LVL1"/>
    <w:qFormat/>
    <w:rPr>
      <w:rFonts w:ascii="OpenSymbol" w:hAnsi="OpenSymbol" w:eastAsia="OpenSymbol" w:cs="OpenSymbol"/>
    </w:rPr>
  </w:style>
  <w:style w:type="character" w:styleId="WWCharLFO8LVL2">
    <w:name w:val="WW_CharLFO8LVL2"/>
    <w:qFormat/>
    <w:rPr>
      <w:rFonts w:ascii="OpenSymbol" w:hAnsi="OpenSymbol" w:eastAsia="OpenSymbol" w:cs="OpenSymbol"/>
    </w:rPr>
  </w:style>
  <w:style w:type="character" w:styleId="WWCharLFO8LVL3">
    <w:name w:val="WW_CharLFO8LVL3"/>
    <w:qFormat/>
    <w:rPr>
      <w:rFonts w:ascii="OpenSymbol" w:hAnsi="OpenSymbol" w:eastAsia="OpenSymbol" w:cs="OpenSymbol"/>
    </w:rPr>
  </w:style>
  <w:style w:type="character" w:styleId="WWCharLFO8LVL4">
    <w:name w:val="WW_CharLFO8LVL4"/>
    <w:qFormat/>
    <w:rPr>
      <w:rFonts w:ascii="OpenSymbol" w:hAnsi="OpenSymbol" w:eastAsia="OpenSymbol" w:cs="OpenSymbol"/>
    </w:rPr>
  </w:style>
  <w:style w:type="character" w:styleId="WWCharLFO8LVL5">
    <w:name w:val="WW_CharLFO8LVL5"/>
    <w:qFormat/>
    <w:rPr>
      <w:rFonts w:ascii="OpenSymbol" w:hAnsi="OpenSymbol" w:eastAsia="OpenSymbol" w:cs="OpenSymbol"/>
    </w:rPr>
  </w:style>
  <w:style w:type="character" w:styleId="WWCharLFO8LVL6">
    <w:name w:val="WW_CharLFO8LVL6"/>
    <w:qFormat/>
    <w:rPr>
      <w:rFonts w:ascii="OpenSymbol" w:hAnsi="OpenSymbol" w:eastAsia="OpenSymbol" w:cs="OpenSymbol"/>
    </w:rPr>
  </w:style>
  <w:style w:type="character" w:styleId="WWCharLFO8LVL7">
    <w:name w:val="WW_CharLFO8LVL7"/>
    <w:qFormat/>
    <w:rPr>
      <w:rFonts w:ascii="OpenSymbol" w:hAnsi="OpenSymbol" w:eastAsia="OpenSymbol" w:cs="OpenSymbol"/>
    </w:rPr>
  </w:style>
  <w:style w:type="character" w:styleId="WWCharLFO8LVL8">
    <w:name w:val="WW_CharLFO8LVL8"/>
    <w:qFormat/>
    <w:rPr>
      <w:rFonts w:ascii="OpenSymbol" w:hAnsi="OpenSymbol" w:eastAsia="OpenSymbol" w:cs="OpenSymbol"/>
    </w:rPr>
  </w:style>
  <w:style w:type="character" w:styleId="WWCharLFO8LVL9">
    <w:name w:val="WW_CharLFO8LVL9"/>
    <w:qFormat/>
    <w:rPr>
      <w:rFonts w:ascii="OpenSymbol" w:hAnsi="OpenSymbol" w:eastAsia="OpenSymbol" w:cs="OpenSymbol"/>
    </w:rPr>
  </w:style>
  <w:style w:type="character" w:styleId="WWCharLFO9LVL1">
    <w:name w:val="WW_CharLFO9LVL1"/>
    <w:qFormat/>
    <w:rPr>
      <w:rFonts w:ascii="OpenSymbol" w:hAnsi="OpenSymbol" w:eastAsia="OpenSymbol" w:cs="OpenSymbol"/>
    </w:rPr>
  </w:style>
  <w:style w:type="character" w:styleId="WWCharLFO9LVL2">
    <w:name w:val="WW_CharLFO9LVL2"/>
    <w:qFormat/>
    <w:rPr>
      <w:rFonts w:ascii="OpenSymbol" w:hAnsi="OpenSymbol" w:eastAsia="OpenSymbol" w:cs="OpenSymbol"/>
    </w:rPr>
  </w:style>
  <w:style w:type="character" w:styleId="WWCharLFO9LVL3">
    <w:name w:val="WW_CharLFO9LVL3"/>
    <w:qFormat/>
    <w:rPr>
      <w:rFonts w:ascii="OpenSymbol" w:hAnsi="OpenSymbol" w:eastAsia="OpenSymbol" w:cs="OpenSymbol"/>
    </w:rPr>
  </w:style>
  <w:style w:type="character" w:styleId="WWCharLFO9LVL4">
    <w:name w:val="WW_CharLFO9LVL4"/>
    <w:qFormat/>
    <w:rPr>
      <w:rFonts w:ascii="OpenSymbol" w:hAnsi="OpenSymbol" w:eastAsia="OpenSymbol" w:cs="OpenSymbol"/>
    </w:rPr>
  </w:style>
  <w:style w:type="character" w:styleId="WWCharLFO9LVL5">
    <w:name w:val="WW_CharLFO9LVL5"/>
    <w:qFormat/>
    <w:rPr>
      <w:rFonts w:ascii="OpenSymbol" w:hAnsi="OpenSymbol" w:eastAsia="OpenSymbol" w:cs="OpenSymbol"/>
    </w:rPr>
  </w:style>
  <w:style w:type="character" w:styleId="WWCharLFO9LVL6">
    <w:name w:val="WW_CharLFO9LVL6"/>
    <w:qFormat/>
    <w:rPr>
      <w:rFonts w:ascii="OpenSymbol" w:hAnsi="OpenSymbol" w:eastAsia="OpenSymbol" w:cs="OpenSymbol"/>
    </w:rPr>
  </w:style>
  <w:style w:type="character" w:styleId="WWCharLFO9LVL7">
    <w:name w:val="WW_CharLFO9LVL7"/>
    <w:qFormat/>
    <w:rPr>
      <w:rFonts w:ascii="OpenSymbol" w:hAnsi="OpenSymbol" w:eastAsia="OpenSymbol" w:cs="OpenSymbol"/>
    </w:rPr>
  </w:style>
  <w:style w:type="character" w:styleId="WWCharLFO9LVL8">
    <w:name w:val="WW_CharLFO9LVL8"/>
    <w:qFormat/>
    <w:rPr>
      <w:rFonts w:ascii="OpenSymbol" w:hAnsi="OpenSymbol" w:eastAsia="OpenSymbol" w:cs="OpenSymbol"/>
    </w:rPr>
  </w:style>
  <w:style w:type="character" w:styleId="WWCharLFO9LVL9">
    <w:name w:val="WW_CharLFO9LVL9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bidi w:val="0"/>
      <w:spacing w:before="240" w:after="120"/>
    </w:pPr>
    <w:rPr>
      <w:rFonts w:ascii="Noto Sans;Liberation Sans" w:hAnsi="Noto Sans;Liberation Sans" w:eastAsia="Source Han Sans CN Regular" w:cs="Lohit Devanagari"/>
      <w:sz w:val="21"/>
      <w:szCs w:val="28"/>
    </w:rPr>
  </w:style>
  <w:style w:type="paragraph" w:styleId="BodyText">
    <w:name w:val="Body Text"/>
    <w:basedOn w:val="Normal"/>
    <w:pPr>
      <w:tabs>
        <w:tab w:val="clear" w:pos="709"/>
        <w:tab w:val="left" w:pos="4819" w:leader="none"/>
      </w:tabs>
      <w:bidi w:val="0"/>
      <w:spacing w:lineRule="auto" w:line="276" w:before="0" w:after="140"/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itas">
    <w:name w:val="Citas"/>
    <w:basedOn w:val="Normal"/>
    <w:qFormat/>
    <w:pPr>
      <w:spacing w:before="0" w:after="283"/>
      <w:ind w:hanging="0" w:start="567" w:end="567"/>
    </w:pPr>
    <w:rPr/>
  </w:style>
  <w:style w:type="paragraph" w:styleId="Title">
    <w:name w:val="Title"/>
    <w:basedOn w:val="Ttulo"/>
    <w:next w:val="BodyText"/>
    <w:qFormat/>
    <w:pPr>
      <w:bidi w:val="0"/>
      <w:jc w:val="start"/>
    </w:pPr>
    <w:rPr>
      <w:b w:val="false"/>
      <w:bCs/>
      <w:caps/>
      <w:sz w:val="21"/>
      <w:szCs w:val="56"/>
    </w:rPr>
  </w:style>
  <w:style w:type="paragraph" w:styleId="Subtitle">
    <w:name w:val="Subtitle"/>
    <w:basedOn w:val="Ttulo"/>
    <w:next w:val="BodyText"/>
    <w:qFormat/>
    <w:pPr>
      <w:bidi w:val="0"/>
      <w:spacing w:before="60" w:after="120"/>
      <w:jc w:val="start"/>
    </w:pPr>
    <w:rPr>
      <w:i/>
      <w:sz w:val="21"/>
      <w:szCs w:val="36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  <w:bidi w:val="0"/>
      <w:jc w:val="end"/>
    </w:pPr>
    <w:rPr>
      <w:rFonts w:ascii="Noto Sans" w:hAnsi="Noto Sans" w:cs="Noto Sans"/>
      <w:sz w:val="16"/>
    </w:rPr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  <w:bidi w:val="0"/>
    </w:pPr>
    <w:rPr>
      <w:sz w:val="16"/>
    </w:rPr>
  </w:style>
  <w:style w:type="paragraph" w:styleId="Cabeceraizquierda">
    <w:name w:val="Cabecera izquierd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129</TotalTime>
  <Application>LibreOffice/25.2.4.3$Windows_X86_64 LibreOffice_project/33e196637044ead23f5c3226cde09b47731f7e27</Application>
  <AppVersion>15.0000</AppVersion>
  <Pages>9</Pages>
  <Words>2967</Words>
  <Characters>16404</Characters>
  <CharactersWithSpaces>19182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2018-02-19T11:07:30Z</dcterms:created>
  <dc:creator/>
  <dc:description/>
  <dc:language>es-ES</dc:language>
  <cp:lastModifiedBy/>
  <dcterms:modified xsi:type="dcterms:W3CDTF">2025-07-23T23:14:02Z</dcterms:modified>
  <cp:revision>36</cp:revision>
  <dc:subject/>
  <dc:title/>
</cp:coreProperties>
</file>