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Western"/>
        <w:spacing w:beforeAutospacing="0" w:before="57" w:after="57"/>
        <w:jc w:val="left"/>
        <w:rPr/>
      </w:pPr>
      <w:r>
        <w:rPr>
          <w:rFonts w:ascii="Myriad Pro" w:hAnsi="Myriad Pro"/>
          <w:b/>
          <w:bCs/>
          <w:sz w:val="24"/>
          <w:szCs w:val="24"/>
          <w:lang w:val="gl-ES"/>
        </w:rPr>
        <w:t>CONVOCATORIA DE SUBVENCIONES PARA LA PROMOCIÓN DEL DEPORTE Y ENTIDADES DEPORTIVAS 2025</w:t>
      </w:r>
    </w:p>
    <w:p>
      <w:pPr>
        <w:pStyle w:val="Western"/>
        <w:spacing w:beforeAutospacing="0" w:before="57" w:after="57"/>
        <w:jc w:val="left"/>
        <w:rPr>
          <w:b/>
          <w:bCs/>
          <w:lang w:val="gl-ES"/>
        </w:rPr>
      </w:pPr>
      <w:r>
        <w:rPr>
          <w:b/>
          <w:bCs/>
          <w:lang w:val="gl-ES"/>
        </w:rPr>
      </w:r>
    </w:p>
    <w:p>
      <w:pPr>
        <w:pStyle w:val="Western"/>
        <w:spacing w:beforeAutospacing="0" w:before="171" w:after="171"/>
        <w:jc w:val="left"/>
        <w:rPr/>
      </w:pPr>
      <w:r>
        <w:rPr>
          <w:rFonts w:ascii="Myriad Pro" w:hAnsi="Myriad Pro"/>
          <w:b w:val="false"/>
          <w:bCs w:val="false"/>
          <w:sz w:val="24"/>
          <w:szCs w:val="24"/>
          <w:lang w:val="gl-ES"/>
        </w:rPr>
        <w:t>Bases reguladoras del programa de subvenciones para la promoción del deporte y entidades deportivas durante el ejercicio 2025.</w:t>
      </w:r>
    </w:p>
    <w:p>
      <w:pPr>
        <w:pStyle w:val="Western"/>
        <w:spacing w:beforeAutospacing="0" w:before="171" w:after="171"/>
        <w:jc w:val="left"/>
        <w:rPr/>
      </w:pPr>
      <w:r>
        <w:rPr>
          <w:rFonts w:ascii="Myriad Pro" w:hAnsi="Myriad Pro"/>
          <w:b w:val="false"/>
          <w:bCs w:val="false"/>
          <w:sz w:val="24"/>
          <w:szCs w:val="24"/>
          <w:lang w:val="gl-ES"/>
        </w:rPr>
        <w:t xml:space="preserve">El Ayuntamiento de San Sadurniño, tiene la voluntad de prestar todo su apoyo al asociacionismo vecinal, por considerarlo uno de los instrumentos más importantes que garantizan la participación colectiva de la ciudadanía, contribuyendo a la construcción colectiva de nuestro Ayuntamiento. </w:t>
      </w:r>
    </w:p>
    <w:p>
      <w:pPr>
        <w:pStyle w:val="Western"/>
        <w:spacing w:beforeAutospacing="0" w:before="171" w:after="171"/>
        <w:jc w:val="left"/>
        <w:rPr/>
      </w:pPr>
      <w:r>
        <w:rPr>
          <w:rFonts w:ascii="Myriad Pro" w:hAnsi="Myriad Pro"/>
          <w:b w:val="false"/>
          <w:bCs w:val="false"/>
          <w:sz w:val="24"/>
          <w:szCs w:val="24"/>
          <w:lang w:val="gl-ES"/>
        </w:rPr>
        <w:t xml:space="preserve">En esta convocatoria se presentan subvenciones, en régimen de concurrencia competitiva, dirigidas a las entidades deportivas y destinadas a apoyar el funcionamiento y la dinamización de actividades de interés deportivo del Ayuntamiento de San Sadurniño para el ejercicio 2025. </w:t>
      </w:r>
    </w:p>
    <w:p>
      <w:pPr>
        <w:pStyle w:val="Western"/>
        <w:spacing w:beforeAutospacing="0" w:before="57" w:after="57"/>
        <w:jc w:val="left"/>
        <w:rPr>
          <w:lang w:val="gl-ES"/>
        </w:rPr>
      </w:pPr>
      <w:r>
        <w:rPr>
          <w:lang w:val="gl-ES"/>
        </w:rPr>
      </w:r>
    </w:p>
    <w:p>
      <w:pPr>
        <w:pStyle w:val="Normal"/>
        <w:spacing w:lineRule="auto" w:line="264" w:before="57" w:after="57"/>
        <w:ind w:hanging="10" w:left="-5" w:right="0"/>
        <w:jc w:val="left"/>
        <w:rPr/>
      </w:pPr>
      <w:r>
        <w:rPr>
          <w:rFonts w:ascii="Myriad Pro" w:hAnsi="Myriad Pro"/>
          <w:b/>
          <w:sz w:val="24"/>
          <w:szCs w:val="24"/>
          <w:lang w:val="gl-ES"/>
        </w:rPr>
        <w:t xml:space="preserve">Artículo 1.- </w:t>
      </w:r>
      <w:r>
        <w:rPr>
          <w:rFonts w:ascii="Myriad Pro" w:hAnsi="Myriad Pro"/>
          <w:b/>
          <w:sz w:val="24"/>
          <w:szCs w:val="24"/>
          <w:lang w:val="pt-PT"/>
        </w:rPr>
        <w:t>FINALIDAD Y OBJETO.</w:t>
      </w:r>
    </w:p>
    <w:p>
      <w:pPr>
        <w:pStyle w:val="Normal"/>
        <w:spacing w:lineRule="auto" w:line="264" w:before="171" w:after="171"/>
        <w:ind w:hanging="10" w:left="-5" w:right="0"/>
        <w:jc w:val="left"/>
        <w:rPr/>
      </w:pPr>
      <w:r>
        <w:rPr>
          <w:rFonts w:ascii="Myriad Pro" w:hAnsi="Myriad Pro"/>
          <w:b w:val="false"/>
          <w:bCs w:val="false"/>
          <w:sz w:val="24"/>
          <w:szCs w:val="24"/>
          <w:lang w:val="pt-PT"/>
        </w:rPr>
        <w:t>Estas bases tienen por objeto establecer los crit</w:t>
      </w:r>
      <w:r>
        <w:rPr>
          <w:rFonts w:ascii="Myriad Pro" w:hAnsi="Myriad Pro"/>
          <w:b w:val="false"/>
          <w:bCs w:val="false"/>
          <w:sz w:val="24"/>
          <w:szCs w:val="24"/>
          <w:lang w:val="pt-PT"/>
        </w:rPr>
        <w:t>é</w:t>
      </w:r>
      <w:r>
        <w:rPr>
          <w:rFonts w:ascii="Myriad Pro" w:hAnsi="Myriad Pro"/>
          <w:b w:val="false"/>
          <w:bCs w:val="false"/>
          <w:sz w:val="24"/>
          <w:szCs w:val="24"/>
          <w:lang w:val="pt-PT"/>
        </w:rPr>
        <w:t>rios y el procedimiento para la concesión de subvenciones municipales dirigidas al apoyo y promoción del deporte en el Ayuntamiento de San Sadurniño, de acuerdo con los principios de publicidad, transparencia, objetividad, libre concurrencia, no discriminación e igualdad, para la realización de actividades que, en general contribuyan al fomento de los intereses generales o sectoriales de los vecinos y vecinas del Ayuntamiento.</w:t>
      </w:r>
    </w:p>
    <w:p>
      <w:pPr>
        <w:pStyle w:val="Normal"/>
        <w:spacing w:lineRule="auto" w:line="264" w:before="171" w:after="171"/>
        <w:ind w:hanging="10" w:left="-5" w:right="0"/>
        <w:jc w:val="left"/>
        <w:rPr/>
      </w:pPr>
      <w:r>
        <w:rPr>
          <w:rFonts w:ascii="Myriad Pro" w:hAnsi="Myriad Pro"/>
          <w:b w:val="false"/>
          <w:bCs w:val="false"/>
          <w:sz w:val="24"/>
          <w:szCs w:val="24"/>
          <w:lang w:val="pt-PT"/>
        </w:rPr>
        <w:t>Los fines indicados anteriormente se efectuarán de conformidad con la normativa aplicable especialmente prevista en los artículos: 25 de la Ley 7/1985, de 2 de abril, Reguladora de las Bases del Régimen Local; 294 de la Ley 5/1997, de 22 de julio  de Administración Local; 40.2 del RDL 2/2004, de 5 de marzo , por lo que se aprueba el Texto Refundido de la Ley de Haciendas Locales; y 23 y siguientes del Reglamento de Servicios de las Corporaciones Locales; Ley 38/2003, de 17 de noviembre , General de Subvenciones; RD 887/2006, de 21 de julio, por lo que se aprueba el Reglamento de la Ley 38/2003 de 17 de noviembre; la Ley de Subvenciones de Galicia y demás normas concordantes.</w:t>
      </w:r>
    </w:p>
    <w:p>
      <w:pPr>
        <w:pStyle w:val="Normal"/>
        <w:spacing w:lineRule="auto" w:line="264" w:before="57" w:after="57"/>
        <w:ind w:hanging="10" w:left="-5" w:right="0"/>
        <w:jc w:val="left"/>
        <w:rPr>
          <w:lang w:val="pt-PT"/>
        </w:rPr>
      </w:pPr>
      <w:r>
        <w:rPr>
          <w:lang w:val="pt-PT"/>
        </w:rPr>
      </w:r>
    </w:p>
    <w:p>
      <w:pPr>
        <w:pStyle w:val="Normal"/>
        <w:spacing w:lineRule="auto" w:line="264" w:before="57" w:after="57"/>
        <w:ind w:hanging="10" w:left="-5" w:right="0"/>
        <w:jc w:val="left"/>
        <w:rPr/>
      </w:pPr>
      <w:r>
        <w:rPr>
          <w:rFonts w:ascii="Myriad Pro" w:hAnsi="Myriad Pro"/>
          <w:b/>
          <w:sz w:val="24"/>
          <w:szCs w:val="24"/>
          <w:lang w:val="pt-PT"/>
        </w:rPr>
        <w:t>Artículo 2.-ACTIVIDADES SUBVENCIONABLES</w:t>
      </w:r>
      <w:r>
        <w:rPr>
          <w:rFonts w:ascii="Myriad Pro" w:hAnsi="Myriad Pro"/>
          <w:sz w:val="24"/>
          <w:szCs w:val="24"/>
          <w:lang w:val="pt-PT"/>
        </w:rPr>
        <w:t>.</w:t>
      </w:r>
    </w:p>
    <w:p>
      <w:pPr>
        <w:pStyle w:val="Normal"/>
        <w:spacing w:before="171" w:after="171"/>
        <w:ind w:hanging="10" w:left="-5" w:right="9"/>
        <w:rPr/>
      </w:pPr>
      <w:r>
        <w:rPr>
          <w:rFonts w:ascii="Myriad Pro" w:hAnsi="Myriad Pro"/>
          <w:sz w:val="24"/>
          <w:szCs w:val="24"/>
          <w:lang w:val="pt-PT"/>
        </w:rPr>
        <w:t>Podrán ser objeto de subvención las actividades o la promoción del deporte realizadas por entidades deportivas inscritas con domicilio social en San Sadurniño en el momento de la convocatoria dentro del período natural del año 2025 y que estén al corriente de sus deberes fiscales y económicos con cualquier ente administrativo.</w:t>
      </w:r>
    </w:p>
    <w:p>
      <w:pPr>
        <w:pStyle w:val="Normal"/>
        <w:spacing w:before="171" w:after="171"/>
        <w:ind w:hanging="10" w:left="-5" w:right="9"/>
        <w:rPr/>
      </w:pPr>
      <w:r>
        <w:rPr>
          <w:rFonts w:ascii="Myriad Pro" w:hAnsi="Myriad Pro"/>
          <w:sz w:val="24"/>
          <w:szCs w:val="24"/>
          <w:lang w:val="pt-PT"/>
        </w:rPr>
        <w:t>Serán subvencionables los gastos corrientes de funcionamiento y participación en campeonatos deportivos, tales como fichas de inscripción en competiciones, desplazamientos, arbitrajes, servicios sanitarios (siempre que se adjunte parte de accidentes de la mutua correspondiente), compra de material deportivo, transporte; y otros de funcionamiento común de la entidad.</w:t>
      </w:r>
    </w:p>
    <w:p>
      <w:pPr>
        <w:pStyle w:val="Normal"/>
        <w:spacing w:before="171" w:after="171"/>
        <w:ind w:hanging="10" w:left="-5" w:right="9"/>
        <w:rPr/>
      </w:pPr>
      <w:r>
        <w:rPr>
          <w:rFonts w:ascii="Myriad Pro" w:hAnsi="Myriad Pro"/>
          <w:sz w:val="24"/>
          <w:szCs w:val="24"/>
          <w:lang w:val="pt-PT"/>
        </w:rPr>
        <w:t>No serán objeto de subvención los gastos financieros, notariales, registrales, periciales, multas, sanciones y recargos administrativos o penitenciarios, ni los tributos directos a cargo de las entidades beneficiarias.</w:t>
      </w:r>
    </w:p>
    <w:p>
      <w:pPr>
        <w:pStyle w:val="Normal"/>
        <w:spacing w:before="171" w:after="171"/>
        <w:ind w:hanging="10" w:left="-5" w:right="9"/>
        <w:rPr/>
      </w:pPr>
      <w:r>
        <w:rPr>
          <w:rFonts w:ascii="Myriad Pro" w:hAnsi="Myriad Pro"/>
          <w:sz w:val="24"/>
          <w:szCs w:val="24"/>
          <w:lang w:val="pt-PT"/>
        </w:rPr>
        <w:t>No se considerarán en ningún caso gastos subvencionables los derivados de la organización de comidas, eventos gastronómicos u otros similares.</w:t>
      </w:r>
    </w:p>
    <w:p>
      <w:pPr>
        <w:pStyle w:val="Normal"/>
        <w:spacing w:before="57" w:after="57"/>
        <w:ind w:hanging="10" w:left="-5" w:right="9"/>
        <w:rPr>
          <w:rFonts w:ascii="Myriad Pro" w:hAnsi="Myriad Pro"/>
          <w:sz w:val="24"/>
          <w:szCs w:val="24"/>
        </w:rPr>
      </w:pPr>
      <w:r>
        <w:rPr>
          <w:rFonts w:ascii="Myriad Pro" w:hAnsi="Myriad Pro"/>
          <w:sz w:val="24"/>
          <w:szCs w:val="24"/>
        </w:rPr>
      </w:r>
    </w:p>
    <w:p>
      <w:pPr>
        <w:pStyle w:val="Heading1"/>
        <w:spacing w:before="57" w:after="57"/>
        <w:ind w:hanging="10" w:left="-5"/>
        <w:rPr/>
      </w:pPr>
      <w:r>
        <w:rPr>
          <w:rFonts w:ascii="Myriad Pro" w:hAnsi="Myriad Pro"/>
          <w:sz w:val="24"/>
          <w:szCs w:val="24"/>
          <w:lang w:val="pt-PT"/>
        </w:rPr>
        <w:t>Artículo 3.- LÍMITE DE LAS SUBVENCIONES Y COMPATIBILIDAD CON OTRAS.</w:t>
      </w:r>
    </w:p>
    <w:p>
      <w:pPr>
        <w:pStyle w:val="Normal"/>
        <w:spacing w:before="171" w:after="171"/>
        <w:ind w:hanging="10" w:left="-5" w:right="11"/>
        <w:rPr/>
      </w:pPr>
      <w:r>
        <w:rPr>
          <w:rFonts w:ascii="Myriad Pro" w:hAnsi="Myriad Pro"/>
          <w:sz w:val="24"/>
          <w:szCs w:val="24"/>
          <w:lang w:val="pt-PT"/>
        </w:rPr>
        <w:t>Las subvenciones que se otorguen al amparo del establecido en las presentes bases serán compatibles con otras ayudas para la misma finalidad, cualquier que sea su origen, pero en ningún caso el importe de la subvención podrá ser de tal cuantía que, aisladamente o en concurrencia con subvenciones o ayudas de otras Administraciones públicas o de otros entes públicos o privados, supere el coste total de la actividad que va a desarrollar la entidad beneficiaria.</w:t>
      </w:r>
    </w:p>
    <w:p>
      <w:pPr>
        <w:pStyle w:val="Normal"/>
        <w:spacing w:before="171" w:after="171"/>
        <w:ind w:hanging="10" w:left="-5" w:right="11"/>
        <w:rPr/>
      </w:pPr>
      <w:r>
        <w:rPr>
          <w:rFonts w:ascii="Myriad Pro" w:hAnsi="Myriad Pro"/>
          <w:sz w:val="24"/>
          <w:szCs w:val="24"/>
          <w:lang w:val="pt-PT"/>
        </w:rPr>
        <w:t>La subvención aprobada podrá ser revisada una vez conocido la financiación del gasto a través de las aportaciones complementarias de ayudas de otras entidades, así como, en su caso, otros ingresos.</w:t>
      </w:r>
    </w:p>
    <w:p>
      <w:pPr>
        <w:pStyle w:val="Normal"/>
        <w:spacing w:before="57" w:after="57"/>
        <w:ind w:hanging="10" w:left="-5" w:right="11"/>
        <w:rPr>
          <w:rFonts w:ascii="Myriad Pro" w:hAnsi="Myriad Pro"/>
          <w:sz w:val="24"/>
          <w:szCs w:val="24"/>
        </w:rPr>
      </w:pPr>
      <w:r>
        <w:rPr>
          <w:rFonts w:ascii="Myriad Pro" w:hAnsi="Myriad Pro"/>
          <w:sz w:val="24"/>
          <w:szCs w:val="24"/>
        </w:rPr>
      </w:r>
    </w:p>
    <w:p>
      <w:pPr>
        <w:pStyle w:val="Normal"/>
        <w:spacing w:lineRule="auto" w:line="264" w:before="57" w:after="57"/>
        <w:ind w:hanging="10" w:left="-5" w:right="0"/>
        <w:jc w:val="left"/>
        <w:rPr/>
      </w:pPr>
      <w:r>
        <w:rPr>
          <w:rFonts w:ascii="Myriad Pro" w:hAnsi="Myriad Pro"/>
          <w:b/>
          <w:sz w:val="24"/>
          <w:szCs w:val="24"/>
          <w:lang w:val="pt-PT"/>
        </w:rPr>
        <w:t>Artículo 4.- PRESUPUESTO.</w:t>
      </w:r>
    </w:p>
    <w:p>
      <w:pPr>
        <w:pStyle w:val="Normal"/>
        <w:spacing w:lineRule="auto" w:line="264" w:before="171" w:after="171"/>
        <w:ind w:hanging="10" w:left="-5" w:right="0"/>
        <w:jc w:val="left"/>
        <w:rPr/>
      </w:pPr>
      <w:r>
        <w:rPr>
          <w:rFonts w:ascii="Myriad Pro" w:hAnsi="Myriad Pro"/>
          <w:b w:val="false"/>
          <w:bCs w:val="false"/>
          <w:sz w:val="24"/>
          <w:szCs w:val="24"/>
          <w:lang w:val="pt-PT"/>
        </w:rPr>
        <w:t>Para la financiación de las subvenciones establecidas en las presentes bases se destina la cantidad de, 16.000,00 euros que puede no agotarse, establecida para tal finalidad en el capítulo IV del presupuesto municipal para el año 2025.</w:t>
      </w:r>
    </w:p>
    <w:p>
      <w:pPr>
        <w:pStyle w:val="Normal"/>
        <w:spacing w:lineRule="auto" w:line="264" w:before="171" w:after="171"/>
        <w:ind w:hanging="10" w:left="-5" w:right="0"/>
        <w:jc w:val="left"/>
        <w:rPr/>
      </w:pPr>
      <w:r>
        <w:rPr>
          <w:rFonts w:ascii="Myriad Pro" w:hAnsi="Myriad Pro"/>
          <w:b w:val="false"/>
          <w:bCs w:val="false"/>
          <w:sz w:val="24"/>
          <w:szCs w:val="24"/>
          <w:lang w:val="pt-PT"/>
        </w:rPr>
        <w:t>Una vez finalizado el plazo de presentación de solicitudes, y a la vista de las que habían tenido entrada en el Registro municipal, el Ayuntamiento de San Sadurniño se reservará la posibilidad de modificar la cuantía de la anterior partida, previo oportuno expediente de modificación de crédito, en caso de que este había sido preciso.</w:t>
      </w:r>
    </w:p>
    <w:p>
      <w:pPr>
        <w:pStyle w:val="Normal"/>
        <w:spacing w:lineRule="auto" w:line="264" w:before="57" w:after="57"/>
        <w:ind w:hanging="10" w:left="-5" w:right="0"/>
        <w:jc w:val="left"/>
        <w:rPr>
          <w:lang w:val="pt-PT"/>
        </w:rPr>
      </w:pPr>
      <w:r>
        <w:rPr>
          <w:lang w:val="pt-PT"/>
        </w:rPr>
      </w:r>
    </w:p>
    <w:p>
      <w:pPr>
        <w:pStyle w:val="Normal"/>
        <w:spacing w:lineRule="auto" w:line="264" w:before="57" w:after="57"/>
        <w:ind w:hanging="10" w:left="-5" w:right="0"/>
        <w:jc w:val="left"/>
        <w:rPr/>
      </w:pPr>
      <w:r>
        <w:rPr>
          <w:rFonts w:ascii="Myriad Pro" w:hAnsi="Myriad Pro"/>
          <w:b/>
          <w:sz w:val="24"/>
          <w:szCs w:val="24"/>
          <w:lang w:val="pt-PT"/>
        </w:rPr>
        <w:t>Artículo 5.- CRITERIOS DE EVALUACIÓN.</w:t>
      </w:r>
    </w:p>
    <w:p>
      <w:pPr>
        <w:pStyle w:val="Normal"/>
        <w:spacing w:before="171" w:after="171"/>
        <w:ind w:hanging="10" w:left="-5" w:right="9"/>
        <w:rPr/>
      </w:pPr>
      <w:r>
        <w:rPr>
          <w:rFonts w:ascii="Myriad Pro" w:hAnsi="Myriad Pro"/>
          <w:sz w:val="24"/>
          <w:szCs w:val="24"/>
          <w:lang w:val="pt-PT"/>
        </w:rPr>
        <w:t xml:space="preserve">La concesión de subvenciones se realizará mediante régimen de concurrencia competitiva. </w:t>
      </w:r>
    </w:p>
    <w:p>
      <w:pPr>
        <w:pStyle w:val="Normal"/>
        <w:spacing w:before="171" w:after="171"/>
        <w:ind w:hanging="10" w:left="-5" w:right="9"/>
        <w:rPr/>
      </w:pPr>
      <w:r>
        <w:rPr>
          <w:rFonts w:ascii="Myriad Pro" w:hAnsi="Myriad Pro"/>
          <w:sz w:val="24"/>
          <w:szCs w:val="24"/>
          <w:lang w:val="pt-PT"/>
        </w:rPr>
        <w:t xml:space="preserve">El crédito total asignado a la presente convocatoria se distribuirá de manera proporcional a la puntuación que cada entidad deportiva obtenga una vez aplicados los criterios de ponderación establecidos. </w:t>
      </w:r>
    </w:p>
    <w:p>
      <w:pPr>
        <w:pStyle w:val="Normal"/>
        <w:spacing w:before="171" w:after="171"/>
        <w:ind w:hanging="10" w:left="-5" w:right="9"/>
        <w:rPr/>
      </w:pPr>
      <w:r>
        <w:rPr>
          <w:rFonts w:ascii="Myriad Pro" w:hAnsi="Myriad Pro"/>
          <w:sz w:val="24"/>
          <w:szCs w:val="24"/>
          <w:lang w:val="pt-PT"/>
        </w:rPr>
        <w:t>Criterios de valoración:</w:t>
      </w:r>
    </w:p>
    <w:p>
      <w:pPr>
        <w:pStyle w:val="Normal"/>
        <w:spacing w:before="171" w:after="171"/>
        <w:ind w:hanging="10" w:left="708" w:right="9"/>
        <w:rPr/>
      </w:pPr>
      <w:r>
        <w:rPr>
          <w:rFonts w:ascii="Myriad Pro" w:hAnsi="Myriad Pro"/>
          <w:sz w:val="24"/>
          <w:szCs w:val="24"/>
          <w:lang w:val="pt-PT"/>
        </w:rPr>
        <w:t>1. Para las entidades deportivas que no cuenten con equipas que participen en competiciones deportivas de deportes olímpicos, se establece una cuantía de 1.500,00 euros.  El importe de la subvención se calculará en función del número de licencias federativas con las que cuente cada entidad. Para el cálculo de esta cuantía se aplicará la siguiente fórmula:</w:t>
      </w:r>
    </w:p>
    <w:p>
      <w:pPr>
        <w:pStyle w:val="Normal"/>
        <w:spacing w:before="171" w:after="171"/>
        <w:ind w:hanging="10" w:left="-5" w:right="9"/>
        <w:rPr/>
      </w:pPr>
      <w:r>
        <w:rPr>
          <w:rFonts w:ascii="Myriad Pro" w:hAnsi="Myriad Pro"/>
          <w:b/>
          <w:bCs/>
          <w:sz w:val="24"/>
          <w:szCs w:val="24"/>
          <w:lang w:val="pt-PT"/>
        </w:rPr>
        <w:t>Vp=1.500/Nl</w:t>
      </w:r>
    </w:p>
    <w:p>
      <w:pPr>
        <w:pStyle w:val="Normal"/>
        <w:spacing w:before="171" w:after="171"/>
        <w:ind w:hanging="10" w:left="-5" w:right="9"/>
        <w:rPr/>
      </w:pPr>
      <w:r>
        <w:rPr>
          <w:rFonts w:ascii="Myriad Pro" w:hAnsi="Myriad Pro"/>
          <w:sz w:val="24"/>
          <w:szCs w:val="24"/>
          <w:lang w:val="pt-PT"/>
        </w:rPr>
        <w:t xml:space="preserve">Siendo Vp el valor del punto y Nl la suma del número de licencias federativas de las entidades solicitantes. Con la finalidad de potenciar la práctica deportiva femenina, el número de licencias federativas femeninas se multiplicará por dos </w:t>
      </w:r>
    </w:p>
    <w:p>
      <w:pPr>
        <w:pStyle w:val="Normal"/>
        <w:spacing w:before="171" w:after="171"/>
        <w:ind w:hanging="10" w:left="-5" w:right="9"/>
        <w:rPr/>
      </w:pPr>
      <w:r>
        <w:rPr>
          <w:rFonts w:ascii="Myriad Pro" w:hAnsi="Myriad Pro"/>
          <w:sz w:val="24"/>
          <w:szCs w:val="24"/>
          <w:lang w:val="pt-PT"/>
        </w:rPr>
        <w:t xml:space="preserve">La cuantía de la ayuda será el resultado de la multiplicación del valor de Vp por la suma de las licencias federativas de cada entidad solicitante. </w:t>
      </w:r>
    </w:p>
    <w:p>
      <w:pPr>
        <w:pStyle w:val="Normal"/>
        <w:spacing w:before="171" w:after="171"/>
        <w:ind w:hanging="10" w:left="708" w:right="9"/>
        <w:rPr/>
      </w:pPr>
      <w:r>
        <w:rPr>
          <w:rFonts w:ascii="Myriad Pro" w:hAnsi="Myriad Pro"/>
          <w:sz w:val="24"/>
          <w:szCs w:val="24"/>
          <w:lang w:val="pt-PT"/>
        </w:rPr>
        <w:t>2. Para las entidades deportivas con equipas que participen en competiciones deportivas de deportes olímpicos, se establece una cuantía de 7.000,00 euros.  El importe de la subvención se calculará en función del número de licencias federativas con las que cuente cada entidad. Para el cálculo de esta cuantía se aplicará la siguiente fórmula:</w:t>
      </w:r>
    </w:p>
    <w:p>
      <w:pPr>
        <w:pStyle w:val="Normal"/>
        <w:spacing w:before="171" w:after="171"/>
        <w:ind w:hanging="10" w:left="-5" w:right="9"/>
        <w:rPr/>
      </w:pPr>
      <w:r>
        <w:rPr>
          <w:rFonts w:ascii="Myriad Pro" w:hAnsi="Myriad Pro"/>
          <w:b/>
          <w:bCs/>
          <w:sz w:val="24"/>
          <w:szCs w:val="24"/>
          <w:lang w:val="pt-PT"/>
        </w:rPr>
        <w:t>Vp=7.000/Nl</w:t>
      </w:r>
    </w:p>
    <w:p>
      <w:pPr>
        <w:pStyle w:val="Normal"/>
        <w:spacing w:before="171" w:after="171"/>
        <w:ind w:hanging="10" w:left="-5" w:right="9"/>
        <w:rPr/>
      </w:pPr>
      <w:r>
        <w:rPr>
          <w:rFonts w:ascii="Myriad Pro" w:hAnsi="Myriad Pro"/>
          <w:sz w:val="24"/>
          <w:szCs w:val="24"/>
          <w:lang w:val="pt-PT"/>
        </w:rPr>
        <w:t xml:space="preserve">Siendo Vp el valor del punto y Nl la suma del número de licencias federativas de las entidades solicitantes. Con la finalidad de potenciar la práctica deportiva femenina, el número de licencias federativas femeninas se multiplicará por dos </w:t>
      </w:r>
    </w:p>
    <w:p>
      <w:pPr>
        <w:pStyle w:val="Normal"/>
        <w:spacing w:before="171" w:after="171"/>
        <w:ind w:hanging="10" w:left="-5" w:right="9"/>
        <w:rPr/>
      </w:pPr>
      <w:r>
        <w:rPr>
          <w:rFonts w:ascii="Myriad Pro" w:hAnsi="Myriad Pro"/>
          <w:sz w:val="24"/>
          <w:szCs w:val="24"/>
          <w:lang w:val="pt-PT"/>
        </w:rPr>
        <w:t xml:space="preserve">La cuantía de la ayuda será el resultado de la multiplicación del valor de Vp por la suma de las licencias federativas de cada entidad solicitante. </w:t>
      </w:r>
    </w:p>
    <w:p>
      <w:pPr>
        <w:pStyle w:val="Normal"/>
        <w:spacing w:before="171" w:after="171"/>
        <w:ind w:hanging="10" w:left="708" w:right="9"/>
        <w:rPr/>
      </w:pPr>
      <w:r>
        <w:rPr>
          <w:rFonts w:ascii="Myriad Pro" w:hAnsi="Myriad Pro"/>
          <w:sz w:val="24"/>
          <w:szCs w:val="24"/>
          <w:lang w:val="pt-PT"/>
        </w:rPr>
        <w:t>3. Pola titularidad de las instalaciones, ya sea en propiedad o por algún tipo de cesión de uso demostrada mediante lo correspondiente documento contractual, primando aquellas entidades con instalaciones propias por la necesidad de su mantenimiento. Se establece una cuantía de 1.500,00 euros.  Se distribuirá de manera proporcional en función del número de solicitudes.</w:t>
      </w:r>
    </w:p>
    <w:p>
      <w:pPr>
        <w:pStyle w:val="Normal"/>
        <w:spacing w:before="171" w:after="171"/>
        <w:ind w:hanging="10" w:left="708" w:right="9"/>
        <w:rPr/>
      </w:pPr>
      <w:r>
        <w:rPr>
          <w:rFonts w:ascii="Myriad Pro" w:hAnsi="Myriad Pro"/>
          <w:sz w:val="24"/>
          <w:szCs w:val="24"/>
          <w:lang w:val="pt-PT"/>
        </w:rPr>
        <w:t>4. Número de equipas por categoría para las entidades deportivas que participen en competiciones deportivas de deportes olímpicos, se establece una cuantía de 3.000,00 euros. Se distribuirá de manera proporcional en función de la clasificación según dictamen de la comisión evaluadora.</w:t>
      </w:r>
    </w:p>
    <w:p>
      <w:pPr>
        <w:pStyle w:val="Normal"/>
        <w:spacing w:before="171" w:after="171"/>
        <w:ind w:hanging="10" w:left="708" w:right="9"/>
        <w:rPr/>
      </w:pPr>
      <w:r>
        <w:rPr>
          <w:rFonts w:ascii="Myriad Pro" w:hAnsi="Myriad Pro"/>
          <w:sz w:val="24"/>
          <w:szCs w:val="24"/>
          <w:lang w:val="pt-PT"/>
        </w:rPr>
        <w:t>5. Cuantía presupuestaria del programa presentado para la solicitud de entidades deportivas con equipas que participen en competiciones deportivas de deportes olímpicos. Se establece una cuantía de 3.000,00 euros. La ponderación atribuida la este criterio, se distribuirá de manera proporcional en función de la clasificación según dictamen de la comisión evaluadora, atendiendo a los siguientes parámetros:</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de 500,00 a 1.000,00 euros: hasta 0,50 puntos</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de 1.001,00 a 2.000,00 euros: hasta 1 punto</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de 2.001,00 a 3.000,00 euros: hasta 1,50 puntos</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 xml:space="preserve">de 3.001,00 a 4.000,00 euros: hasta 2 puntos </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de 4.001,00  a 5.000,00 euros: hasta 3 puntos</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de 5.000,00 a 10.000,00 euros:  hasta 4 puntos.</w:t>
      </w:r>
    </w:p>
    <w:p>
      <w:pPr>
        <w:pStyle w:val="Normal"/>
        <w:spacing w:before="171" w:after="171"/>
        <w:ind w:hanging="10" w:left="-5" w:right="9"/>
        <w:rPr/>
      </w:pPr>
      <w:r>
        <w:rPr>
          <w:rFonts w:ascii="Myriad Pro" w:hAnsi="Myriad Pro"/>
          <w:sz w:val="24"/>
          <w:szCs w:val="24"/>
          <w:lang w:val="pt-PT"/>
        </w:rPr>
        <w:t xml:space="preserve">    • </w:t>
      </w:r>
      <w:r>
        <w:rPr>
          <w:rFonts w:ascii="Myriad Pro" w:hAnsi="Myriad Pro"/>
          <w:sz w:val="24"/>
          <w:szCs w:val="24"/>
          <w:lang w:val="pt-PT"/>
        </w:rPr>
        <w:t>Más de 10.000,00 euros: 5 puntos</w:t>
      </w:r>
    </w:p>
    <w:p>
      <w:pPr>
        <w:pStyle w:val="Normal"/>
        <w:spacing w:before="57" w:after="57"/>
        <w:ind w:hanging="10" w:left="-5" w:right="9"/>
        <w:rPr>
          <w:rFonts w:ascii="Myriad Pro" w:hAnsi="Myriad Pro"/>
          <w:sz w:val="24"/>
          <w:szCs w:val="24"/>
        </w:rPr>
      </w:pPr>
      <w:r>
        <w:rPr>
          <w:rFonts w:ascii="Myriad Pro" w:hAnsi="Myriad Pro"/>
          <w:sz w:val="24"/>
          <w:szCs w:val="24"/>
        </w:rPr>
      </w:r>
    </w:p>
    <w:p>
      <w:pPr>
        <w:pStyle w:val="Heading1"/>
        <w:spacing w:before="57" w:after="57"/>
        <w:ind w:hanging="10" w:left="-5"/>
        <w:rPr/>
      </w:pPr>
      <w:r>
        <w:rPr>
          <w:rFonts w:ascii="Myriad Pro" w:hAnsi="Myriad Pro"/>
          <w:sz w:val="24"/>
          <w:szCs w:val="24"/>
        </w:rPr>
        <w:t>Artículo 6.- SOLICITUDES Y DOCUMENTACIÓN.</w:t>
      </w:r>
    </w:p>
    <w:p>
      <w:pPr>
        <w:pStyle w:val="Normal"/>
        <w:spacing w:before="171" w:after="171"/>
        <w:ind w:hanging="10" w:left="-5" w:right="9"/>
        <w:rPr/>
      </w:pPr>
      <w:r>
        <w:rPr>
          <w:rFonts w:ascii="Myriad Pro" w:hAnsi="Myriad Pro"/>
          <w:sz w:val="24"/>
          <w:szCs w:val="24"/>
          <w:lang w:val="pt-PT"/>
        </w:rPr>
        <w:t>Las solicitudes de subvención deberán formularse, debidamente cubiertas en todos sus apartados, en el modelo oficial que se facilitará gratuitamente a las entidades interesadas en las oficinas del Ayuntamiento y en la Casa de la Cultura o podrá descargarse directamente de la página web del Ayuntamiento (www.sansadurnino.gal), y será firmada por la persona que ocupe la presidencia de la entidad.</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a</w:t>
      </w:r>
      <w:r>
        <w:rPr>
          <w:rFonts w:ascii="Myriad Pro" w:hAnsi="Myriad Pro"/>
          <w:sz w:val="24"/>
          <w:szCs w:val="24"/>
          <w:lang w:val="pt-PT"/>
        </w:rPr>
        <w:t>)</w:t>
      </w:r>
      <w:r>
        <w:rPr>
          <w:rFonts w:ascii="Myriad Pro" w:hAnsi="Myriad Pro"/>
          <w:sz w:val="24"/>
          <w:szCs w:val="24"/>
          <w:lang w:val="pt-PT"/>
        </w:rPr>
        <w:t xml:space="preserve"> Impreso de solicitud (Anexo I) </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b</w:t>
      </w:r>
      <w:r>
        <w:rPr>
          <w:rFonts w:ascii="Myriad Pro" w:hAnsi="Myriad Pro"/>
          <w:sz w:val="24"/>
          <w:szCs w:val="24"/>
          <w:lang w:val="pt-PT"/>
        </w:rPr>
        <w:t>)</w:t>
      </w:r>
      <w:r>
        <w:rPr>
          <w:rFonts w:ascii="Myriad Pro" w:hAnsi="Myriad Pro"/>
          <w:sz w:val="24"/>
          <w:szCs w:val="24"/>
          <w:lang w:val="pt-PT"/>
        </w:rPr>
        <w:t xml:space="preserve"> Memoria explicativa de la actividad objeto de la subvención solicitada, con especificación de la denominación, de la actividad, fechas y lugares de realización, responsables de su desarrollo, objetivos y fines concretos la que se destinarán los fondos, no siendo subvencionables fines distintos a los expuestos en la memoria y en el correspondiente presupuesto de gastos (Anexo II).</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c</w:t>
      </w:r>
      <w:r>
        <w:rPr>
          <w:rFonts w:ascii="Myriad Pro" w:hAnsi="Myriad Pro"/>
          <w:sz w:val="24"/>
          <w:szCs w:val="24"/>
          <w:lang w:val="pt-PT"/>
        </w:rPr>
        <w:t>)</w:t>
      </w:r>
      <w:r>
        <w:rPr>
          <w:rFonts w:ascii="Myriad Pro" w:hAnsi="Myriad Pro"/>
          <w:sz w:val="24"/>
          <w:szCs w:val="24"/>
          <w:lang w:val="pt-PT"/>
        </w:rPr>
        <w:t xml:space="preserve"> Presupuesto de ingresos y de gastos de la actividad, con expresión de la financiación prevista, y al nivel de detalle que permita comprobar que todos los conceptos de gasto son subvencionables (Anexo III).</w:t>
      </w:r>
    </w:p>
    <w:p>
      <w:pPr>
        <w:pStyle w:val="Normal"/>
        <w:spacing w:before="171" w:after="171"/>
        <w:ind w:hanging="10" w:left="-5" w:right="9"/>
        <w:rPr>
          <w:rFonts w:ascii="Myriad Pro" w:hAnsi="Myriad Pro"/>
          <w:sz w:val="24"/>
          <w:szCs w:val="24"/>
        </w:rPr>
      </w:pPr>
      <w:r>
        <w:rPr>
          <w:rFonts w:ascii="Myriad Pro" w:hAnsi="Myriad Pro"/>
          <w:sz w:val="24"/>
          <w:szCs w:val="24"/>
        </w:rPr>
      </w:r>
    </w:p>
    <w:p>
      <w:pPr>
        <w:pStyle w:val="Normal"/>
        <w:spacing w:before="171" w:after="171"/>
        <w:ind w:hanging="10" w:left="-5" w:right="9"/>
        <w:rPr/>
      </w:pPr>
      <w:r>
        <w:rPr>
          <w:rFonts w:ascii="Myriad Pro" w:hAnsi="Myriad Pro"/>
          <w:sz w:val="24"/>
          <w:szCs w:val="24"/>
          <w:lang w:val="pt-PT"/>
        </w:rPr>
        <w:t>Asimismo, se presentará la siguiente documentación relativa a la entidad:</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d</w:t>
      </w:r>
      <w:r>
        <w:rPr>
          <w:rFonts w:ascii="Myriad Pro" w:hAnsi="Myriad Pro"/>
          <w:sz w:val="24"/>
          <w:szCs w:val="24"/>
          <w:lang w:val="pt-PT"/>
        </w:rPr>
        <w:t>)</w:t>
      </w:r>
      <w:r>
        <w:rPr>
          <w:rFonts w:ascii="Myriad Pro" w:hAnsi="Myriad Pro"/>
          <w:sz w:val="24"/>
          <w:szCs w:val="24"/>
          <w:lang w:val="pt-PT"/>
        </w:rPr>
        <w:t xml:space="preserve"> Certificación acreditativa de los cargos representativos y copia del acta donde figure la composición actual de la Xunta directiva (Anexo V).</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y</w:t>
      </w:r>
      <w:r>
        <w:rPr>
          <w:rFonts w:ascii="Myriad Pro" w:hAnsi="Myriad Pro"/>
          <w:sz w:val="24"/>
          <w:szCs w:val="24"/>
          <w:lang w:val="pt-PT"/>
        </w:rPr>
        <w:t>)</w:t>
      </w:r>
      <w:r>
        <w:rPr>
          <w:rFonts w:ascii="Myriad Pro" w:hAnsi="Myriad Pro"/>
          <w:sz w:val="24"/>
          <w:szCs w:val="24"/>
          <w:lang w:val="pt-PT"/>
        </w:rPr>
        <w:t xml:space="preserve"> Fotocopia compulsada del CIF de la entidad.</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f</w:t>
      </w:r>
      <w:r>
        <w:rPr>
          <w:rFonts w:ascii="Myriad Pro" w:hAnsi="Myriad Pro"/>
          <w:sz w:val="24"/>
          <w:szCs w:val="24"/>
          <w:lang w:val="pt-PT"/>
        </w:rPr>
        <w:t>)</w:t>
      </w:r>
      <w:r>
        <w:rPr>
          <w:rFonts w:ascii="Myriad Pro" w:hAnsi="Myriad Pro"/>
          <w:sz w:val="24"/>
          <w:szCs w:val="24"/>
          <w:lang w:val="pt-PT"/>
        </w:rPr>
        <w:t xml:space="preserve"> Documentación acreditativa de titularidad de la instalación deportiva utilizada normalmente referenciada en el punto 3 de los criterios de valoración.</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g</w:t>
      </w:r>
      <w:r>
        <w:rPr>
          <w:rFonts w:ascii="Myriad Pro" w:hAnsi="Myriad Pro"/>
          <w:sz w:val="24"/>
          <w:szCs w:val="24"/>
          <w:lang w:val="pt-PT"/>
        </w:rPr>
        <w:t>)</w:t>
      </w:r>
      <w:r>
        <w:rPr>
          <w:rFonts w:ascii="Myriad Pro" w:hAnsi="Myriad Pro"/>
          <w:sz w:val="24"/>
          <w:szCs w:val="24"/>
          <w:lang w:val="pt-PT"/>
        </w:rPr>
        <w:t xml:space="preserve"> Certificado expedido por la correspondiente Federación donde la entidad realiza la actividad subvencionada, indicando en la @dito certificación el número de fichas de cada equipo en las correspondientes categorías en las que participa (Anexo IV).</w:t>
      </w:r>
    </w:p>
    <w:p>
      <w:pPr>
        <w:pStyle w:val="Normal"/>
        <w:spacing w:before="171" w:after="171"/>
        <w:ind w:hanging="10" w:left="-5" w:right="9"/>
        <w:rPr/>
      </w:pPr>
      <w:r>
        <w:rPr>
          <w:rFonts w:ascii="Myriad Pro" w:hAnsi="Myriad Pro"/>
          <w:sz w:val="24"/>
          <w:szCs w:val="24"/>
          <w:lang w:val="pt-PT"/>
        </w:rPr>
        <w:t xml:space="preserve">  </w:t>
      </w:r>
      <w:r>
        <w:rPr>
          <w:rFonts w:ascii="Myriad Pro" w:hAnsi="Myriad Pro"/>
          <w:sz w:val="24"/>
          <w:szCs w:val="24"/>
          <w:lang w:val="pt-PT"/>
        </w:rPr>
        <w:t>h</w:t>
      </w:r>
      <w:r>
        <w:rPr>
          <w:rFonts w:ascii="Myriad Pro" w:hAnsi="Myriad Pro"/>
          <w:sz w:val="24"/>
          <w:szCs w:val="24"/>
          <w:lang w:val="pt-PT"/>
        </w:rPr>
        <w:t>)</w:t>
      </w:r>
      <w:r>
        <w:rPr>
          <w:rFonts w:ascii="Myriad Pro" w:hAnsi="Myriad Pro"/>
          <w:sz w:val="24"/>
          <w:szCs w:val="24"/>
          <w:lang w:val="pt-PT"/>
        </w:rPr>
        <w:t xml:space="preserve"> Certificación de los datos bancarios de la entidad solicitante, con correspondencia exacta con los datos acercados por la persona interesada en el que respeta al nombre o denominación #social, CIF y número de cuenta bancaria.</w:t>
      </w:r>
    </w:p>
    <w:p>
      <w:pPr>
        <w:pStyle w:val="Normal"/>
        <w:spacing w:before="171" w:after="171"/>
        <w:ind w:hanging="10" w:left="-5" w:right="9"/>
        <w:rPr/>
      </w:pPr>
      <w:r>
        <w:rPr>
          <w:rFonts w:ascii="Myriad Pro" w:hAnsi="Myriad Pro"/>
          <w:sz w:val="24"/>
          <w:szCs w:val="24"/>
          <w:lang w:val="pt-PT"/>
        </w:rPr>
        <w:t xml:space="preserve">No será necesario </w:t>
      </w:r>
      <w:r>
        <w:rPr>
          <w:rFonts w:ascii="Myriad Pro" w:hAnsi="Myriad Pro"/>
          <w:sz w:val="24"/>
          <w:szCs w:val="24"/>
          <w:lang w:val="pt-PT"/>
        </w:rPr>
        <w:t>presentar</w:t>
      </w:r>
      <w:r>
        <w:rPr>
          <w:rFonts w:ascii="Myriad Pro" w:hAnsi="Myriad Pro"/>
          <w:sz w:val="24"/>
          <w:szCs w:val="24"/>
          <w:lang w:val="pt-PT"/>
        </w:rPr>
        <w:t xml:space="preserve"> aquella documentación que ya esté registrada en este Ayuntamiento, pero que debe estar actualizada en el momento de la solicitud de la subvención al respeto del contexto real organizativo de la entidad.</w:t>
      </w:r>
    </w:p>
    <w:p>
      <w:pPr>
        <w:pStyle w:val="Normal"/>
        <w:spacing w:before="171" w:after="171"/>
        <w:ind w:hanging="10" w:left="-5" w:right="9"/>
        <w:rPr/>
      </w:pPr>
      <w:r>
        <w:rPr>
          <w:rFonts w:ascii="Myriad Pro" w:hAnsi="Myriad Pro"/>
          <w:sz w:val="24"/>
          <w:szCs w:val="24"/>
          <w:lang w:val="pt-PT"/>
        </w:rPr>
        <w:t>Los documentos normalizados señalados cómo “anexos” en esta convocatoria podrán ser ampliados por las personas solicitantes acercando la documentación que estimen oportuna para la mejor valoración de sus solicitudes.</w:t>
      </w:r>
    </w:p>
    <w:p>
      <w:pPr>
        <w:pStyle w:val="Normal"/>
        <w:spacing w:before="171" w:after="171"/>
        <w:ind w:hanging="10" w:left="-5" w:right="9"/>
        <w:rPr/>
      </w:pPr>
      <w:r>
        <w:rPr>
          <w:rFonts w:ascii="Myriad Pro" w:hAnsi="Myriad Pro"/>
          <w:sz w:val="24"/>
          <w:szCs w:val="24"/>
          <w:lang w:val="pt-PT"/>
        </w:rPr>
        <w:t xml:space="preserve">La comprobación de la existencia de datos no ajustados a la realidad, tanto en la solicitud como en la documentación </w:t>
      </w:r>
      <w:r>
        <w:rPr>
          <w:rFonts w:ascii="Myriad Pro" w:hAnsi="Myriad Pro"/>
          <w:sz w:val="24"/>
          <w:szCs w:val="24"/>
          <w:lang w:val="pt-PT"/>
        </w:rPr>
        <w:t>presentada</w:t>
      </w:r>
      <w:r>
        <w:rPr>
          <w:rFonts w:ascii="Myriad Pro" w:hAnsi="Myriad Pro"/>
          <w:sz w:val="24"/>
          <w:szCs w:val="24"/>
          <w:lang w:val="pt-PT"/>
        </w:rPr>
        <w:t xml:space="preserve"> podrá comportar, en función de su importancia, la denegación de la ayuda o subvención solicitada, o su reintegro, sin perjuicio de las restantes responsabilidades que se dedujeran.</w:t>
      </w:r>
    </w:p>
    <w:p>
      <w:pPr>
        <w:pStyle w:val="Normal"/>
        <w:spacing w:before="171" w:after="171"/>
        <w:ind w:hanging="10" w:left="-5" w:right="9"/>
        <w:rPr>
          <w:rFonts w:ascii="Myriad Pro" w:hAnsi="Myriad Pro"/>
          <w:sz w:val="24"/>
          <w:szCs w:val="24"/>
        </w:rPr>
      </w:pPr>
      <w:r>
        <w:rPr>
          <w:rFonts w:ascii="Myriad Pro" w:hAnsi="Myriad Pro"/>
          <w:sz w:val="24"/>
          <w:szCs w:val="24"/>
        </w:rPr>
      </w:r>
    </w:p>
    <w:p>
      <w:pPr>
        <w:pStyle w:val="Heading1"/>
        <w:spacing w:before="171" w:after="171"/>
        <w:ind w:hanging="10" w:left="-5"/>
        <w:rPr/>
      </w:pPr>
      <w:r>
        <w:rPr>
          <w:rFonts w:ascii="Myriad Pro" w:hAnsi="Myriad Pro"/>
          <w:sz w:val="24"/>
          <w:szCs w:val="24"/>
          <w:lang w:val="pt-PT"/>
        </w:rPr>
        <w:t>Artículo 7.- PRESENTACIÓN Y PLAZO.</w:t>
      </w:r>
    </w:p>
    <w:p>
      <w:pPr>
        <w:pStyle w:val="Normal"/>
        <w:spacing w:lineRule="auto" w:line="235" w:before="171" w:after="171"/>
        <w:ind w:hanging="10" w:left="-5" w:right="0"/>
        <w:jc w:val="left"/>
        <w:rPr/>
      </w:pPr>
      <w:r>
        <w:rPr>
          <w:rFonts w:ascii="Myriad Pro" w:hAnsi="Myriad Pro"/>
          <w:sz w:val="24"/>
          <w:szCs w:val="24"/>
          <w:lang w:val="pt-PT"/>
        </w:rPr>
        <w:t>La solicitud de subvención se presentará en la sede electrónica del Ayuntamiento de San Sadurniño o bien a través de los restantes registros electrónicos a los que hace referencia el artículo 16.4.la) de la Ley 39/2015, de 1 de octubre , de Procedimiento Administrativo Común de las Administraciones Públicas, en el plazo de un mes contado a partir del día siguiente al de la publicación de esta convocatoria en la BDSN. Deberá presentarse en los anexos oficiales de la convocatoria.</w:t>
      </w:r>
    </w:p>
    <w:p>
      <w:pPr>
        <w:pStyle w:val="Normal"/>
        <w:spacing w:lineRule="auto" w:line="235" w:before="171" w:after="171"/>
        <w:ind w:hanging="10" w:left="-5" w:right="0"/>
        <w:jc w:val="left"/>
        <w:rPr/>
      </w:pPr>
      <w:r>
        <w:rPr>
          <w:rFonts w:ascii="Myriad Pro" w:hAnsi="Myriad Pro"/>
          <w:sz w:val="24"/>
          <w:szCs w:val="24"/>
          <w:lang w:val="pt-PT"/>
        </w:rPr>
        <w:t>En el</w:t>
      </w:r>
      <w:r>
        <w:rPr>
          <w:rFonts w:ascii="Myriad Pro" w:hAnsi="Myriad Pro"/>
          <w:sz w:val="24"/>
          <w:szCs w:val="24"/>
          <w:lang w:val="pt-PT"/>
        </w:rPr>
        <w:t xml:space="preserve"> supuesto de que las solicitudes presentadas no reúnan los requisitos señalados, se requerirá a las entidades o personas interesadas para que en el plazo de diez días hábiles emenden las anomalías advertidas. </w:t>
      </w:r>
      <w:r>
        <w:rPr>
          <w:rFonts w:ascii="Myriad Pro" w:hAnsi="Myriad Pro"/>
          <w:sz w:val="24"/>
          <w:szCs w:val="24"/>
          <w:lang w:val="pt-PT"/>
        </w:rPr>
        <w:t>En el</w:t>
      </w:r>
      <w:r>
        <w:rPr>
          <w:rFonts w:ascii="Myriad Pro" w:hAnsi="Myriad Pro"/>
          <w:sz w:val="24"/>
          <w:szCs w:val="24"/>
          <w:lang w:val="pt-PT"/>
        </w:rPr>
        <w:t xml:space="preserve"> caso contrario se procederá al archivo de la solicitud.</w:t>
      </w:r>
    </w:p>
    <w:p>
      <w:pPr>
        <w:pStyle w:val="Normal"/>
        <w:spacing w:lineRule="auto" w:line="235" w:before="171" w:after="171"/>
        <w:ind w:hanging="10" w:left="-5" w:right="0"/>
        <w:jc w:val="left"/>
        <w:rPr/>
      </w:pPr>
      <w:r>
        <w:rPr>
          <w:rFonts w:ascii="Myriad Pro" w:hAnsi="Myriad Pro"/>
          <w:sz w:val="24"/>
          <w:szCs w:val="24"/>
          <w:lang w:val="pt-PT"/>
        </w:rPr>
        <w:t>Las solicitudes presentadas fuera de plazo no tendrán derecho a participar en la convocatoria.</w:t>
      </w:r>
    </w:p>
    <w:p>
      <w:pPr>
        <w:pStyle w:val="Normal"/>
        <w:spacing w:lineRule="auto" w:line="235" w:before="171" w:after="171"/>
        <w:ind w:hanging="10" w:left="-5" w:right="0"/>
        <w:jc w:val="left"/>
        <w:rPr>
          <w:rFonts w:ascii="Myriad Pro" w:hAnsi="Myriad Pro"/>
          <w:sz w:val="24"/>
          <w:szCs w:val="24"/>
        </w:rPr>
      </w:pPr>
      <w:r>
        <w:rPr>
          <w:rFonts w:ascii="Myriad Pro" w:hAnsi="Myriad Pro"/>
          <w:sz w:val="24"/>
          <w:szCs w:val="24"/>
        </w:rPr>
      </w:r>
    </w:p>
    <w:p>
      <w:pPr>
        <w:pStyle w:val="Heading1"/>
        <w:spacing w:before="171" w:after="171"/>
        <w:ind w:hanging="10" w:left="-5"/>
        <w:rPr/>
      </w:pPr>
      <w:r>
        <w:rPr>
          <w:rFonts w:ascii="Myriad Pro" w:hAnsi="Myriad Pro"/>
          <w:sz w:val="24"/>
          <w:szCs w:val="24"/>
          <w:lang w:val="pt-PT"/>
        </w:rPr>
        <w:t>Artículo 8.- INSTRUCCIÓN Y ÓRGANO INSTRUCTOR.</w:t>
      </w:r>
    </w:p>
    <w:p>
      <w:pPr>
        <w:pStyle w:val="Normal"/>
        <w:spacing w:before="171" w:after="171"/>
        <w:ind w:hanging="10" w:left="-5" w:right="11"/>
        <w:rPr/>
      </w:pPr>
      <w:r>
        <w:rPr>
          <w:rFonts w:ascii="Myriad Pro" w:hAnsi="Myriad Pro"/>
          <w:sz w:val="24"/>
          <w:szCs w:val="24"/>
          <w:lang w:val="pt-PT"/>
        </w:rPr>
        <w:t>La</w:t>
      </w:r>
      <w:r>
        <w:rPr>
          <w:rFonts w:ascii="Myriad Pro" w:hAnsi="Myriad Pro"/>
          <w:sz w:val="24"/>
          <w:szCs w:val="24"/>
          <w:lang w:val="pt-PT"/>
        </w:rPr>
        <w:t xml:space="preserve"> instrucción del procedimiento de concesión de subvenciones le corresponde al técnico del Servicio. El técnico del servicio realizará de oficio cuantas actuaciones estime necesarias para la determinación, conocimiento y comprobación de los datos en virtud de los cuales debe formularse la propuesta de resolución.</w:t>
      </w:r>
    </w:p>
    <w:p>
      <w:pPr>
        <w:pStyle w:val="Normal"/>
        <w:spacing w:before="171" w:after="171"/>
        <w:ind w:hanging="10" w:left="-5" w:right="11"/>
        <w:rPr/>
      </w:pPr>
      <w:r>
        <w:rPr>
          <w:rFonts w:ascii="Myriad Pro" w:hAnsi="Myriad Pro"/>
          <w:sz w:val="24"/>
          <w:szCs w:val="24"/>
          <w:lang w:val="pt-PT"/>
        </w:rPr>
        <w:t>Las actividades de instrucción comprenderán:</w:t>
      </w:r>
    </w:p>
    <w:p>
      <w:pPr>
        <w:pStyle w:val="Normal"/>
        <w:numPr>
          <w:ilvl w:val="0"/>
          <w:numId w:val="1"/>
        </w:numPr>
        <w:spacing w:before="171" w:after="171"/>
        <w:ind w:hanging="10" w:left="-5" w:right="11"/>
        <w:rPr/>
      </w:pPr>
      <w:r>
        <w:rPr>
          <w:rFonts w:ascii="Myriad Pro" w:hAnsi="Myriad Pro"/>
          <w:sz w:val="24"/>
          <w:szCs w:val="24"/>
          <w:lang w:val="pt-PT"/>
        </w:rPr>
        <w:t>Petición de c</w:t>
      </w:r>
      <w:r>
        <w:rPr>
          <w:rFonts w:ascii="Myriad Pro" w:hAnsi="Myriad Pro"/>
          <w:sz w:val="24"/>
          <w:szCs w:val="24"/>
          <w:lang w:val="pt-PT"/>
        </w:rPr>
        <w:t>u</w:t>
      </w:r>
      <w:r>
        <w:rPr>
          <w:rFonts w:ascii="Myriad Pro" w:hAnsi="Myriad Pro"/>
          <w:sz w:val="24"/>
          <w:szCs w:val="24"/>
          <w:lang w:val="pt-PT"/>
        </w:rPr>
        <w:t>antos informes estime necesarios o aquellos que sean exigidos por las normas que regulen las subvenciones.</w:t>
      </w:r>
    </w:p>
    <w:p>
      <w:pPr>
        <w:pStyle w:val="Normal"/>
        <w:numPr>
          <w:ilvl w:val="0"/>
          <w:numId w:val="1"/>
        </w:numPr>
        <w:spacing w:before="171" w:after="171"/>
        <w:ind w:hanging="10" w:left="-5" w:right="11"/>
        <w:rPr/>
      </w:pPr>
      <w:r>
        <w:rPr>
          <w:rFonts w:ascii="Myriad Pro" w:hAnsi="Myriad Pro"/>
          <w:sz w:val="24"/>
          <w:szCs w:val="24"/>
          <w:lang w:val="pt-PT"/>
        </w:rPr>
        <w:t>Evaluación de las solicitudes o peticiones, realizada según los criterios de valoración establecidos en las bases de la convocatoria.</w:t>
      </w:r>
    </w:p>
    <w:p>
      <w:pPr>
        <w:pStyle w:val="Normal"/>
        <w:spacing w:before="171" w:after="171"/>
        <w:ind w:hanging="10" w:left="-5" w:right="11"/>
        <w:rPr/>
      </w:pPr>
      <w:r>
        <w:rPr>
          <w:rFonts w:ascii="Myriad Pro" w:hAnsi="Myriad Pro"/>
          <w:sz w:val="24"/>
          <w:szCs w:val="24"/>
          <w:lang w:val="pt-PT"/>
        </w:rPr>
        <w:t>Una vez evaluadas las solicitudes, la concesión de subvenciones se realizará por resolución de la Xunta de Gobierno Local.</w:t>
      </w:r>
    </w:p>
    <w:p>
      <w:pPr>
        <w:pStyle w:val="Normal"/>
        <w:spacing w:before="171" w:after="171"/>
        <w:ind w:hanging="10" w:left="-5" w:right="11"/>
        <w:rPr/>
      </w:pPr>
      <w:r>
        <w:rPr>
          <w:rFonts w:ascii="Myriad Pro" w:hAnsi="Myriad Pro"/>
          <w:sz w:val="24"/>
          <w:szCs w:val="24"/>
          <w:lang w:val="pt-PT"/>
        </w:rPr>
        <w:t xml:space="preserve">Se podrá conceder, en caso de que se considerara preciso por la incorporación al expediente de alegatos y pruebas distintas de las formuladas por las entidades solicitantes, </w:t>
      </w:r>
      <w:r>
        <w:rPr>
          <w:rFonts w:ascii="Myriad Pro" w:hAnsi="Myriad Pro"/>
          <w:sz w:val="24"/>
          <w:szCs w:val="24"/>
          <w:lang w:val="pt-PT"/>
        </w:rPr>
        <w:t>n</w:t>
      </w:r>
      <w:r>
        <w:rPr>
          <w:rFonts w:ascii="Myriad Pro" w:hAnsi="Myriad Pro"/>
          <w:sz w:val="24"/>
          <w:szCs w:val="24"/>
          <w:lang w:val="pt-PT"/>
        </w:rPr>
        <w:t>un plazo de diez días hábiles para presentar alegatos, pasado lo cual se formularía la propuesta de resolución definitiva.</w:t>
      </w:r>
    </w:p>
    <w:p>
      <w:pPr>
        <w:pStyle w:val="Normal"/>
        <w:spacing w:before="171" w:after="171"/>
        <w:ind w:hanging="10" w:left="-5" w:right="11"/>
        <w:rPr>
          <w:rFonts w:ascii="Myriad Pro" w:hAnsi="Myriad Pro"/>
          <w:sz w:val="24"/>
          <w:szCs w:val="24"/>
        </w:rPr>
      </w:pPr>
      <w:r>
        <w:rPr>
          <w:rFonts w:ascii="Myriad Pro" w:hAnsi="Myriad Pro"/>
          <w:sz w:val="24"/>
          <w:szCs w:val="24"/>
        </w:rPr>
      </w:r>
    </w:p>
    <w:p>
      <w:pPr>
        <w:pStyle w:val="Heading1"/>
        <w:spacing w:before="171" w:after="171"/>
        <w:ind w:hanging="10" w:left="-5"/>
        <w:rPr/>
      </w:pPr>
      <w:r>
        <w:rPr>
          <w:rFonts w:ascii="Myriad Pro" w:hAnsi="Myriad Pro"/>
          <w:sz w:val="24"/>
          <w:szCs w:val="24"/>
        </w:rPr>
        <w:t>Artículo 9.- RESOLUCIÓN.</w:t>
      </w:r>
    </w:p>
    <w:p>
      <w:pPr>
        <w:pStyle w:val="Normal"/>
        <w:spacing w:before="171" w:after="171"/>
        <w:ind w:hanging="10" w:left="-5" w:right="9"/>
        <w:rPr/>
      </w:pPr>
      <w:r>
        <w:rPr>
          <w:rFonts w:ascii="Myriad Pro" w:hAnsi="Myriad Pro"/>
          <w:sz w:val="24"/>
          <w:szCs w:val="24"/>
        </w:rPr>
        <w:t>El estudio y, de ser el caso, la concesión o denegación de ayudas económicas, se realizará una vez revisadas las solicitudes presentadas elaborándose propuesta de resolución que será resuelta por la Xunta de Gobierno Local concediendo o denegando la ayuda.</w:t>
      </w:r>
    </w:p>
    <w:p>
      <w:pPr>
        <w:pStyle w:val="Normal"/>
        <w:spacing w:before="171" w:after="171"/>
        <w:ind w:hanging="10" w:left="-5" w:right="9"/>
        <w:rPr/>
      </w:pPr>
      <w:r>
        <w:rPr>
          <w:rFonts w:ascii="Myriad Pro" w:hAnsi="Myriad Pro"/>
          <w:sz w:val="24"/>
          <w:szCs w:val="24"/>
        </w:rPr>
        <w:t>En la resolución, en el caso de ser positiva, se hará constar la cuantía de la subvención.</w:t>
      </w:r>
    </w:p>
    <w:p>
      <w:pPr>
        <w:pStyle w:val="Normal"/>
        <w:spacing w:before="171" w:after="171"/>
        <w:ind w:hanging="10" w:left="-5" w:right="9"/>
        <w:rPr/>
      </w:pPr>
      <w:r>
        <w:rPr>
          <w:rFonts w:ascii="Myriad Pro" w:hAnsi="Myriad Pro"/>
          <w:sz w:val="24"/>
          <w:szCs w:val="24"/>
        </w:rPr>
        <w:t>La resolución pone fin a la vía administrativa.</w:t>
      </w:r>
    </w:p>
    <w:p>
      <w:pPr>
        <w:pStyle w:val="Normal"/>
        <w:spacing w:before="171" w:after="171"/>
        <w:ind w:hanging="10" w:left="-5" w:right="9"/>
        <w:rPr>
          <w:rFonts w:ascii="Myriad Pro" w:hAnsi="Myriad Pro"/>
          <w:sz w:val="24"/>
          <w:szCs w:val="24"/>
        </w:rPr>
      </w:pPr>
      <w:r>
        <w:rPr>
          <w:rFonts w:ascii="Myriad Pro" w:hAnsi="Myriad Pro"/>
          <w:sz w:val="24"/>
          <w:szCs w:val="24"/>
        </w:rPr>
      </w:r>
    </w:p>
    <w:p>
      <w:pPr>
        <w:pStyle w:val="Heading1"/>
        <w:spacing w:before="171" w:after="171"/>
        <w:ind w:hanging="10" w:left="-5"/>
        <w:rPr/>
      </w:pPr>
      <w:r>
        <w:rPr>
          <w:rFonts w:ascii="Myriad Pro" w:hAnsi="Myriad Pro"/>
          <w:sz w:val="24"/>
          <w:szCs w:val="24"/>
        </w:rPr>
        <w:t>Artículo 10.- ACEPTACIÓN DE LA SUBVENCIÓN Y COMPROMISOS.</w:t>
      </w:r>
    </w:p>
    <w:p>
      <w:pPr>
        <w:pStyle w:val="Normal"/>
        <w:spacing w:before="171" w:after="171"/>
        <w:ind w:hanging="10" w:left="-5" w:right="9"/>
        <w:rPr/>
      </w:pPr>
      <w:r>
        <w:rPr>
          <w:rFonts w:ascii="Myriad Pro" w:hAnsi="Myriad Pro"/>
          <w:sz w:val="24"/>
          <w:szCs w:val="24"/>
        </w:rPr>
        <w:t>La subvención se entenderá aceptada si dentro del plazo del mes siguiente a la recepción de la comunicación de la concesión, no manifiesta nada en contra.</w:t>
      </w:r>
    </w:p>
    <w:p>
      <w:pPr>
        <w:pStyle w:val="Normal"/>
        <w:spacing w:before="171" w:after="171"/>
        <w:ind w:hanging="10" w:left="-5" w:right="9"/>
        <w:rPr/>
      </w:pPr>
      <w:r>
        <w:rPr>
          <w:rFonts w:ascii="Myriad Pro" w:hAnsi="Myriad Pro"/>
          <w:sz w:val="24"/>
          <w:szCs w:val="24"/>
        </w:rPr>
        <w:t>Las entidades beneficiarias se someterán a las actuaciones de comprobación y seguimiento de la aplicación de la subvención por el Ayuntamiento de San Sadurniño, con los medios que estime oportunos y facilitará cuanta información sea requerida por el Consejo de Cuentas, de ser el caso. La obtención concurrente de subvenciones o ayudas otorgadas por otras Administraciones, entidades o personas físicas pueden dar lugar a la modificación de la resolución de otorgamiento.</w:t>
      </w:r>
    </w:p>
    <w:p>
      <w:pPr>
        <w:pStyle w:val="Normal"/>
        <w:spacing w:before="171" w:after="171"/>
        <w:ind w:hanging="10" w:left="-5" w:right="9"/>
        <w:rPr/>
      </w:pPr>
      <w:r>
        <w:rPr>
          <w:rFonts w:ascii="Myriad Pro" w:hAnsi="Myriad Pro"/>
          <w:sz w:val="24"/>
          <w:szCs w:val="24"/>
        </w:rPr>
        <w:t>Las entidades beneficiarias adquieren los siguientes compromisos:</w:t>
      </w:r>
    </w:p>
    <w:p>
      <w:pPr>
        <w:pStyle w:val="Normal"/>
        <w:numPr>
          <w:ilvl w:val="0"/>
          <w:numId w:val="2"/>
        </w:numPr>
        <w:spacing w:before="171" w:after="171"/>
        <w:rPr/>
      </w:pPr>
      <w:r>
        <w:rPr>
          <w:rFonts w:ascii="Myriad Pro" w:hAnsi="Myriad Pro"/>
          <w:sz w:val="24"/>
          <w:szCs w:val="24"/>
        </w:rPr>
        <w:t>Desarrollar la actividad deportiva a lo largo de la temporada 2024/2025.</w:t>
      </w:r>
    </w:p>
    <w:p>
      <w:pPr>
        <w:pStyle w:val="Normal"/>
        <w:numPr>
          <w:ilvl w:val="0"/>
          <w:numId w:val="2"/>
        </w:numPr>
        <w:spacing w:before="171" w:after="171"/>
        <w:rPr/>
      </w:pPr>
      <w:r>
        <w:rPr>
          <w:rFonts w:ascii="Myriad Pro" w:hAnsi="Myriad Pro"/>
          <w:sz w:val="24"/>
          <w:szCs w:val="24"/>
        </w:rPr>
        <w:t>Dar publicidad de la financiación de este ayuntamiento de acuerdo con el establecido en el artículo 14 de estas bases.</w:t>
      </w:r>
    </w:p>
    <w:p>
      <w:pPr>
        <w:pStyle w:val="Normal"/>
        <w:numPr>
          <w:ilvl w:val="0"/>
          <w:numId w:val="2"/>
        </w:numPr>
        <w:spacing w:before="171" w:after="171"/>
        <w:rPr/>
      </w:pPr>
      <w:r>
        <w:rPr>
          <w:rFonts w:ascii="Myriad Pro" w:hAnsi="Myriad Pro"/>
          <w:sz w:val="24"/>
          <w:szCs w:val="24"/>
        </w:rPr>
        <w:t>Cumplir con los compromisos sobre el uso de la lengua gallega y la promoción de la igualdad y la inclusión, según se recoge en el artículo 14 de estas bases.</w:t>
      </w:r>
    </w:p>
    <w:p>
      <w:pPr>
        <w:pStyle w:val="Normal"/>
        <w:numPr>
          <w:ilvl w:val="0"/>
          <w:numId w:val="2"/>
        </w:numPr>
        <w:spacing w:before="171" w:after="171"/>
        <w:rPr/>
      </w:pPr>
      <w:r>
        <w:rPr>
          <w:rFonts w:ascii="Myriad Pro" w:hAnsi="Myriad Pro"/>
          <w:sz w:val="24"/>
          <w:szCs w:val="24"/>
        </w:rPr>
        <w:t>Cumplir el objetivo, ejecutar el proyecto, realizar la actividad o adoptar el comportamiento que fundamenta la concesión de la subvención.</w:t>
      </w:r>
    </w:p>
    <w:p>
      <w:pPr>
        <w:pStyle w:val="Normal"/>
        <w:numPr>
          <w:ilvl w:val="0"/>
          <w:numId w:val="2"/>
        </w:numPr>
        <w:spacing w:before="171" w:after="171"/>
        <w:rPr/>
      </w:pPr>
      <w:r>
        <w:rPr>
          <w:rFonts w:ascii="Myriad Pro" w:hAnsi="Myriad Pro"/>
          <w:sz w:val="24"/>
          <w:szCs w:val="24"/>
        </w:rPr>
        <w:t>Justificar el cumplimiento de los requisitos y condiciones, la realización de la actividad y el cumplimiento de la finalidad que determinen la concesión o disfrute de la subvención.</w:t>
      </w:r>
    </w:p>
    <w:p>
      <w:pPr>
        <w:pStyle w:val="Normal"/>
        <w:numPr>
          <w:ilvl w:val="0"/>
          <w:numId w:val="2"/>
        </w:numPr>
        <w:spacing w:before="171" w:after="171"/>
        <w:rPr/>
      </w:pPr>
      <w:r>
        <w:rPr>
          <w:rFonts w:ascii="Myriad Pro" w:hAnsi="Myriad Pro"/>
          <w:sz w:val="24"/>
          <w:szCs w:val="24"/>
        </w:rPr>
        <w:t>Someterse a las actuaciones de comprobación y control de los órganos competentes y acercar la información que les sea requerida, para lo cuál se deberán conservar los documentos justificativos de la aplicación de los fondos recibidos, en tanto puedan ser objeto de las actuaciones de comprobación y control.</w:t>
      </w:r>
    </w:p>
    <w:p>
      <w:pPr>
        <w:pStyle w:val="Normal"/>
        <w:numPr>
          <w:ilvl w:val="0"/>
          <w:numId w:val="2"/>
        </w:numPr>
        <w:spacing w:before="171" w:after="171"/>
        <w:rPr/>
      </w:pPr>
      <w:r>
        <w:rPr>
          <w:rFonts w:ascii="Myriad Pro" w:hAnsi="Myriad Pro"/>
          <w:sz w:val="24"/>
          <w:szCs w:val="24"/>
        </w:rPr>
        <w:t xml:space="preserve">Acreditar, cuando se le requiera, delante del Ayuntamiento </w:t>
      </w:r>
      <w:r>
        <w:rPr>
          <w:rFonts w:ascii="Myriad Pro" w:hAnsi="Myriad Pro"/>
          <w:sz w:val="24"/>
          <w:szCs w:val="24"/>
        </w:rPr>
        <w:t>l</w:t>
      </w:r>
      <w:r>
        <w:rPr>
          <w:rFonts w:ascii="Myriad Pro" w:hAnsi="Myriad Pro"/>
          <w:sz w:val="24"/>
          <w:szCs w:val="24"/>
        </w:rPr>
        <w:t>a realización de la actividad o proyecto.</w:t>
      </w:r>
    </w:p>
    <w:p>
      <w:pPr>
        <w:pStyle w:val="Normal"/>
        <w:spacing w:before="171" w:after="171"/>
        <w:ind w:hanging="10" w:left="-5" w:right="9"/>
        <w:rPr>
          <w:rFonts w:ascii="Myriad Pro" w:hAnsi="Myriad Pro"/>
          <w:sz w:val="24"/>
          <w:szCs w:val="24"/>
        </w:rPr>
      </w:pPr>
      <w:r>
        <w:rPr>
          <w:rFonts w:ascii="Myriad Pro" w:hAnsi="Myriad Pro"/>
          <w:sz w:val="24"/>
          <w:szCs w:val="24"/>
        </w:rPr>
      </w:r>
    </w:p>
    <w:p>
      <w:pPr>
        <w:pStyle w:val="Heading1"/>
        <w:spacing w:before="171" w:after="171"/>
        <w:ind w:hanging="10" w:left="-5"/>
        <w:rPr/>
      </w:pPr>
      <w:r>
        <w:rPr>
          <w:rFonts w:ascii="Myriad Pro" w:hAnsi="Myriad Pro"/>
          <w:sz w:val="24"/>
          <w:szCs w:val="24"/>
        </w:rPr>
        <w:t xml:space="preserve">Artículo 11.- </w:t>
      </w:r>
      <w:r>
        <w:rPr>
          <w:rFonts w:ascii="Myriad Pro" w:hAnsi="Myriad Pro"/>
          <w:sz w:val="24"/>
          <w:szCs w:val="24"/>
          <w:lang w:val="pt-PT"/>
        </w:rPr>
        <w:t>PLAZO Y JUSTIFICACIÓN DE LAS SUBVENCIONES.</w:t>
      </w:r>
    </w:p>
    <w:p>
      <w:pPr>
        <w:pStyle w:val="Normal"/>
        <w:spacing w:before="171" w:after="171"/>
        <w:ind w:hanging="10" w:left="-5" w:right="11"/>
        <w:rPr/>
      </w:pPr>
      <w:r>
        <w:rPr>
          <w:rFonts w:ascii="Myriad Pro" w:hAnsi="Myriad Pro"/>
          <w:sz w:val="24"/>
          <w:szCs w:val="24"/>
          <w:lang w:val="pt-PT"/>
        </w:rPr>
        <w:t>Para poder percibir las subvenciones concedidas de acuerdo con las presentes bases, las entidades beneficiarias presentarán la documentación justificativa en la sede electrónica del Ayuntamiento.</w:t>
      </w:r>
    </w:p>
    <w:p>
      <w:pPr>
        <w:pStyle w:val="Normal"/>
        <w:spacing w:before="171" w:after="171"/>
        <w:ind w:hanging="10" w:left="-5" w:right="11"/>
        <w:rPr/>
      </w:pPr>
      <w:r>
        <w:rPr>
          <w:rFonts w:ascii="Myriad Pro" w:hAnsi="Myriad Pro"/>
          <w:sz w:val="24"/>
          <w:szCs w:val="24"/>
          <w:lang w:val="pt-PT"/>
        </w:rPr>
        <w:t>Las subvenciones concedidas se abonarán tras la justificación de la inversión por parte de la entidad. A la vista de la documentación justificativa presentada, el órgano competente valorará el cumplimiento de la finalidad de la subvención.</w:t>
      </w:r>
    </w:p>
    <w:p>
      <w:pPr>
        <w:pStyle w:val="Normal"/>
        <w:spacing w:before="171" w:after="171"/>
        <w:ind w:hanging="10" w:left="-5" w:right="11"/>
        <w:rPr/>
      </w:pPr>
      <w:r>
        <w:rPr>
          <w:rFonts w:ascii="Myriad Pro" w:hAnsi="Myriad Pro"/>
          <w:sz w:val="24"/>
          <w:szCs w:val="24"/>
          <w:lang w:val="pt-PT"/>
        </w:rPr>
        <w:t>El abono de la subvención se materializará mediante ingreso en la cuenta de la entidad financiera señalada por la entidad beneficiaria en la documentación presentada.</w:t>
      </w:r>
    </w:p>
    <w:p>
      <w:pPr>
        <w:pStyle w:val="Normal"/>
        <w:spacing w:before="171" w:after="171"/>
        <w:ind w:hanging="10" w:left="-5" w:right="11"/>
        <w:rPr/>
      </w:pPr>
      <w:r>
        <w:rPr>
          <w:rFonts w:ascii="Myriad Pro" w:hAnsi="Myriad Pro"/>
          <w:sz w:val="24"/>
          <w:szCs w:val="24"/>
          <w:lang w:val="pt-PT"/>
        </w:rPr>
        <w:t>El plazo de justificación finalizará el 30 de noviembre de 2025, excepto que se solicitara y concediera una prórroga, que no excederá nunca del plazo de 50 días.</w:t>
      </w:r>
    </w:p>
    <w:p>
      <w:pPr>
        <w:pStyle w:val="Normal"/>
        <w:spacing w:before="171" w:after="171"/>
        <w:ind w:hanging="10" w:left="-5" w:right="11"/>
        <w:rPr/>
      </w:pPr>
      <w:r>
        <w:rPr>
          <w:rFonts w:ascii="Myriad Pro" w:hAnsi="Myriad Pro"/>
          <w:sz w:val="24"/>
          <w:szCs w:val="24"/>
          <w:lang w:val="pt-PT"/>
        </w:rPr>
        <w:t>La documentación justificativa contendrá la siguiente documentación:</w:t>
      </w:r>
    </w:p>
    <w:p>
      <w:pPr>
        <w:pStyle w:val="Normal"/>
        <w:numPr>
          <w:ilvl w:val="0"/>
          <w:numId w:val="3"/>
        </w:numPr>
        <w:spacing w:before="171" w:after="171"/>
        <w:ind w:hanging="10" w:left="-5" w:right="11"/>
        <w:rPr/>
      </w:pPr>
      <w:r>
        <w:rPr>
          <w:rFonts w:ascii="Myriad Pro" w:hAnsi="Myriad Pro"/>
          <w:sz w:val="24"/>
          <w:szCs w:val="24"/>
          <w:lang w:val="pt-PT"/>
        </w:rPr>
        <w:t xml:space="preserve">Memoria explicativa de la realización de la actividad objeto de subvención y grado de cumplimiento de objetivos, que incluya un balance de ingresos y gastos realizados con motivo de la actividad, de forma que se pueda comprobar la concordancia con el presupuesto inicial presentado. </w:t>
      </w:r>
    </w:p>
    <w:p>
      <w:pPr>
        <w:pStyle w:val="Normal"/>
        <w:numPr>
          <w:ilvl w:val="0"/>
          <w:numId w:val="3"/>
        </w:numPr>
        <w:spacing w:before="171" w:after="171"/>
        <w:ind w:hanging="10" w:left="-5" w:right="11"/>
        <w:rPr/>
      </w:pPr>
      <w:r>
        <w:rPr>
          <w:rFonts w:ascii="Myriad Pro" w:hAnsi="Myriad Pro"/>
          <w:sz w:val="24"/>
          <w:szCs w:val="24"/>
          <w:lang w:val="pt-PT"/>
        </w:rPr>
        <w:t xml:space="preserve">Las entidades beneficiarias de la subvención quedan obligadas a justificar la ayuda, con la cantidad resultante de la suma del importe de la subvención concedida, más el 20% del presupuesto presentado en la solicitud. </w:t>
      </w:r>
      <w:r>
        <w:rPr>
          <w:rFonts w:ascii="Myriad Pro" w:hAnsi="Myriad Pro"/>
          <w:sz w:val="24"/>
          <w:szCs w:val="24"/>
          <w:lang w:val="pt-PT"/>
        </w:rPr>
        <w:t>En el</w:t>
      </w:r>
      <w:r>
        <w:rPr>
          <w:rFonts w:ascii="Myriad Pro" w:hAnsi="Myriad Pro"/>
          <w:sz w:val="24"/>
          <w:szCs w:val="24"/>
          <w:lang w:val="pt-PT"/>
        </w:rPr>
        <w:t xml:space="preserve"> caso de recibir ayudas o subvenciones de otras entidades públicas o privadas, el importe del gasto justificado deberá ser como mínimo la suma total de las cantidades recibidas, más el 20% adicional de la subvención concedida en esta convocatoria.</w:t>
      </w:r>
    </w:p>
    <w:p>
      <w:pPr>
        <w:pStyle w:val="Normal"/>
        <w:numPr>
          <w:ilvl w:val="0"/>
          <w:numId w:val="3"/>
        </w:numPr>
        <w:spacing w:before="171" w:after="171"/>
        <w:ind w:hanging="10" w:left="-5" w:right="11"/>
        <w:rPr/>
      </w:pPr>
      <w:r>
        <w:rPr>
          <w:rFonts w:ascii="Myriad Pro" w:hAnsi="Myriad Pro"/>
          <w:sz w:val="24"/>
          <w:szCs w:val="24"/>
          <w:lang w:val="pt-PT"/>
        </w:rPr>
        <w:t>Relación detallada de las subvenciones solicitadas y/o concedidas hasta el momento de la justificación de esta subvención, así como de otros ingresos público o privados para la financiación de las actividades o inversiones.</w:t>
      </w:r>
    </w:p>
    <w:p>
      <w:pPr>
        <w:pStyle w:val="Normal"/>
        <w:numPr>
          <w:ilvl w:val="0"/>
          <w:numId w:val="3"/>
        </w:numPr>
        <w:spacing w:before="171" w:after="171"/>
        <w:ind w:hanging="10" w:left="-5" w:right="11"/>
        <w:rPr/>
      </w:pPr>
      <w:r>
        <w:rPr>
          <w:rFonts w:ascii="Myriad Pro" w:hAnsi="Myriad Pro"/>
          <w:sz w:val="24"/>
          <w:szCs w:val="24"/>
          <w:lang w:val="pt-PT"/>
        </w:rPr>
        <w:t>Las facturas que se presenten como justificantes, deberán corresponder con los gastos directamente relacionados con las actividades subvencionadas y deberán venir acompañadas del correspondiente justificante bancario de pago. Solo se admiti</w:t>
      </w:r>
      <w:r>
        <w:rPr>
          <w:rFonts w:ascii="Myriad Pro" w:hAnsi="Myriad Pro"/>
          <w:sz w:val="24"/>
          <w:szCs w:val="24"/>
          <w:lang w:val="pt-PT"/>
        </w:rPr>
        <w:t>ran</w:t>
      </w:r>
      <w:r>
        <w:rPr>
          <w:rFonts w:ascii="Myriad Pro" w:hAnsi="Myriad Pro"/>
          <w:sz w:val="24"/>
          <w:szCs w:val="24"/>
          <w:lang w:val="pt-PT"/>
        </w:rPr>
        <w:t xml:space="preserve"> pagos en efectivo cuando el importe de la factura sea inferior a 100,</w:t>
      </w:r>
      <w:r>
        <w:rPr>
          <w:rFonts w:ascii="Myriad Pro" w:hAnsi="Myriad Pro"/>
          <w:sz w:val="24"/>
          <w:szCs w:val="24"/>
          <w:lang w:val="pt-PT"/>
        </w:rPr>
        <w:t>00</w:t>
      </w:r>
      <w:r>
        <w:rPr>
          <w:rFonts w:ascii="Myriad Pro" w:hAnsi="Myriad Pro"/>
          <w:sz w:val="24"/>
          <w:szCs w:val="24"/>
          <w:lang w:val="pt-PT"/>
        </w:rPr>
        <w:t xml:space="preserve"> euros y sin que pueda ser objeto de fraccionamiento y adxuntando un justificante del pago recibido.</w:t>
      </w:r>
    </w:p>
    <w:p>
      <w:pPr>
        <w:pStyle w:val="Normal"/>
        <w:spacing w:before="171" w:after="171"/>
        <w:ind w:hanging="10" w:left="-5" w:right="11"/>
        <w:rPr>
          <w:lang w:val="pt-PT"/>
        </w:rPr>
      </w:pPr>
      <w:r>
        <w:rPr>
          <w:lang w:val="pt-PT"/>
        </w:rPr>
      </w:r>
    </w:p>
    <w:p>
      <w:pPr>
        <w:pStyle w:val="Normal"/>
        <w:spacing w:lineRule="auto" w:line="264" w:before="171" w:after="171"/>
        <w:ind w:hanging="10" w:left="-5" w:right="0"/>
        <w:jc w:val="left"/>
        <w:rPr/>
      </w:pPr>
      <w:r>
        <w:rPr>
          <w:rFonts w:ascii="Myriad Pro" w:hAnsi="Myriad Pro"/>
          <w:b/>
          <w:sz w:val="24"/>
          <w:szCs w:val="24"/>
        </w:rPr>
        <w:t xml:space="preserve">Artículo 12.- </w:t>
      </w:r>
      <w:r>
        <w:rPr>
          <w:rFonts w:ascii="Myriad Pro" w:hAnsi="Myriad Pro"/>
          <w:b/>
          <w:sz w:val="24"/>
          <w:szCs w:val="24"/>
          <w:lang w:val="pt-PT"/>
        </w:rPr>
        <w:t xml:space="preserve">COMPROBACIÓN DE </w:t>
      </w:r>
      <w:r>
        <w:rPr>
          <w:rFonts w:ascii="Myriad Pro" w:hAnsi="Myriad Pro"/>
          <w:b/>
          <w:sz w:val="24"/>
          <w:szCs w:val="24"/>
          <w:lang w:val="pt-PT"/>
        </w:rPr>
        <w:t>LA</w:t>
      </w:r>
      <w:r>
        <w:rPr>
          <w:rFonts w:ascii="Myriad Pro" w:hAnsi="Myriad Pro"/>
          <w:b/>
          <w:sz w:val="24"/>
          <w:szCs w:val="24"/>
          <w:lang w:val="pt-PT"/>
        </w:rPr>
        <w:t xml:space="preserve"> JUSTIFICACIÓN DE </w:t>
      </w:r>
      <w:r>
        <w:rPr>
          <w:rFonts w:ascii="Myriad Pro" w:hAnsi="Myriad Pro"/>
          <w:b/>
          <w:sz w:val="24"/>
          <w:szCs w:val="24"/>
          <w:lang w:val="pt-PT"/>
        </w:rPr>
        <w:t>LAS</w:t>
      </w:r>
      <w:r>
        <w:rPr>
          <w:rFonts w:ascii="Myriad Pro" w:hAnsi="Myriad Pro"/>
          <w:b/>
          <w:sz w:val="24"/>
          <w:szCs w:val="24"/>
          <w:lang w:val="pt-PT"/>
        </w:rPr>
        <w:t xml:space="preserve"> SUBVENCIONES.</w:t>
      </w:r>
    </w:p>
    <w:p>
      <w:pPr>
        <w:pStyle w:val="Normal"/>
        <w:spacing w:lineRule="auto" w:line="264" w:before="171" w:after="171"/>
        <w:ind w:hanging="10" w:left="-5" w:right="0"/>
        <w:jc w:val="left"/>
        <w:rPr/>
      </w:pPr>
      <w:r>
        <w:rPr>
          <w:rFonts w:ascii="Myriad Pro" w:hAnsi="Myriad Pro"/>
          <w:b w:val="false"/>
          <w:bCs w:val="false"/>
          <w:sz w:val="24"/>
          <w:szCs w:val="24"/>
          <w:lang w:val="pt-PT"/>
        </w:rPr>
        <w:t>La Secretaría-Intervención del Ayuntamiento de San Sadurniño será la responsable de la comprobación de la justificación de la subvención, así como de la realización de la actividad y el cumplimiento de la finalidad que determinó la concesión o aprovechamiento de la subvención.</w:t>
      </w:r>
    </w:p>
    <w:p>
      <w:pPr>
        <w:pStyle w:val="Normal"/>
        <w:spacing w:lineRule="auto" w:line="264" w:before="171" w:after="171"/>
        <w:ind w:hanging="10" w:left="-5" w:right="0"/>
        <w:jc w:val="left"/>
        <w:rPr/>
      </w:pPr>
      <w:r>
        <w:rPr>
          <w:rFonts w:ascii="Myriad Pro" w:hAnsi="Myriad Pro"/>
          <w:b w:val="false"/>
          <w:bCs w:val="false"/>
          <w:sz w:val="24"/>
          <w:szCs w:val="24"/>
          <w:lang w:val="pt-PT"/>
        </w:rPr>
        <w:t>En el</w:t>
      </w:r>
      <w:r>
        <w:rPr>
          <w:rFonts w:ascii="Myriad Pro" w:hAnsi="Myriad Pro"/>
          <w:b w:val="false"/>
          <w:bCs w:val="false"/>
          <w:sz w:val="24"/>
          <w:szCs w:val="24"/>
          <w:lang w:val="pt-PT"/>
        </w:rPr>
        <w:t xml:space="preserve"> supuesto de que no se presente justificación en los términos establecidos en el artículo 12, se procederá a la minoración proporcional de la subvención concedida, y siempre que se justifique más del 50% de la subvención concedida. De no justificarse por lo menos ese porcentaje, se anulará la concesión por entender no realizado el objeto para lo cuál se solicitó subvención.</w:t>
      </w:r>
    </w:p>
    <w:p>
      <w:pPr>
        <w:pStyle w:val="Normal"/>
        <w:spacing w:lineRule="auto" w:line="264" w:before="171" w:after="171"/>
        <w:ind w:hanging="10" w:left="-5" w:right="0"/>
        <w:jc w:val="left"/>
        <w:rPr/>
      </w:pPr>
      <w:r>
        <w:rPr>
          <w:rFonts w:ascii="Myriad Pro" w:hAnsi="Myriad Pro"/>
          <w:b w:val="false"/>
          <w:bCs w:val="false"/>
          <w:sz w:val="24"/>
          <w:szCs w:val="24"/>
          <w:lang w:val="pt-PT"/>
        </w:rPr>
        <w:t>En el</w:t>
      </w:r>
      <w:r>
        <w:rPr>
          <w:rFonts w:ascii="Myriad Pro" w:hAnsi="Myriad Pro"/>
          <w:b w:val="false"/>
          <w:bCs w:val="false"/>
          <w:sz w:val="24"/>
          <w:szCs w:val="24"/>
          <w:lang w:val="pt-PT"/>
        </w:rPr>
        <w:t xml:space="preserve"> caso del incumplimiento del objeto, condiciones o finalidad de carácter prepagable o ausencia y justificación de las mismas en los términos descritos anteriormente, el Ayuntamiento de San Sadurniño exigirá a las entidades beneficiarias de la misma el reintegro de las cantidades correspondientes.</w:t>
      </w:r>
    </w:p>
    <w:p>
      <w:pPr>
        <w:pStyle w:val="Normal"/>
        <w:spacing w:lineRule="auto" w:line="264" w:before="171" w:after="171"/>
        <w:ind w:hanging="10" w:left="-5" w:right="0"/>
        <w:jc w:val="left"/>
        <w:rPr>
          <w:lang w:val="pt-PT"/>
        </w:rPr>
      </w:pPr>
      <w:r>
        <w:rPr>
          <w:lang w:val="pt-PT"/>
        </w:rPr>
      </w:r>
    </w:p>
    <w:p>
      <w:pPr>
        <w:pStyle w:val="Heading1"/>
        <w:spacing w:before="171" w:after="171"/>
        <w:ind w:hanging="10" w:left="-5"/>
        <w:rPr/>
      </w:pPr>
      <w:r>
        <w:rPr>
          <w:rFonts w:ascii="Myriad Pro" w:hAnsi="Myriad Pro"/>
          <w:sz w:val="24"/>
          <w:szCs w:val="24"/>
          <w:lang w:val="pt-PT"/>
        </w:rPr>
        <w:t xml:space="preserve">Artículo 13.- PUBLICIDAD DE </w:t>
      </w:r>
      <w:r>
        <w:rPr>
          <w:rFonts w:ascii="Myriad Pro" w:hAnsi="Myriad Pro"/>
          <w:sz w:val="24"/>
          <w:szCs w:val="24"/>
          <w:lang w:val="pt-PT"/>
        </w:rPr>
        <w:t>LA</w:t>
      </w:r>
      <w:r>
        <w:rPr>
          <w:rFonts w:ascii="Myriad Pro" w:hAnsi="Myriad Pro"/>
          <w:sz w:val="24"/>
          <w:szCs w:val="24"/>
          <w:lang w:val="pt-PT"/>
        </w:rPr>
        <w:t xml:space="preserve"> FINANCIACIÓN LOCAL, COMPROMISO DEL USO DE </w:t>
      </w:r>
      <w:r>
        <w:rPr>
          <w:rFonts w:ascii="Myriad Pro" w:hAnsi="Myriad Pro"/>
          <w:sz w:val="24"/>
          <w:szCs w:val="24"/>
          <w:lang w:val="pt-PT"/>
        </w:rPr>
        <w:t>LA</w:t>
      </w:r>
      <w:r>
        <w:rPr>
          <w:rFonts w:ascii="Myriad Pro" w:hAnsi="Myriad Pro"/>
          <w:sz w:val="24"/>
          <w:szCs w:val="24"/>
          <w:lang w:val="pt-PT"/>
        </w:rPr>
        <w:t xml:space="preserve"> LENGUA GALLEGA Y PROMOCIÓN DE </w:t>
      </w:r>
      <w:r>
        <w:rPr>
          <w:rFonts w:ascii="Myriad Pro" w:hAnsi="Myriad Pro"/>
          <w:sz w:val="24"/>
          <w:szCs w:val="24"/>
          <w:lang w:val="pt-PT"/>
        </w:rPr>
        <w:t>LA</w:t>
      </w:r>
      <w:r>
        <w:rPr>
          <w:rFonts w:ascii="Myriad Pro" w:hAnsi="Myriad Pro"/>
          <w:sz w:val="24"/>
          <w:szCs w:val="24"/>
          <w:lang w:val="pt-PT"/>
        </w:rPr>
        <w:t xml:space="preserve"> IGUALDAD Y </w:t>
      </w:r>
      <w:r>
        <w:rPr>
          <w:rFonts w:ascii="Myriad Pro" w:hAnsi="Myriad Pro"/>
          <w:sz w:val="24"/>
          <w:szCs w:val="24"/>
          <w:lang w:val="pt-PT"/>
        </w:rPr>
        <w:t>LA</w:t>
      </w:r>
      <w:r>
        <w:rPr>
          <w:rFonts w:ascii="Myriad Pro" w:hAnsi="Myriad Pro"/>
          <w:sz w:val="24"/>
          <w:szCs w:val="24"/>
          <w:lang w:val="pt-PT"/>
        </w:rPr>
        <w:t xml:space="preserve"> INCLUSIÓN.</w:t>
      </w:r>
    </w:p>
    <w:p>
      <w:pPr>
        <w:pStyle w:val="Normal"/>
        <w:numPr>
          <w:ilvl w:val="0"/>
          <w:numId w:val="4"/>
        </w:numPr>
        <w:spacing w:before="171" w:after="171"/>
        <w:ind w:hanging="10" w:left="-5" w:right="11"/>
        <w:rPr/>
      </w:pPr>
      <w:r>
        <w:rPr>
          <w:rFonts w:ascii="Myriad Pro" w:hAnsi="Myriad Pro"/>
          <w:sz w:val="24"/>
          <w:szCs w:val="24"/>
          <w:lang w:val="pt-PT"/>
        </w:rPr>
        <w:t>En la publicidad en la que se dé a conocer la realización de las actividades, bien sea por medios escritos, radiofónicos, audiovisuales o internet, se deberá hacer constar siempre la financiación del Ayuntamiento de San Sadurniño.</w:t>
      </w:r>
    </w:p>
    <w:p>
      <w:pPr>
        <w:pStyle w:val="Normal"/>
        <w:numPr>
          <w:ilvl w:val="0"/>
          <w:numId w:val="4"/>
        </w:numPr>
        <w:spacing w:before="171" w:after="171"/>
        <w:ind w:hanging="10" w:left="-5" w:right="11"/>
        <w:rPr/>
      </w:pPr>
      <w:r>
        <w:rPr>
          <w:rFonts w:ascii="Myriad Pro" w:hAnsi="Myriad Pro"/>
          <w:sz w:val="24"/>
          <w:szCs w:val="24"/>
          <w:lang w:val="pt-PT"/>
        </w:rPr>
        <w:t>Las entidades beneficiarias se comprometen a mostrar la marca de la imagen visual del Ayuntamiento (imagotipo y logotipo) en toda la cartelería, folletos y publicidad en general que sean editados con ocasión del desarrollo de actos deportivos, en cumplimiento del Reglamento de imagen visual corporativa del Ayuntamiento, publicado en el BOP nº 99 del 27/05/2013.</w:t>
      </w:r>
    </w:p>
    <w:p>
      <w:pPr>
        <w:pStyle w:val="Normal"/>
        <w:numPr>
          <w:ilvl w:val="0"/>
          <w:numId w:val="4"/>
        </w:numPr>
        <w:spacing w:before="171" w:after="171"/>
        <w:ind w:hanging="10" w:left="-5" w:right="11"/>
        <w:rPr/>
      </w:pPr>
      <w:r>
        <w:rPr>
          <w:rFonts w:ascii="Myriad Pro" w:hAnsi="Myriad Pro"/>
          <w:sz w:val="24"/>
          <w:szCs w:val="24"/>
          <w:lang w:val="pt-PT"/>
        </w:rPr>
        <w:t xml:space="preserve">Paralelamente, puesto que el Ayuntamiento de San Sadurniño forma parte de las entidades  del </w:t>
      </w:r>
      <w:r>
        <w:rPr>
          <w:rFonts w:ascii="Myriad Pro" w:hAnsi="Myriad Pro"/>
          <w:sz w:val="24"/>
          <w:szCs w:val="24"/>
          <w:lang w:val="pt-PT"/>
        </w:rPr>
        <w:t>G</w:t>
      </w:r>
      <w:r>
        <w:rPr>
          <w:rFonts w:ascii="Myriad Pro" w:hAnsi="Myriad Pro"/>
          <w:sz w:val="24"/>
          <w:szCs w:val="24"/>
          <w:lang w:val="pt-PT"/>
        </w:rPr>
        <w:t>eoparque del Cabo Ortegal, estas usarán también el logotipo en el material divulgativo que editen.</w:t>
      </w:r>
    </w:p>
    <w:p>
      <w:pPr>
        <w:pStyle w:val="Normal"/>
        <w:numPr>
          <w:ilvl w:val="0"/>
          <w:numId w:val="4"/>
        </w:numPr>
        <w:spacing w:before="171" w:after="171"/>
        <w:ind w:hanging="10" w:left="-5" w:right="11"/>
        <w:rPr/>
      </w:pPr>
      <w:r>
        <w:rPr>
          <w:rFonts w:ascii="Myriad Pro" w:hAnsi="Myriad Pro"/>
          <w:sz w:val="24"/>
          <w:szCs w:val="24"/>
          <w:lang w:val="pt-PT"/>
        </w:rPr>
        <w:t xml:space="preserve"> </w:t>
      </w:r>
      <w:r>
        <w:rPr>
          <w:rFonts w:ascii="Myriad Pro" w:hAnsi="Myriad Pro"/>
          <w:sz w:val="24"/>
          <w:szCs w:val="24"/>
          <w:lang w:val="pt-PT"/>
        </w:rPr>
        <w:t>En sus comunicaciones y publicidad, las entidades beneficiarias se comprometen al uso de la lengua gallega, a la utilización del lenguaje inclusivo no sexista, y a emplear imágenes que promuevan los valores de la inclusión y de la igualdad.</w:t>
      </w:r>
    </w:p>
    <w:p>
      <w:pPr>
        <w:pStyle w:val="Normal"/>
        <w:numPr>
          <w:ilvl w:val="0"/>
          <w:numId w:val="4"/>
        </w:numPr>
        <w:spacing w:before="171" w:after="171"/>
        <w:ind w:hanging="10" w:left="-5" w:right="11"/>
        <w:rPr/>
      </w:pPr>
      <w:r>
        <w:rPr>
          <w:rFonts w:ascii="Myriad Pro" w:hAnsi="Myriad Pro"/>
          <w:sz w:val="24"/>
          <w:szCs w:val="24"/>
          <w:lang w:val="pt-PT"/>
        </w:rPr>
        <w:t>Las entidades beneficiarias se comprometen a sumarse a las campañas desarrolladas por parte del Ayuntamiento de San Sadurniño en relación a la promoción de la igualdad y prevención de la violencia de género.</w:t>
      </w:r>
    </w:p>
    <w:p>
      <w:pPr>
        <w:pStyle w:val="Normal"/>
        <w:spacing w:before="171" w:after="171"/>
        <w:ind w:hanging="10" w:left="-5" w:right="11"/>
        <w:rPr>
          <w:rFonts w:ascii="Myriad Pro" w:hAnsi="Myriad Pro"/>
          <w:sz w:val="24"/>
          <w:szCs w:val="24"/>
        </w:rPr>
      </w:pPr>
      <w:r>
        <w:rPr>
          <w:rFonts w:ascii="Myriad Pro" w:hAnsi="Myriad Pro"/>
          <w:sz w:val="24"/>
          <w:szCs w:val="24"/>
        </w:rPr>
      </w:r>
    </w:p>
    <w:p>
      <w:pPr>
        <w:pStyle w:val="Heading1"/>
        <w:spacing w:before="171" w:after="171"/>
        <w:ind w:hanging="10" w:left="-5"/>
        <w:rPr/>
      </w:pPr>
      <w:r>
        <w:rPr>
          <w:rFonts w:ascii="Myriad Pro" w:hAnsi="Myriad Pro"/>
          <w:sz w:val="24"/>
          <w:szCs w:val="24"/>
          <w:lang w:val="pt-PT"/>
        </w:rPr>
        <w:t>Artículo 14.- PROCEDIMIENTO SANCIONADOR.</w:t>
      </w:r>
    </w:p>
    <w:p>
      <w:pPr>
        <w:pStyle w:val="Normal"/>
        <w:spacing w:before="171" w:after="171"/>
        <w:ind w:hanging="10" w:left="-5" w:right="9"/>
        <w:rPr/>
      </w:pPr>
      <w:r>
        <w:rPr>
          <w:rFonts w:ascii="Myriad Pro" w:hAnsi="Myriad Pro"/>
          <w:sz w:val="24"/>
          <w:szCs w:val="24"/>
          <w:lang w:val="pt-PT"/>
        </w:rPr>
        <w:t>Las entidades beneficiarias de las subvenciones quedarán sometidas a las responsabilidades y al régimen sancionador establecidos en la Ley general presupuestaria.</w:t>
      </w:r>
    </w:p>
    <w:p>
      <w:pPr>
        <w:pStyle w:val="Normal"/>
        <w:spacing w:before="171" w:after="171"/>
        <w:ind w:hanging="10" w:left="-5" w:right="9"/>
        <w:rPr/>
      </w:pPr>
      <w:r>
        <w:rPr>
          <w:rFonts w:ascii="Myriad Pro" w:hAnsi="Myriad Pro"/>
          <w:sz w:val="24"/>
          <w:szCs w:val="24"/>
          <w:lang w:val="pt-PT"/>
        </w:rPr>
        <w:t xml:space="preserve">Las sanciones, en su caso, serán acordadas e impuestas por la </w:t>
      </w:r>
      <w:r>
        <w:rPr>
          <w:rFonts w:ascii="Myriad Pro" w:hAnsi="Myriad Pro"/>
          <w:sz w:val="24"/>
          <w:szCs w:val="24"/>
          <w:lang w:val="pt-PT"/>
        </w:rPr>
        <w:t>J</w:t>
      </w:r>
      <w:r>
        <w:rPr>
          <w:rFonts w:ascii="Myriad Pro" w:hAnsi="Myriad Pro"/>
          <w:sz w:val="24"/>
          <w:szCs w:val="24"/>
          <w:lang w:val="pt-PT"/>
        </w:rPr>
        <w:t>unta de Gobierno Local.</w:t>
      </w:r>
    </w:p>
    <w:p>
      <w:pPr>
        <w:pStyle w:val="Normal"/>
        <w:spacing w:before="171" w:after="171"/>
        <w:ind w:hanging="10" w:left="-5" w:right="9"/>
        <w:rPr>
          <w:rFonts w:ascii="Myriad Pro" w:hAnsi="Myriad Pro"/>
          <w:b/>
          <w:bCs/>
          <w:sz w:val="24"/>
          <w:szCs w:val="24"/>
          <w:lang w:val="pt-PT"/>
        </w:rPr>
      </w:pPr>
      <w:r>
        <w:rPr/>
      </w:r>
    </w:p>
    <w:p>
      <w:pPr>
        <w:pStyle w:val="Normal"/>
        <w:spacing w:before="171" w:after="171"/>
        <w:ind w:hanging="10" w:left="-5" w:right="9"/>
        <w:rPr/>
      </w:pPr>
      <w:r>
        <w:rPr>
          <w:rFonts w:ascii="Myriad Pro" w:hAnsi="Myriad Pro"/>
          <w:b/>
          <w:bCs/>
          <w:sz w:val="24"/>
          <w:szCs w:val="24"/>
          <w:lang w:val="pt-PT"/>
        </w:rPr>
        <w:t>Artículo 15.- RECURSOS.</w:t>
      </w:r>
    </w:p>
    <w:p>
      <w:pPr>
        <w:pStyle w:val="Normal"/>
        <w:spacing w:before="171" w:after="171"/>
        <w:ind w:hanging="10" w:left="-5" w:right="9"/>
        <w:rPr/>
      </w:pPr>
      <w:r>
        <w:rPr>
          <w:rFonts w:ascii="Myriad Pro" w:hAnsi="Myriad Pro"/>
          <w:sz w:val="24"/>
          <w:szCs w:val="24"/>
          <w:lang w:val="pt-PT"/>
        </w:rPr>
        <w:t>Contra el acto administrativo por lo que se resuelva el procedimiento de concesión de subvenciones, que pone fin a la vía administrativa, podrá interponerse el recurso potestativo de reposición ante el mismo órgano que la dictó y en el plazo de un mes a contar desde el día siguiente al de su notificación, al amparo del establecido en el art. 123 de la Ley 39/2015 del procedimiento administrativo común de las Administraciones Públicas, lo que se hace público para general conocimiento y a los efectos legales procedentes.</w:t>
      </w:r>
    </w:p>
    <w:p>
      <w:pPr>
        <w:pStyle w:val="Normal"/>
        <w:spacing w:before="171" w:after="171"/>
        <w:ind w:hanging="10" w:left="-5" w:right="9"/>
        <w:rPr>
          <w:rFonts w:ascii="Myriad Pro" w:hAnsi="Myriad Pro"/>
          <w:sz w:val="24"/>
          <w:szCs w:val="24"/>
        </w:rPr>
      </w:pPr>
      <w:r>
        <w:rPr>
          <w:rFonts w:ascii="Myriad Pro" w:hAnsi="Myriad Pro"/>
          <w:sz w:val="24"/>
          <w:szCs w:val="24"/>
        </w:rPr>
      </w:r>
    </w:p>
    <w:p>
      <w:pPr>
        <w:pStyle w:val="Normal"/>
        <w:spacing w:before="171" w:after="171"/>
        <w:ind w:hanging="10" w:left="-5" w:right="9"/>
        <w:rPr/>
      </w:pPr>
      <w:r>
        <w:rPr>
          <w:rFonts w:ascii="Myriad Pro" w:hAnsi="Myriad Pro"/>
          <w:b/>
          <w:bCs/>
          <w:sz w:val="24"/>
          <w:szCs w:val="24"/>
          <w:lang w:val="pt-PT"/>
        </w:rPr>
        <w:t>Artículo 16.- VIGENCIA.</w:t>
      </w:r>
    </w:p>
    <w:p>
      <w:pPr>
        <w:pStyle w:val="Normal"/>
        <w:spacing w:before="171" w:after="171"/>
        <w:ind w:hanging="10" w:left="-5" w:right="9"/>
        <w:rPr/>
      </w:pPr>
      <w:r>
        <w:rPr>
          <w:rFonts w:ascii="Myriad Pro" w:hAnsi="Myriad Pro"/>
          <w:sz w:val="24"/>
          <w:szCs w:val="24"/>
          <w:lang w:val="pt-PT"/>
        </w:rPr>
        <w:t>Esta convocatoria entrará en vigor al día siguiente de su publicación en la BDSN.</w:t>
      </w:r>
    </w:p>
    <w:p>
      <w:pPr>
        <w:pStyle w:val="Normal"/>
        <w:spacing w:before="171" w:after="171"/>
        <w:ind w:hanging="10" w:left="-5" w:right="9"/>
        <w:rPr>
          <w:rFonts w:ascii="Myriad Pro" w:hAnsi="Myriad Pro"/>
          <w:sz w:val="24"/>
          <w:szCs w:val="24"/>
        </w:rPr>
      </w:pPr>
      <w:r>
        <w:rPr>
          <w:rFonts w:ascii="Myriad Pro" w:hAnsi="Myriad Pro"/>
          <w:sz w:val="24"/>
          <w:szCs w:val="24"/>
        </w:rPr>
      </w:r>
    </w:p>
    <w:p>
      <w:pPr>
        <w:pStyle w:val="Normal"/>
        <w:spacing w:before="57" w:after="57"/>
        <w:ind w:hanging="10" w:left="-5" w:right="9"/>
        <w:rPr>
          <w:rFonts w:ascii="Myriad Pro" w:hAnsi="Myriad Pro"/>
          <w:sz w:val="24"/>
          <w:szCs w:val="24"/>
        </w:rPr>
      </w:pPr>
      <w:r>
        <w:rPr>
          <w:rFonts w:ascii="Myriad Pro" w:hAnsi="Myriad Pro"/>
          <w:sz w:val="24"/>
          <w:szCs w:val="24"/>
        </w:rPr>
      </w:r>
    </w:p>
    <w:p>
      <w:pPr>
        <w:pStyle w:val="Normal"/>
        <w:spacing w:before="57" w:after="57"/>
        <w:ind w:hanging="10" w:left="-5" w:right="9"/>
        <w:rPr>
          <w:rFonts w:ascii="Myriad Pro" w:hAnsi="Myriad Pro"/>
          <w:sz w:val="24"/>
          <w:szCs w:val="24"/>
        </w:rPr>
      </w:pPr>
      <w:r>
        <w:rPr>
          <w:rFonts w:ascii="Myriad Pro" w:hAnsi="Myriad Pro"/>
          <w:sz w:val="24"/>
          <w:szCs w:val="24"/>
        </w:rPr>
      </w:r>
    </w:p>
    <w:p>
      <w:pPr>
        <w:pStyle w:val="Normal"/>
        <w:spacing w:before="57" w:after="57"/>
        <w:ind w:hanging="10" w:left="-5" w:right="9"/>
        <w:rPr/>
      </w:pPr>
      <w:r>
        <w:rPr>
          <w:rFonts w:ascii="Myriad Pro" w:hAnsi="Myriad Pro"/>
          <w:sz w:val="24"/>
          <w:szCs w:val="24"/>
          <w:lang w:val="pt-PT"/>
        </w:rPr>
        <w:t>En San Sadurniño, firmado digitalmente en la fecha que figura en la margen por el Sr. Alcalde Secundino García Casal</w:t>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57" w:after="57"/>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0" w:after="98"/>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0" w:after="98"/>
        <w:ind w:hanging="10" w:left="-5" w:right="0"/>
        <w:jc w:val="left"/>
        <w:rPr>
          <w:rFonts w:ascii="Myriad Pro" w:hAnsi="Myriad Pro"/>
          <w:b/>
          <w:sz w:val="24"/>
          <w:szCs w:val="24"/>
          <w:lang w:val="pt-PT"/>
        </w:rPr>
      </w:pPr>
      <w:r>
        <w:rPr>
          <w:rFonts w:ascii="Myriad Pro" w:hAnsi="Myriad Pro"/>
          <w:b/>
          <w:sz w:val="24"/>
          <w:szCs w:val="24"/>
          <w:lang w:val="pt-PT"/>
        </w:rPr>
      </w:r>
    </w:p>
    <w:p>
      <w:pPr>
        <w:pStyle w:val="Normal"/>
        <w:spacing w:lineRule="auto" w:line="259" w:before="0" w:after="98"/>
        <w:ind w:hanging="10" w:left="-5" w:right="0"/>
        <w:jc w:val="left"/>
        <w:rPr>
          <w:rFonts w:ascii="Myriad Pro" w:hAnsi="Myriad Pro"/>
          <w:b/>
          <w:sz w:val="24"/>
          <w:szCs w:val="24"/>
          <w:lang w:val="pt-PT"/>
        </w:rPr>
      </w:pPr>
      <w:r>
        <w:rPr>
          <w:rFonts w:ascii="Myriad Pro" w:hAnsi="Myriad Pro"/>
          <w:b/>
          <w:sz w:val="24"/>
          <w:szCs w:val="24"/>
          <w:lang w:val="pt-PT"/>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20" w:right="1415" w:gutter="0" w:header="367" w:top="2961" w:footer="995" w:bottom="141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Myriad Pro">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8415" w:leader="none"/>
      </w:tabs>
      <w:spacing w:lineRule="auto" w:line="259" w:before="0" w:after="0"/>
      <w:ind w:hanging="0" w:left="0" w:right="0"/>
      <w:jc w:val="left"/>
      <w:rPr>
        <w:lang w:val="pt-PT"/>
      </w:rPr>
    </w:pPr>
    <w:r>
      <w:rPr>
        <w:rFonts w:eastAsia="Times New Roman" w:cs="Times New Roman" w:ascii="Times New Roman" w:hAnsi="Times New Roman"/>
        <w:sz w:val="18"/>
        <w:lang w:val="pt-PT"/>
      </w:rPr>
      <w:t>Bases da convocatoria de subvencións para a promoción do deporte e entidades deportivas</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xml:space="preserve">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0</w:t>
    </w:r>
    <w:r>
      <w:rPr>
        <w:sz w:val="18"/>
        <w:rFonts w:eastAsia="Times New Roman" w:cs="Times New Roman" w:ascii="Times New Roman" w:hAnsi="Times New Roman"/>
      </w:rPr>
      <w:fldChar w:fldCharType="end"/>
    </w:r>
    <w:r>
      <w:rPr>
        <w:rFonts w:eastAsia="Times New Roman" w:cs="Times New Roman" w:ascii="Times New Roman" w:hAnsi="Times New Roman"/>
        <w:sz w:val="18"/>
        <w:lang w:val="pt-PT"/>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8415" w:leader="none"/>
      </w:tabs>
      <w:spacing w:lineRule="auto" w:line="259" w:before="0" w:after="0"/>
      <w:ind w:hanging="0" w:left="0" w:right="0"/>
      <w:jc w:val="left"/>
      <w:rPr>
        <w:lang w:val="pt-PT"/>
      </w:rPr>
    </w:pPr>
    <w:r>
      <w:rPr>
        <w:rFonts w:eastAsia="Times New Roman" w:cs="Times New Roman" w:ascii="Times New Roman" w:hAnsi="Times New Roman"/>
        <w:sz w:val="18"/>
        <w:lang w:val="pt-PT"/>
      </w:rPr>
      <w:t>Bases reguladoras del programa de subvenciones para la promoción del deporte y entidades deportivas 2025</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xml:space="preserve">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10</w:t>
    </w:r>
    <w:r>
      <w:rPr>
        <w:sz w:val="18"/>
        <w:rFonts w:eastAsia="Times New Roman" w:cs="Times New Roman" w:ascii="Times New Roman" w:hAnsi="Times New Roman"/>
      </w:rPr>
      <w:fldChar w:fldCharType="end"/>
    </w:r>
    <w:r>
      <w:rPr>
        <w:rFonts w:eastAsia="Times New Roman" w:cs="Times New Roman" w:ascii="Times New Roman" w:hAnsi="Times New Roman"/>
        <w:sz w:val="18"/>
        <w:lang w:val="pt-PT"/>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8415" w:leader="none"/>
      </w:tabs>
      <w:spacing w:lineRule="auto" w:line="259" w:before="0" w:after="0"/>
      <w:ind w:hanging="0" w:left="0" w:right="0"/>
      <w:jc w:val="left"/>
      <w:rPr>
        <w:lang w:val="pt-PT"/>
      </w:rPr>
    </w:pPr>
    <w:r>
      <w:rPr>
        <w:rFonts w:eastAsia="Times New Roman" w:cs="Times New Roman" w:ascii="Times New Roman" w:hAnsi="Times New Roman"/>
        <w:sz w:val="18"/>
        <w:lang w:val="pt-PT"/>
      </w:rPr>
      <w:t>Bases reguladoras del programa de subvenciones para la promoción del deporte y entidades deportivas 2025</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xml:space="preserve">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10</w:t>
    </w:r>
    <w:r>
      <w:rPr>
        <w:sz w:val="18"/>
        <w:rFonts w:eastAsia="Times New Roman" w:cs="Times New Roman" w:ascii="Times New Roman" w:hAnsi="Times New Roman"/>
      </w:rPr>
      <w:fldChar w:fldCharType="end"/>
    </w:r>
    <w:r>
      <w:rPr>
        <w:rFonts w:eastAsia="Times New Roman" w:cs="Times New Roman" w:ascii="Times New Roman" w:hAnsi="Times New Roman"/>
        <w:sz w:val="18"/>
        <w:lang w:val="pt-PT"/>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3"/>
      <w:jc w:val="left"/>
      <w:rPr/>
    </w:pPr>
    <w:r>
      <w:rPr/>
      <w:drawing>
        <wp:anchor behindDoc="1" distT="0" distB="0" distL="114300" distR="114300" simplePos="0" locked="0" layoutInCell="1" allowOverlap="0" relativeHeight="0">
          <wp:simplePos x="0" y="0"/>
          <wp:positionH relativeFrom="page">
            <wp:posOffset>913130</wp:posOffset>
          </wp:positionH>
          <wp:positionV relativeFrom="page">
            <wp:posOffset>233045</wp:posOffset>
          </wp:positionV>
          <wp:extent cx="5734050" cy="1628775"/>
          <wp:effectExtent l="0" t="0" r="0" b="0"/>
          <wp:wrapSquare wrapText="bothSides"/>
          <wp:docPr id="1" name="Picture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9"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3"/>
      <w:jc w:val="left"/>
      <w:rPr/>
    </w:pPr>
    <w:r>
      <w:rPr/>
      <w:drawing>
        <wp:anchor behindDoc="1" distT="0" distB="0" distL="114300" distR="114300" simplePos="0" locked="0" layoutInCell="0" allowOverlap="0" relativeHeight="11">
          <wp:simplePos x="0" y="0"/>
          <wp:positionH relativeFrom="page">
            <wp:posOffset>913130</wp:posOffset>
          </wp:positionH>
          <wp:positionV relativeFrom="page">
            <wp:posOffset>233045</wp:posOffset>
          </wp:positionV>
          <wp:extent cx="5734050" cy="1628775"/>
          <wp:effectExtent l="0" t="0" r="0" b="0"/>
          <wp:wrapSquare wrapText="bothSides"/>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59" w:before="0" w:after="0"/>
      <w:ind w:hanging="0" w:left="-1420" w:right="23"/>
      <w:jc w:val="left"/>
      <w:rPr/>
    </w:pPr>
    <w:r>
      <w:rPr/>
      <w:drawing>
        <wp:anchor behindDoc="1" distT="0" distB="0" distL="114300" distR="114300" simplePos="0" locked="0" layoutInCell="0" allowOverlap="0" relativeHeight="11">
          <wp:simplePos x="0" y="0"/>
          <wp:positionH relativeFrom="page">
            <wp:posOffset>913130</wp:posOffset>
          </wp:positionH>
          <wp:positionV relativeFrom="page">
            <wp:posOffset>233045</wp:posOffset>
          </wp:positionV>
          <wp:extent cx="5734050" cy="1628775"/>
          <wp:effectExtent l="0" t="0" r="0" b="0"/>
          <wp:wrapSquare wrapText="bothSides"/>
          <wp:docPr id="3"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2">
    <w:lvl w:ilvl="0">
      <w:start w:val="1"/>
      <w:numFmt w:val="decimal"/>
      <w:lvlText w:val="%1."/>
      <w:lvlJc w:val="left"/>
      <w:pPr>
        <w:tabs>
          <w:tab w:val="num" w:pos="705"/>
        </w:tabs>
        <w:ind w:left="705" w:hanging="360"/>
      </w:pPr>
      <w:rPr/>
    </w:lvl>
    <w:lvl w:ilvl="1">
      <w:start w:val="1"/>
      <w:numFmt w:val="decimal"/>
      <w:lvlText w:val="%2."/>
      <w:lvlJc w:val="left"/>
      <w:pPr>
        <w:tabs>
          <w:tab w:val="num" w:pos="1065"/>
        </w:tabs>
        <w:ind w:left="1065" w:hanging="360"/>
      </w:pPr>
      <w:rPr/>
    </w:lvl>
    <w:lvl w:ilvl="2">
      <w:start w:val="1"/>
      <w:numFmt w:val="decimal"/>
      <w:lvlText w:val="%3."/>
      <w:lvlJc w:val="left"/>
      <w:pPr>
        <w:tabs>
          <w:tab w:val="num" w:pos="1425"/>
        </w:tabs>
        <w:ind w:left="1425" w:hanging="360"/>
      </w:pPr>
      <w:rPr/>
    </w:lvl>
    <w:lvl w:ilvl="3">
      <w:start w:val="1"/>
      <w:numFmt w:val="decimal"/>
      <w:lvlText w:val="%4."/>
      <w:lvlJc w:val="left"/>
      <w:pPr>
        <w:tabs>
          <w:tab w:val="num" w:pos="1785"/>
        </w:tabs>
        <w:ind w:left="1785" w:hanging="360"/>
      </w:pPr>
      <w:rPr/>
    </w:lvl>
    <w:lvl w:ilvl="4">
      <w:start w:val="1"/>
      <w:numFmt w:val="decimal"/>
      <w:lvlText w:val="%5."/>
      <w:lvlJc w:val="left"/>
      <w:pPr>
        <w:tabs>
          <w:tab w:val="num" w:pos="2145"/>
        </w:tabs>
        <w:ind w:left="2145" w:hanging="360"/>
      </w:pPr>
      <w:rPr/>
    </w:lvl>
    <w:lvl w:ilvl="5">
      <w:start w:val="1"/>
      <w:numFmt w:val="decimal"/>
      <w:lvlText w:val="%6."/>
      <w:lvlJc w:val="left"/>
      <w:pPr>
        <w:tabs>
          <w:tab w:val="num" w:pos="2505"/>
        </w:tabs>
        <w:ind w:left="2505" w:hanging="360"/>
      </w:pPr>
      <w:rPr/>
    </w:lvl>
    <w:lvl w:ilvl="6">
      <w:start w:val="1"/>
      <w:numFmt w:val="decimal"/>
      <w:lvlText w:val="%7."/>
      <w:lvlJc w:val="left"/>
      <w:pPr>
        <w:tabs>
          <w:tab w:val="num" w:pos="2865"/>
        </w:tabs>
        <w:ind w:left="2865" w:hanging="360"/>
      </w:pPr>
      <w:rPr/>
    </w:lvl>
    <w:lvl w:ilvl="7">
      <w:start w:val="1"/>
      <w:numFmt w:val="decimal"/>
      <w:lvlText w:val="%8."/>
      <w:lvlJc w:val="left"/>
      <w:pPr>
        <w:tabs>
          <w:tab w:val="num" w:pos="3225"/>
        </w:tabs>
        <w:ind w:left="3225" w:hanging="360"/>
      </w:pPr>
      <w:rPr/>
    </w:lvl>
    <w:lvl w:ilvl="8">
      <w:start w:val="1"/>
      <w:numFmt w:val="decimal"/>
      <w:lvlText w:val="%9."/>
      <w:lvlJc w:val="left"/>
      <w:pPr>
        <w:tabs>
          <w:tab w:val="num" w:pos="3585"/>
        </w:tabs>
        <w:ind w:left="3585" w:hanging="360"/>
      </w:pPr>
      <w:rPr/>
    </w:lvl>
  </w:abstractNum>
  <w:abstractNum w:abstractNumId="3">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4">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47" w:before="0" w:after="107"/>
      <w:ind w:hanging="10" w:left="10" w:right="11"/>
      <w:jc w:val="both"/>
    </w:pPr>
    <w:rPr>
      <w:rFonts w:ascii="Calibri" w:hAnsi="Calibri" w:eastAsia="Calibri" w:cs="Calibri"/>
      <w:color w:val="000000"/>
      <w:kern w:val="0"/>
      <w:sz w:val="24"/>
      <w:szCs w:val="22"/>
      <w:lang w:val="es-ES" w:eastAsia="es-ES" w:bidi="ar-SA"/>
    </w:rPr>
  </w:style>
  <w:style w:type="paragraph" w:styleId="Heading1">
    <w:name w:val="Heading 1"/>
    <w:next w:val="Normal"/>
    <w:link w:val="Ttulo1Car"/>
    <w:uiPriority w:val="9"/>
    <w:qFormat/>
    <w:pPr>
      <w:keepNext w:val="true"/>
      <w:keepLines/>
      <w:widowControl/>
      <w:suppressAutoHyphens w:val="true"/>
      <w:bidi w:val="0"/>
      <w:spacing w:lineRule="auto" w:line="264" w:before="0" w:after="3"/>
      <w:ind w:hanging="10" w:left="174"/>
      <w:jc w:val="left"/>
      <w:outlineLvl w:val="0"/>
    </w:pPr>
    <w:rPr>
      <w:rFonts w:ascii="Calibri" w:hAnsi="Calibri" w:eastAsia="Calibri" w:cs="Calibri"/>
      <w:b/>
      <w:color w:val="000000"/>
      <w:kern w:val="0"/>
      <w:sz w:val="24"/>
      <w:szCs w:val="22"/>
      <w:lang w:val="es-ES" w:eastAsia="es-ES" w:bidi="ar-SA"/>
    </w:rPr>
  </w:style>
  <w:style w:type="paragraph" w:styleId="Heading2">
    <w:name w:val="Heading 2"/>
    <w:next w:val="Normal"/>
    <w:link w:val="Ttulo2Car"/>
    <w:uiPriority w:val="9"/>
    <w:unhideWhenUsed/>
    <w:qFormat/>
    <w:pPr>
      <w:keepNext w:val="true"/>
      <w:keepLines/>
      <w:widowControl/>
      <w:suppressAutoHyphens w:val="true"/>
      <w:bidi w:val="0"/>
      <w:spacing w:lineRule="auto" w:line="264" w:before="0" w:after="3"/>
      <w:ind w:hanging="10" w:left="174"/>
      <w:jc w:val="left"/>
      <w:outlineLvl w:val="1"/>
    </w:pPr>
    <w:rPr>
      <w:rFonts w:ascii="Calibri" w:hAnsi="Calibri" w:eastAsia="Calibri" w:cs="Calibri"/>
      <w:b/>
      <w:color w:val="000000"/>
      <w:kern w:val="0"/>
      <w:sz w:val="24"/>
      <w:szCs w:val="22"/>
      <w:lang w:val="es-ES" w:eastAsia="es-ES" w:bidi="ar-SA"/>
    </w:rPr>
  </w:style>
  <w:style w:type="character" w:styleId="DefaultParagraphFont" w:default="1">
    <w:name w:val="Default Paragraph Font"/>
    <w:uiPriority w:val="1"/>
    <w:semiHidden/>
    <w:unhideWhenUsed/>
    <w:qFormat/>
    <w:rPr/>
  </w:style>
  <w:style w:type="character" w:styleId="FootnotedescriptionChar" w:customStyle="1">
    <w:name w:val="footnote description Char"/>
    <w:link w:val="Footnotedescription"/>
    <w:qFormat/>
    <w:rPr>
      <w:rFonts w:ascii="Calibri" w:hAnsi="Calibri" w:eastAsia="Calibri" w:cs="Calibri"/>
      <w:color w:val="000000"/>
      <w:sz w:val="20"/>
    </w:rPr>
  </w:style>
  <w:style w:type="character" w:styleId="Ttulo1Car" w:customStyle="1">
    <w:name w:val="Título 1 Car"/>
    <w:qFormat/>
    <w:rPr>
      <w:rFonts w:ascii="Calibri" w:hAnsi="Calibri" w:eastAsia="Calibri" w:cs="Calibri"/>
      <w:b/>
      <w:color w:val="000000"/>
      <w:sz w:val="24"/>
    </w:rPr>
  </w:style>
  <w:style w:type="character" w:styleId="Ttulo2Car" w:customStyle="1">
    <w:name w:val="Título 2 Car"/>
    <w:qFormat/>
    <w:rPr>
      <w:rFonts w:ascii="Calibri" w:hAnsi="Calibri" w:eastAsia="Calibri" w:cs="Calibri"/>
      <w:b/>
      <w:color w:val="000000"/>
      <w:sz w:val="24"/>
    </w:rPr>
  </w:style>
  <w:style w:type="character" w:styleId="Footnotemark" w:customStyle="1">
    <w:name w:val="footnote mark"/>
    <w:qFormat/>
    <w:rPr>
      <w:rFonts w:ascii="Calibri" w:hAnsi="Calibri" w:eastAsia="Calibri" w:cs="Calibri"/>
      <w:color w:val="000000"/>
      <w:sz w:val="18"/>
      <w:vertAlign w:val="superscript"/>
    </w:rPr>
  </w:style>
  <w:style w:type="character" w:styleId="TextodegloboCar" w:customStyle="1">
    <w:name w:val="Texto de globo Car"/>
    <w:basedOn w:val="DefaultParagraphFont"/>
    <w:link w:val="BalloonText"/>
    <w:uiPriority w:val="99"/>
    <w:semiHidden/>
    <w:qFormat/>
    <w:rsid w:val="00fe3efa"/>
    <w:rPr>
      <w:rFonts w:ascii="Tahoma" w:hAnsi="Tahoma" w:eastAsia="Calibri" w:cs="Tahoma"/>
      <w:color w:val="000000"/>
      <w:sz w:val="16"/>
      <w:szCs w:val="16"/>
    </w:rPr>
  </w:style>
  <w:style w:type="character" w:styleId="Hyperlink">
    <w:name w:val="Hyperlink"/>
    <w:rPr>
      <w:color w:val="000080"/>
      <w:u w:val="single"/>
    </w:rPr>
  </w:style>
  <w:style w:type="character" w:styleId="Caracteresdenotaalpie" w:customStyle="1">
    <w:name w:val="Caracteres de nota al pie"/>
    <w:qFormat/>
    <w:rPr>
      <w:vertAlign w:val="superscript"/>
    </w:rPr>
  </w:style>
  <w:style w:type="character" w:styleId="FootnoteReference">
    <w:name w:val="Footnote Reference"/>
    <w:rPr>
      <w:vertAlign w:val="superscript"/>
    </w:rPr>
  </w:style>
  <w:style w:type="character" w:styleId="Caracteresdenotafinal" w:customStyle="1">
    <w:name w:val="Caracteres de nota final"/>
    <w:qFormat/>
    <w:rPr>
      <w:vertAlign w:val="superscript"/>
    </w:rPr>
  </w:style>
  <w:style w:type="character" w:styleId="EndnoteReference">
    <w:name w:val="Endnote Reference"/>
    <w:rPr>
      <w:vertAlign w:val="superscript"/>
    </w:rPr>
  </w:style>
  <w:style w:type="character" w:styleId="Smbolosdenumeracin">
    <w:name w:val="Símbolos de numeración"/>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Caption1">
    <w:name w:val="caption1"/>
    <w:basedOn w:val="Normal"/>
    <w:qFormat/>
    <w:pPr>
      <w:suppressLineNumbers/>
      <w:spacing w:before="120" w:after="120"/>
    </w:pPr>
    <w:rPr>
      <w:rFonts w:cs="Lucida Sans"/>
      <w:i/>
      <w:iCs/>
      <w:szCs w:val="24"/>
    </w:rPr>
  </w:style>
  <w:style w:type="paragraph" w:styleId="Footnotedescription" w:customStyle="1">
    <w:name w:val="footnote description"/>
    <w:next w:val="Normal"/>
    <w:link w:val="FootnotedescriptionChar"/>
    <w:qFormat/>
    <w:pPr>
      <w:widowControl/>
      <w:suppressAutoHyphens w:val="true"/>
      <w:bidi w:val="0"/>
      <w:spacing w:lineRule="auto" w:line="259" w:before="0" w:after="0"/>
      <w:jc w:val="left"/>
    </w:pPr>
    <w:rPr>
      <w:rFonts w:ascii="Calibri" w:hAnsi="Calibri" w:eastAsia="Calibri" w:cs="Calibri"/>
      <w:color w:val="000000"/>
      <w:kern w:val="0"/>
      <w:sz w:val="20"/>
      <w:szCs w:val="22"/>
      <w:lang w:val="es-ES" w:eastAsia="es-ES" w:bidi="ar-SA"/>
    </w:rPr>
  </w:style>
  <w:style w:type="paragraph" w:styleId="BalloonText">
    <w:name w:val="Balloon Text"/>
    <w:basedOn w:val="Normal"/>
    <w:link w:val="TextodegloboCar"/>
    <w:uiPriority w:val="99"/>
    <w:semiHidden/>
    <w:unhideWhenUsed/>
    <w:qFormat/>
    <w:rsid w:val="00fe3efa"/>
    <w:pPr>
      <w:spacing w:lineRule="auto" w:line="240" w:before="0" w:after="0"/>
    </w:pPr>
    <w:rPr>
      <w:rFonts w:ascii="Tahoma" w:hAnsi="Tahoma" w:cs="Tahoma"/>
      <w:sz w:val="16"/>
      <w:szCs w:val="16"/>
    </w:rPr>
  </w:style>
  <w:style w:type="paragraph" w:styleId="Western" w:customStyle="1">
    <w:name w:val="western"/>
    <w:basedOn w:val="Normal"/>
    <w:qFormat/>
    <w:rsid w:val="0039668c"/>
    <w:pPr>
      <w:spacing w:lineRule="auto" w:line="240" w:beforeAutospacing="1" w:after="119"/>
      <w:ind w:hanging="0" w:left="0" w:right="0"/>
      <w:jc w:val="left"/>
    </w:pPr>
    <w:rPr>
      <w:rFonts w:ascii="Tahoma" w:hAnsi="Tahoma" w:eastAsia="Times New Roman" w:cs="Tahoma"/>
      <w:sz w:val="32"/>
      <w:szCs w:val="32"/>
    </w:rPr>
  </w:style>
  <w:style w:type="paragraph" w:styleId="ListParagraph">
    <w:name w:val="List Paragraph"/>
    <w:basedOn w:val="Normal"/>
    <w:uiPriority w:val="34"/>
    <w:qFormat/>
    <w:rsid w:val="00045992"/>
    <w:pPr>
      <w:spacing w:before="0" w:after="107"/>
      <w:ind w:left="720"/>
      <w:contextualSpacing/>
    </w:pPr>
    <w:rPr/>
  </w:style>
  <w:style w:type="paragraph" w:styleId="FootnoteText">
    <w:name w:val="Footnote Text"/>
    <w:basedOn w:val="Normal"/>
    <w:pPr/>
    <w:rPr/>
  </w:style>
  <w:style w:type="paragraph" w:styleId="Contenidodelmarco" w:customStyle="1">
    <w:name w:val="Contenido del marco"/>
    <w:basedOn w:val="Normal"/>
    <w:qFormat/>
    <w:pPr/>
    <w:rPr/>
  </w:style>
  <w:style w:type="paragraph" w:styleId="Cabeceraypie" w:customStyle="1">
    <w:name w:val="Cabecera y pie"/>
    <w:basedOn w:val="Normal"/>
    <w:qFormat/>
    <w:pPr/>
    <w:rPr/>
  </w:style>
  <w:style w:type="paragraph" w:styleId="Header">
    <w:name w:val="Header"/>
    <w:basedOn w:val="Cabeceraypie"/>
    <w:pPr/>
    <w:rPr/>
  </w:style>
  <w:style w:type="paragraph" w:styleId="Footer">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485</TotalTime>
  <Application>LibreOffice/7.6.4.1$Windows_X86_64 LibreOffice_project/e19e193f88cd6c0525a17fb7a176ed8e6a3e2aa1</Application>
  <AppVersion>15.0000</AppVersion>
  <Pages>10</Pages>
  <Words>3170</Words>
  <Characters>17530</Characters>
  <CharactersWithSpaces>20643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2023-05-02T09:10:00Z</dcterms:created>
  <dc:creator>Cormoran</dc:creator>
  <dc:description/>
  <dc:language>es-ES</dc:language>
  <cp:lastModifiedBy/>
  <cp:lastPrinted>2023-05-11T11:37:00Z</cp:lastPrinted>
  <dcterms:modified xsi:type="dcterms:W3CDTF">2025-07-08T09:02:35Z</dcterms:modified>
  <cp:revision>28</cp:revision>
  <dc:subject/>
  <dc:title>Destinatario</dc:title>
</cp:coreProperties>
</file>

<file path=docProps/custom.xml><?xml version="1.0" encoding="utf-8"?>
<Properties xmlns="http://schemas.openxmlformats.org/officeDocument/2006/custom-properties" xmlns:vt="http://schemas.openxmlformats.org/officeDocument/2006/docPropsVTypes"/>
</file>