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1C6B" w:rsidRDefault="00D45749">
      <w:pPr>
        <w:pStyle w:val="Standard"/>
      </w:pPr>
      <w:r>
        <w:rPr>
          <w:noProof/>
          <w:lang w:val="ca-ES"/>
        </w:rPr>
        <w:drawing>
          <wp:anchor distT="0" distB="0" distL="114300" distR="114300" simplePos="0" relativeHeight="2" behindDoc="0" locked="0" layoutInCell="0" allowOverlap="1">
            <wp:simplePos x="0" y="0"/>
            <wp:positionH relativeFrom="page">
              <wp:posOffset>384810</wp:posOffset>
            </wp:positionH>
            <wp:positionV relativeFrom="page">
              <wp:posOffset>394970</wp:posOffset>
            </wp:positionV>
            <wp:extent cx="2157095" cy="570230"/>
            <wp:effectExtent l="0" t="0" r="0" b="0"/>
            <wp:wrapSquare wrapText="bothSides"/>
            <wp:docPr id="1" name="Imag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1"/>
                    <pic:cNvPicPr>
                      <a:picLocks noChangeAspect="1" noChangeArrowheads="1"/>
                    </pic:cNvPicPr>
                  </pic:nvPicPr>
                  <pic:blipFill>
                    <a:blip r:embed="rId4" cstate="print"/>
                    <a:srcRect l="-233" t="-876" r="-233" b="-876"/>
                    <a:stretch>
                      <a:fillRect/>
                    </a:stretch>
                  </pic:blipFill>
                  <pic:spPr bwMode="auto">
                    <a:xfrm>
                      <a:off x="0" y="0"/>
                      <a:ext cx="2157095" cy="570230"/>
                    </a:xfrm>
                    <a:prstGeom prst="rect">
                      <a:avLst/>
                    </a:prstGeom>
                  </pic:spPr>
                </pic:pic>
              </a:graphicData>
            </a:graphic>
          </wp:anchor>
        </w:drawing>
      </w:r>
    </w:p>
    <w:p w:rsidR="00841C6B" w:rsidRDefault="00841C6B">
      <w:pPr>
        <w:pStyle w:val="Standard"/>
        <w:rPr>
          <w:rFonts w:ascii="Open Sans" w:hAnsi="Open Sans"/>
          <w:sz w:val="22"/>
          <w:szCs w:val="22"/>
        </w:rPr>
      </w:pPr>
    </w:p>
    <w:p w:rsidR="00841C6B" w:rsidRDefault="00841C6B">
      <w:pPr>
        <w:pStyle w:val="Standard"/>
        <w:rPr>
          <w:rFonts w:ascii="Open Sans" w:hAnsi="Open Sans"/>
          <w:sz w:val="22"/>
          <w:szCs w:val="22"/>
        </w:rPr>
      </w:pPr>
    </w:p>
    <w:p w:rsidR="00841C6B" w:rsidRDefault="00D45749">
      <w:pPr>
        <w:pStyle w:val="Standard"/>
        <w:jc w:val="both"/>
        <w:rPr>
          <w:rFonts w:ascii="Open Sans" w:hAnsi="Open Sans"/>
          <w:b/>
          <w:bCs/>
          <w:sz w:val="22"/>
          <w:szCs w:val="22"/>
        </w:rPr>
      </w:pPr>
      <w:r>
        <w:rPr>
          <w:rFonts w:ascii="Open Sans" w:hAnsi="Open Sans"/>
          <w:b/>
          <w:bCs/>
          <w:sz w:val="22"/>
          <w:szCs w:val="22"/>
        </w:rPr>
        <w:t>CONVOCATORIA PÚBLICA DE AYUDAS ECONÓMICAS DESTINADAS A PERSONAS PERCEPTORAS DE RENTAS BAJAS Y A FAMILIAS QUE PERCIBAN PRESTACIONES NO CONTRIBUTIVAS CON HIJOS A CARGO.</w:t>
      </w:r>
    </w:p>
    <w:p w:rsidR="00841C6B" w:rsidRDefault="00841C6B">
      <w:pPr>
        <w:pStyle w:val="Standard"/>
        <w:jc w:val="both"/>
        <w:rPr>
          <w:rFonts w:ascii="Open Sans" w:hAnsi="Open Sans"/>
          <w:sz w:val="22"/>
          <w:szCs w:val="22"/>
        </w:rPr>
      </w:pPr>
    </w:p>
    <w:p w:rsidR="00841C6B" w:rsidRDefault="00D45749">
      <w:pPr>
        <w:pStyle w:val="Standard"/>
        <w:jc w:val="both"/>
      </w:pPr>
      <w:r>
        <w:rPr>
          <w:rFonts w:ascii="Open Sans" w:hAnsi="Open Sans"/>
          <w:sz w:val="22"/>
          <w:szCs w:val="22"/>
        </w:rPr>
        <w:t>Por la presente convocatoria se inicia el procedimiento para la concesión, mediante</w:t>
      </w:r>
      <w:r>
        <w:rPr>
          <w:rFonts w:ascii="Open Sans" w:hAnsi="Open Sans"/>
          <w:sz w:val="22"/>
          <w:szCs w:val="22"/>
        </w:rPr>
        <w:t xml:space="preserve"> procedimiento de concurrencia competitiva, de las ayudas destinadas a personas perceptoras de prestaciones bajas y a familias que perciban prestaciones no contributivas con hijos a cargo, destinadas a hacer efectivos gastos básicos del hogar.</w:t>
      </w:r>
    </w:p>
    <w:p w:rsidR="00841C6B" w:rsidRDefault="00841C6B">
      <w:pPr>
        <w:pStyle w:val="Standard"/>
        <w:jc w:val="both"/>
        <w:rPr>
          <w:rFonts w:ascii="Open Sans" w:hAnsi="Open Sans"/>
          <w:sz w:val="22"/>
          <w:szCs w:val="22"/>
        </w:rPr>
      </w:pPr>
    </w:p>
    <w:p w:rsidR="00841C6B" w:rsidRDefault="00D45749">
      <w:pPr>
        <w:pStyle w:val="Standard"/>
        <w:jc w:val="both"/>
        <w:rPr>
          <w:rFonts w:ascii="Open Sans" w:hAnsi="Open Sans"/>
          <w:b/>
          <w:bCs/>
          <w:sz w:val="22"/>
          <w:szCs w:val="22"/>
          <w:u w:val="single"/>
        </w:rPr>
      </w:pPr>
      <w:r>
        <w:rPr>
          <w:rFonts w:ascii="Open Sans" w:hAnsi="Open Sans"/>
          <w:b/>
          <w:bCs/>
          <w:sz w:val="22"/>
          <w:szCs w:val="22"/>
          <w:u w:val="single"/>
        </w:rPr>
        <w:t>1. Aprobaci</w:t>
      </w:r>
      <w:r>
        <w:rPr>
          <w:rFonts w:ascii="Open Sans" w:hAnsi="Open Sans"/>
          <w:b/>
          <w:bCs/>
          <w:sz w:val="22"/>
          <w:szCs w:val="22"/>
          <w:u w:val="single"/>
        </w:rPr>
        <w:t>ón de las bases</w:t>
      </w:r>
    </w:p>
    <w:p w:rsidR="00841C6B" w:rsidRDefault="00D45749">
      <w:pPr>
        <w:pStyle w:val="Standard"/>
        <w:jc w:val="both"/>
        <w:rPr>
          <w:rFonts w:ascii="Open Sans" w:hAnsi="Open Sans"/>
          <w:sz w:val="22"/>
          <w:szCs w:val="22"/>
        </w:rPr>
      </w:pPr>
      <w:r>
        <w:rPr>
          <w:rFonts w:ascii="Open Sans" w:hAnsi="Open Sans"/>
          <w:sz w:val="22"/>
          <w:szCs w:val="22"/>
        </w:rPr>
        <w:t>Las bases de estas subvenciones se aprobaron por acuerdo de Pleno de 29 de mayo de 2006 y publicadas en el Boletín Oficial de la Provincia de Tarragona número 138 y modificadas las bases por el Pleno del Ayuntamiento en sesión del día 27 de</w:t>
      </w:r>
      <w:r>
        <w:rPr>
          <w:rFonts w:ascii="Open Sans" w:hAnsi="Open Sans"/>
          <w:sz w:val="22"/>
          <w:szCs w:val="22"/>
        </w:rPr>
        <w:t xml:space="preserve"> febrero de 2017 publicadas en el Boletín Oficial de la Provincia de Tarragona número 85 el día 4 de mayo de 2017.</w:t>
      </w:r>
    </w:p>
    <w:p w:rsidR="00841C6B" w:rsidRDefault="00841C6B">
      <w:pPr>
        <w:pStyle w:val="Standard"/>
        <w:jc w:val="both"/>
        <w:rPr>
          <w:rFonts w:ascii="Open Sans" w:hAnsi="Open Sans"/>
          <w:sz w:val="22"/>
          <w:szCs w:val="22"/>
        </w:rPr>
      </w:pPr>
    </w:p>
    <w:p w:rsidR="00841C6B" w:rsidRDefault="00D45749">
      <w:pPr>
        <w:pStyle w:val="Standard"/>
        <w:jc w:val="both"/>
        <w:rPr>
          <w:b/>
          <w:bCs/>
          <w:u w:val="single"/>
        </w:rPr>
      </w:pPr>
      <w:r>
        <w:rPr>
          <w:rFonts w:ascii="Open Sans" w:hAnsi="Open Sans"/>
          <w:b/>
          <w:bCs/>
          <w:sz w:val="22"/>
          <w:szCs w:val="22"/>
          <w:u w:val="single"/>
        </w:rPr>
        <w:t>2. Detalle del crédito presupuestario</w:t>
      </w:r>
    </w:p>
    <w:p w:rsidR="00841C6B" w:rsidRDefault="00D45749">
      <w:pPr>
        <w:pStyle w:val="Standard"/>
        <w:jc w:val="both"/>
      </w:pPr>
      <w:r>
        <w:rPr>
          <w:rFonts w:ascii="Open Sans" w:hAnsi="Open Sans"/>
          <w:sz w:val="22"/>
          <w:szCs w:val="22"/>
        </w:rPr>
        <w:t xml:space="preserve">El crédito </w:t>
      </w:r>
      <w:proofErr w:type="spellStart"/>
      <w:r>
        <w:rPr>
          <w:rFonts w:ascii="Open Sans" w:hAnsi="Open Sans"/>
          <w:sz w:val="22"/>
          <w:szCs w:val="22"/>
        </w:rPr>
        <w:t>presupostario</w:t>
      </w:r>
      <w:proofErr w:type="spellEnd"/>
      <w:r>
        <w:rPr>
          <w:rFonts w:ascii="Open Sans" w:hAnsi="Open Sans"/>
          <w:sz w:val="22"/>
          <w:szCs w:val="22"/>
        </w:rPr>
        <w:t xml:space="preserve"> asignado a la presente convocatoria en tramitación anticipada, irá a cargo de</w:t>
      </w:r>
      <w:r>
        <w:rPr>
          <w:rFonts w:ascii="Open Sans" w:hAnsi="Open Sans"/>
          <w:sz w:val="22"/>
          <w:szCs w:val="22"/>
        </w:rPr>
        <w:t xml:space="preserve"> la aplicación </w:t>
      </w:r>
      <w:proofErr w:type="spellStart"/>
      <w:r>
        <w:rPr>
          <w:rFonts w:ascii="Open Sans" w:hAnsi="Open Sans"/>
          <w:sz w:val="22"/>
          <w:szCs w:val="22"/>
        </w:rPr>
        <w:t>presupostaria</w:t>
      </w:r>
      <w:proofErr w:type="spellEnd"/>
      <w:r>
        <w:rPr>
          <w:rFonts w:ascii="Open Sans" w:hAnsi="Open Sans"/>
          <w:sz w:val="22"/>
          <w:szCs w:val="22"/>
        </w:rPr>
        <w:t xml:space="preserve"> correspondiente en el ejercicio 2026 por un importe de 45</w:t>
      </w:r>
      <w:proofErr w:type="gramStart"/>
      <w:r>
        <w:rPr>
          <w:rFonts w:ascii="Open Sans" w:hAnsi="Open Sans"/>
          <w:sz w:val="22"/>
          <w:szCs w:val="22"/>
        </w:rPr>
        <w:t>,000,00</w:t>
      </w:r>
      <w:proofErr w:type="gramEnd"/>
      <w:r>
        <w:rPr>
          <w:rFonts w:ascii="Open Sans" w:hAnsi="Open Sans"/>
          <w:sz w:val="22"/>
          <w:szCs w:val="22"/>
        </w:rPr>
        <w:t xml:space="preserve"> € </w:t>
      </w:r>
      <w:proofErr w:type="spellStart"/>
      <w:r>
        <w:rPr>
          <w:rFonts w:ascii="Open Sans" w:hAnsi="Open Sans"/>
          <w:sz w:val="22"/>
          <w:szCs w:val="22"/>
        </w:rPr>
        <w:t>com</w:t>
      </w:r>
      <w:proofErr w:type="spellEnd"/>
      <w:r>
        <w:rPr>
          <w:rFonts w:ascii="Open Sans" w:hAnsi="Open Sans"/>
          <w:sz w:val="22"/>
          <w:szCs w:val="22"/>
        </w:rPr>
        <w:t xml:space="preserve"> a máximo, condicionando la concesión de la subvenciones a la existencia de crédito adecuado y suficiente en el </w:t>
      </w:r>
      <w:proofErr w:type="spellStart"/>
      <w:r>
        <w:rPr>
          <w:rFonts w:ascii="Open Sans" w:hAnsi="Open Sans"/>
          <w:sz w:val="22"/>
          <w:szCs w:val="22"/>
        </w:rPr>
        <w:t>moment</w:t>
      </w:r>
      <w:proofErr w:type="spellEnd"/>
      <w:r>
        <w:rPr>
          <w:rFonts w:ascii="Open Sans" w:hAnsi="Open Sans"/>
          <w:sz w:val="22"/>
          <w:szCs w:val="22"/>
        </w:rPr>
        <w:t xml:space="preserve"> de la resolución de la concesión.</w:t>
      </w:r>
    </w:p>
    <w:p w:rsidR="00841C6B" w:rsidRDefault="00841C6B">
      <w:pPr>
        <w:pStyle w:val="Standard"/>
        <w:jc w:val="both"/>
        <w:rPr>
          <w:rFonts w:ascii="Open Sans" w:hAnsi="Open Sans"/>
          <w:sz w:val="22"/>
          <w:szCs w:val="22"/>
        </w:rPr>
      </w:pPr>
    </w:p>
    <w:p w:rsidR="00841C6B" w:rsidRDefault="00841C6B">
      <w:pPr>
        <w:jc w:val="both"/>
        <w:rPr>
          <w:rFonts w:ascii="Open Sans" w:hAnsi="Open Sans" w:cs="Open Sans"/>
        </w:rPr>
      </w:pPr>
    </w:p>
    <w:p w:rsidR="00841C6B" w:rsidRDefault="00D45749">
      <w:pPr>
        <w:pStyle w:val="Standard"/>
        <w:jc w:val="both"/>
        <w:rPr>
          <w:b/>
          <w:bCs/>
          <w:u w:val="single"/>
        </w:rPr>
      </w:pPr>
      <w:r>
        <w:rPr>
          <w:rFonts w:ascii="Open Sans" w:hAnsi="Open Sans"/>
          <w:b/>
          <w:bCs/>
          <w:sz w:val="22"/>
          <w:szCs w:val="22"/>
          <w:u w:val="single"/>
        </w:rPr>
        <w:t>3.</w:t>
      </w:r>
      <w:r>
        <w:rPr>
          <w:rFonts w:ascii="Open Sans" w:hAnsi="Open Sans"/>
          <w:b/>
          <w:bCs/>
          <w:sz w:val="22"/>
          <w:szCs w:val="22"/>
          <w:u w:val="single"/>
        </w:rPr>
        <w:t xml:space="preserve"> El procedimiento de concesión</w:t>
      </w:r>
    </w:p>
    <w:p w:rsidR="00841C6B" w:rsidRDefault="00D45749">
      <w:pPr>
        <w:pStyle w:val="Standard"/>
        <w:jc w:val="both"/>
      </w:pPr>
      <w:r>
        <w:rPr>
          <w:rFonts w:ascii="Open Sans" w:hAnsi="Open Sans"/>
          <w:sz w:val="22"/>
          <w:szCs w:val="22"/>
        </w:rPr>
        <w:t>La modalidad del otorgamiento de las subvenciones será la de concurrencia no competitiva, según orden de presentación de solicitudes hasta agotar partida presupuestaria.</w:t>
      </w:r>
    </w:p>
    <w:p w:rsidR="00841C6B" w:rsidRDefault="00841C6B">
      <w:pPr>
        <w:pStyle w:val="Standard"/>
        <w:jc w:val="both"/>
        <w:rPr>
          <w:rFonts w:ascii="Open Sans" w:hAnsi="Open Sans"/>
          <w:sz w:val="22"/>
          <w:szCs w:val="22"/>
        </w:rPr>
      </w:pPr>
    </w:p>
    <w:p w:rsidR="00841C6B" w:rsidRDefault="00D45749">
      <w:pPr>
        <w:pStyle w:val="Standard"/>
        <w:jc w:val="both"/>
        <w:rPr>
          <w:rFonts w:ascii="Open Sans" w:hAnsi="Open Sans"/>
          <w:b/>
          <w:bCs/>
          <w:sz w:val="22"/>
          <w:szCs w:val="22"/>
          <w:u w:val="single"/>
        </w:rPr>
      </w:pPr>
      <w:r>
        <w:rPr>
          <w:rFonts w:ascii="Open Sans" w:hAnsi="Open Sans"/>
          <w:b/>
          <w:bCs/>
          <w:sz w:val="22"/>
          <w:szCs w:val="22"/>
          <w:u w:val="single"/>
        </w:rPr>
        <w:t>4. Requisitos para obtener la condición de beneficiari</w:t>
      </w:r>
      <w:r>
        <w:rPr>
          <w:rFonts w:ascii="Open Sans" w:hAnsi="Open Sans"/>
          <w:b/>
          <w:bCs/>
          <w:sz w:val="22"/>
          <w:szCs w:val="22"/>
          <w:u w:val="single"/>
        </w:rPr>
        <w:t>o</w:t>
      </w:r>
    </w:p>
    <w:p w:rsidR="00841C6B" w:rsidRDefault="00841C6B">
      <w:pPr>
        <w:pStyle w:val="Standard"/>
        <w:jc w:val="both"/>
        <w:rPr>
          <w:b/>
          <w:bCs/>
          <w:u w:val="single"/>
        </w:rPr>
      </w:pPr>
    </w:p>
    <w:p w:rsidR="00841C6B" w:rsidRDefault="00D45749">
      <w:pPr>
        <w:pStyle w:val="Standard"/>
        <w:jc w:val="both"/>
        <w:rPr>
          <w:u w:val="single"/>
        </w:rPr>
      </w:pPr>
      <w:r>
        <w:rPr>
          <w:rFonts w:ascii="Open Sans" w:hAnsi="Open Sans"/>
          <w:sz w:val="22"/>
          <w:szCs w:val="22"/>
          <w:u w:val="single"/>
        </w:rPr>
        <w:t>4.1. Requisitos comunes (aplica a perceptores de rentas bajas y familias con hijos a cargo con una prestación no contributiva):</w:t>
      </w:r>
    </w:p>
    <w:p w:rsidR="00841C6B" w:rsidRDefault="00D45749">
      <w:pPr>
        <w:pStyle w:val="Standard"/>
        <w:jc w:val="both"/>
      </w:pPr>
      <w:r>
        <w:rPr>
          <w:rFonts w:ascii="Open Sans" w:hAnsi="Open Sans"/>
          <w:b/>
          <w:bCs/>
          <w:sz w:val="22"/>
          <w:szCs w:val="22"/>
        </w:rPr>
        <w:t>a)</w:t>
      </w:r>
      <w:r>
        <w:rPr>
          <w:rFonts w:ascii="Open Sans" w:hAnsi="Open Sans"/>
          <w:sz w:val="22"/>
          <w:szCs w:val="22"/>
        </w:rPr>
        <w:t xml:space="preserve"> Estar empadronado en el municipio de </w:t>
      </w:r>
      <w:proofErr w:type="spellStart"/>
      <w:r>
        <w:rPr>
          <w:rFonts w:ascii="Open Sans" w:hAnsi="Open Sans"/>
          <w:sz w:val="22"/>
          <w:szCs w:val="22"/>
        </w:rPr>
        <w:t>Amposta</w:t>
      </w:r>
      <w:proofErr w:type="spellEnd"/>
      <w:r>
        <w:rPr>
          <w:rFonts w:ascii="Open Sans" w:hAnsi="Open Sans"/>
          <w:sz w:val="22"/>
          <w:szCs w:val="22"/>
        </w:rPr>
        <w:t xml:space="preserve"> en el momento de abrirse el plazo de </w:t>
      </w:r>
      <w:proofErr w:type="gramStart"/>
      <w:r>
        <w:rPr>
          <w:rFonts w:ascii="Open Sans" w:hAnsi="Open Sans"/>
          <w:sz w:val="22"/>
          <w:szCs w:val="22"/>
        </w:rPr>
        <w:t>presentación</w:t>
      </w:r>
      <w:proofErr w:type="gramEnd"/>
      <w:r>
        <w:rPr>
          <w:rFonts w:ascii="Open Sans" w:hAnsi="Open Sans"/>
          <w:sz w:val="22"/>
          <w:szCs w:val="22"/>
        </w:rPr>
        <w:t xml:space="preserve"> de solicitudes, con una ant</w:t>
      </w:r>
      <w:r>
        <w:rPr>
          <w:rFonts w:ascii="Open Sans" w:hAnsi="Open Sans"/>
          <w:sz w:val="22"/>
          <w:szCs w:val="22"/>
        </w:rPr>
        <w:t>igüedad mínima de tres años.</w:t>
      </w:r>
    </w:p>
    <w:p w:rsidR="00841C6B" w:rsidRDefault="00D45749">
      <w:pPr>
        <w:pStyle w:val="Standard"/>
        <w:jc w:val="both"/>
      </w:pPr>
      <w:r>
        <w:rPr>
          <w:rFonts w:ascii="Open Sans" w:hAnsi="Open Sans"/>
          <w:b/>
          <w:bCs/>
          <w:sz w:val="22"/>
          <w:szCs w:val="22"/>
        </w:rPr>
        <w:t xml:space="preserve">b) </w:t>
      </w:r>
      <w:r>
        <w:rPr>
          <w:rFonts w:ascii="Open Sans" w:hAnsi="Open Sans"/>
          <w:sz w:val="22"/>
          <w:szCs w:val="22"/>
        </w:rPr>
        <w:t>No percibir ningún ingreso en concepto de rendimiento del trabajo, ni del ejercicio o desarrollo de actividades económicas.</w:t>
      </w:r>
    </w:p>
    <w:p w:rsidR="00841C6B" w:rsidRDefault="00D45749">
      <w:pPr>
        <w:pStyle w:val="Standard"/>
        <w:jc w:val="both"/>
      </w:pPr>
      <w:r>
        <w:rPr>
          <w:rFonts w:ascii="Open Sans" w:hAnsi="Open Sans"/>
          <w:b/>
          <w:bCs/>
          <w:sz w:val="22"/>
          <w:szCs w:val="22"/>
        </w:rPr>
        <w:t>c)</w:t>
      </w:r>
      <w:r>
        <w:rPr>
          <w:rFonts w:ascii="Open Sans" w:hAnsi="Open Sans"/>
          <w:sz w:val="22"/>
          <w:szCs w:val="22"/>
        </w:rPr>
        <w:t xml:space="preserve"> Ser titular o cotitular en el momento de abrirse el plazo de presentación de solicitudes, de algu</w:t>
      </w:r>
      <w:r>
        <w:rPr>
          <w:rFonts w:ascii="Open Sans" w:hAnsi="Open Sans"/>
          <w:sz w:val="22"/>
          <w:szCs w:val="22"/>
        </w:rPr>
        <w:t>no de los siguientes derechos sobre una vivienda:</w:t>
      </w:r>
    </w:p>
    <w:p w:rsidR="00841C6B" w:rsidRDefault="00D45749">
      <w:pPr>
        <w:pStyle w:val="Standard"/>
        <w:jc w:val="both"/>
      </w:pPr>
      <w:r>
        <w:rPr>
          <w:rFonts w:ascii="Open Sans" w:hAnsi="Open Sans"/>
          <w:sz w:val="22"/>
          <w:szCs w:val="22"/>
        </w:rPr>
        <w:tab/>
        <w:t>1.- Derecho de propiedad.</w:t>
      </w:r>
    </w:p>
    <w:p w:rsidR="00841C6B" w:rsidRDefault="00D45749">
      <w:pPr>
        <w:pStyle w:val="Standard"/>
        <w:jc w:val="both"/>
      </w:pPr>
      <w:r>
        <w:rPr>
          <w:rFonts w:ascii="Open Sans" w:hAnsi="Open Sans"/>
          <w:sz w:val="22"/>
          <w:szCs w:val="22"/>
        </w:rPr>
        <w:tab/>
        <w:t>2.- Derecho real de usufructo o de uso de habitación.</w:t>
      </w:r>
    </w:p>
    <w:p w:rsidR="00841C6B" w:rsidRDefault="00D45749">
      <w:pPr>
        <w:pStyle w:val="Standard"/>
        <w:jc w:val="both"/>
        <w:rPr>
          <w:rFonts w:ascii="Open Sans" w:hAnsi="Open Sans"/>
          <w:sz w:val="22"/>
          <w:szCs w:val="22"/>
        </w:rPr>
      </w:pPr>
      <w:r>
        <w:rPr>
          <w:rFonts w:ascii="Open Sans" w:hAnsi="Open Sans"/>
          <w:sz w:val="22"/>
          <w:szCs w:val="22"/>
        </w:rPr>
        <w:tab/>
        <w:t xml:space="preserve">3.- De un derecho de arrendamiento, como arrendatario del mismo, siempre que no se </w:t>
      </w:r>
      <w:r>
        <w:rPr>
          <w:rFonts w:ascii="Open Sans" w:hAnsi="Open Sans"/>
          <w:sz w:val="22"/>
          <w:szCs w:val="22"/>
        </w:rPr>
        <w:tab/>
        <w:t xml:space="preserve">haya producido un </w:t>
      </w:r>
      <w:r>
        <w:rPr>
          <w:rFonts w:ascii="Open Sans" w:hAnsi="Open Sans"/>
          <w:color w:val="000000"/>
          <w:sz w:val="22"/>
          <w:szCs w:val="22"/>
        </w:rPr>
        <w:t>subarriendo</w:t>
      </w:r>
      <w:r>
        <w:rPr>
          <w:rFonts w:ascii="Open Sans" w:hAnsi="Open Sans"/>
          <w:sz w:val="22"/>
          <w:szCs w:val="22"/>
        </w:rPr>
        <w:t xml:space="preserve"> total o parcial.</w:t>
      </w:r>
    </w:p>
    <w:p w:rsidR="00841C6B" w:rsidRDefault="00841C6B">
      <w:pPr>
        <w:pStyle w:val="Standard"/>
        <w:jc w:val="both"/>
      </w:pPr>
    </w:p>
    <w:p w:rsidR="00841C6B" w:rsidRDefault="00D45749">
      <w:pPr>
        <w:pStyle w:val="Standard"/>
        <w:jc w:val="both"/>
      </w:pPr>
      <w:r>
        <w:rPr>
          <w:rFonts w:ascii="Open Sans" w:hAnsi="Open Sans"/>
          <w:sz w:val="22"/>
          <w:szCs w:val="22"/>
        </w:rPr>
        <w:tab/>
        <w:t xml:space="preserve">En todo caso, la vivienda sobre el que recaigan los derechos indicados tendrá que </w:t>
      </w:r>
      <w:r>
        <w:rPr>
          <w:rFonts w:ascii="Open Sans" w:hAnsi="Open Sans"/>
          <w:sz w:val="22"/>
          <w:szCs w:val="22"/>
        </w:rPr>
        <w:tab/>
        <w:t>reunir los siguientes requisitos:</w:t>
      </w:r>
    </w:p>
    <w:p w:rsidR="00841C6B" w:rsidRDefault="00D45749">
      <w:pPr>
        <w:pStyle w:val="Standard"/>
        <w:jc w:val="both"/>
      </w:pPr>
      <w:r>
        <w:rPr>
          <w:rFonts w:ascii="Open Sans" w:hAnsi="Open Sans"/>
          <w:sz w:val="22"/>
          <w:szCs w:val="22"/>
        </w:rPr>
        <w:lastRenderedPageBreak/>
        <w:tab/>
      </w:r>
      <w:r>
        <w:rPr>
          <w:rFonts w:ascii="Open Sans" w:hAnsi="Open Sans"/>
          <w:sz w:val="22"/>
          <w:szCs w:val="22"/>
        </w:rPr>
        <w:tab/>
        <w:t xml:space="preserve">- Que sea el domicilio habitual del o de todos los solicitantes y que conste, como </w:t>
      </w:r>
      <w:r>
        <w:rPr>
          <w:rFonts w:ascii="Open Sans" w:hAnsi="Open Sans"/>
          <w:sz w:val="22"/>
          <w:szCs w:val="22"/>
        </w:rPr>
        <w:tab/>
      </w:r>
      <w:r>
        <w:rPr>
          <w:rFonts w:ascii="Open Sans" w:hAnsi="Open Sans"/>
          <w:sz w:val="22"/>
          <w:szCs w:val="22"/>
        </w:rPr>
        <w:tab/>
      </w:r>
      <w:r>
        <w:rPr>
          <w:rFonts w:ascii="Open Sans" w:hAnsi="Open Sans"/>
          <w:sz w:val="22"/>
          <w:szCs w:val="22"/>
        </w:rPr>
        <w:t xml:space="preserve">lugar de empadronamiento, al padrón municipal de habitantes a la fecha de </w:t>
      </w:r>
      <w:r>
        <w:rPr>
          <w:rFonts w:ascii="Open Sans" w:hAnsi="Open Sans"/>
          <w:sz w:val="22"/>
          <w:szCs w:val="22"/>
        </w:rPr>
        <w:tab/>
      </w:r>
      <w:r>
        <w:rPr>
          <w:rFonts w:ascii="Open Sans" w:hAnsi="Open Sans"/>
          <w:sz w:val="22"/>
          <w:szCs w:val="22"/>
        </w:rPr>
        <w:tab/>
        <w:t>apertura del plazo de presentación de las solicitudes.</w:t>
      </w:r>
    </w:p>
    <w:p w:rsidR="00841C6B" w:rsidRDefault="00D45749">
      <w:pPr>
        <w:pStyle w:val="Standard"/>
        <w:jc w:val="both"/>
        <w:rPr>
          <w:rFonts w:ascii="Open Sans" w:hAnsi="Open Sans"/>
          <w:sz w:val="22"/>
          <w:szCs w:val="22"/>
        </w:rPr>
      </w:pPr>
      <w:r>
        <w:rPr>
          <w:rFonts w:ascii="Open Sans" w:hAnsi="Open Sans"/>
          <w:sz w:val="22"/>
          <w:szCs w:val="22"/>
        </w:rPr>
        <w:tab/>
      </w:r>
      <w:r>
        <w:rPr>
          <w:rFonts w:ascii="Open Sans" w:hAnsi="Open Sans"/>
          <w:sz w:val="22"/>
          <w:szCs w:val="22"/>
        </w:rPr>
        <w:tab/>
        <w:t xml:space="preserve">- Que el mencionado inmueble esté dado de alta a la fecha de apertura del </w:t>
      </w:r>
      <w:r>
        <w:rPr>
          <w:rFonts w:ascii="Open Sans" w:hAnsi="Open Sans"/>
          <w:sz w:val="22"/>
          <w:szCs w:val="22"/>
        </w:rPr>
        <w:tab/>
      </w:r>
      <w:r>
        <w:rPr>
          <w:rFonts w:ascii="Open Sans" w:hAnsi="Open Sans"/>
          <w:sz w:val="22"/>
          <w:szCs w:val="22"/>
        </w:rPr>
        <w:tab/>
      </w:r>
      <w:r>
        <w:rPr>
          <w:rFonts w:ascii="Open Sans" w:hAnsi="Open Sans"/>
          <w:sz w:val="22"/>
          <w:szCs w:val="22"/>
        </w:rPr>
        <w:tab/>
        <w:t>plazo de presentación de la solicitud, al cens</w:t>
      </w:r>
      <w:r>
        <w:rPr>
          <w:rFonts w:ascii="Open Sans" w:hAnsi="Open Sans"/>
          <w:sz w:val="22"/>
          <w:szCs w:val="22"/>
        </w:rPr>
        <w:t xml:space="preserve">o de las unidades fiscales del </w:t>
      </w:r>
      <w:r>
        <w:rPr>
          <w:rFonts w:ascii="Open Sans" w:hAnsi="Open Sans"/>
          <w:sz w:val="22"/>
          <w:szCs w:val="22"/>
        </w:rPr>
        <w:tab/>
      </w:r>
      <w:r>
        <w:rPr>
          <w:rFonts w:ascii="Open Sans" w:hAnsi="Open Sans"/>
          <w:sz w:val="22"/>
          <w:szCs w:val="22"/>
        </w:rPr>
        <w:tab/>
      </w:r>
      <w:r>
        <w:rPr>
          <w:rFonts w:ascii="Open Sans" w:hAnsi="Open Sans"/>
          <w:sz w:val="22"/>
          <w:szCs w:val="22"/>
        </w:rPr>
        <w:tab/>
        <w:t xml:space="preserve">Impuesto sobre Bienes inmuebles y de la Tasa de Recogida de Basura, siendo </w:t>
      </w:r>
      <w:r>
        <w:rPr>
          <w:rFonts w:ascii="Open Sans" w:hAnsi="Open Sans"/>
          <w:sz w:val="22"/>
          <w:szCs w:val="22"/>
        </w:rPr>
        <w:tab/>
      </w:r>
      <w:r>
        <w:rPr>
          <w:rFonts w:ascii="Open Sans" w:hAnsi="Open Sans"/>
          <w:sz w:val="22"/>
          <w:szCs w:val="22"/>
        </w:rPr>
        <w:tab/>
        <w:t xml:space="preserve">de aplicación tanto en el impuesto como en la tasa, la naturaleza de vivienda. El </w:t>
      </w:r>
      <w:r>
        <w:rPr>
          <w:rFonts w:ascii="Open Sans" w:hAnsi="Open Sans"/>
          <w:sz w:val="22"/>
          <w:szCs w:val="22"/>
        </w:rPr>
        <w:tab/>
      </w:r>
      <w:r>
        <w:rPr>
          <w:rFonts w:ascii="Open Sans" w:hAnsi="Open Sans"/>
          <w:sz w:val="22"/>
          <w:szCs w:val="22"/>
        </w:rPr>
        <w:tab/>
        <w:t>hecho de no estar, a las bases de datos mencionadas, las unid</w:t>
      </w:r>
      <w:r>
        <w:rPr>
          <w:rFonts w:ascii="Open Sans" w:hAnsi="Open Sans"/>
          <w:sz w:val="22"/>
          <w:szCs w:val="22"/>
        </w:rPr>
        <w:t xml:space="preserve">ades fiscales a </w:t>
      </w:r>
      <w:r>
        <w:rPr>
          <w:rFonts w:ascii="Open Sans" w:hAnsi="Open Sans"/>
          <w:sz w:val="22"/>
          <w:szCs w:val="22"/>
        </w:rPr>
        <w:tab/>
      </w:r>
      <w:r>
        <w:rPr>
          <w:rFonts w:ascii="Open Sans" w:hAnsi="Open Sans"/>
          <w:sz w:val="22"/>
          <w:szCs w:val="22"/>
        </w:rPr>
        <w:tab/>
        <w:t xml:space="preserve">nombre del solicitante o con la condición de vivienda unifamiliar no impedirá su </w:t>
      </w:r>
      <w:r>
        <w:rPr>
          <w:rFonts w:ascii="Open Sans" w:hAnsi="Open Sans"/>
          <w:sz w:val="22"/>
          <w:szCs w:val="22"/>
        </w:rPr>
        <w:tab/>
      </w:r>
      <w:r>
        <w:rPr>
          <w:rFonts w:ascii="Open Sans" w:hAnsi="Open Sans"/>
          <w:sz w:val="22"/>
          <w:szCs w:val="22"/>
        </w:rPr>
        <w:tab/>
        <w:t xml:space="preserve">tramitación siempre que este inste y obtenga la o las modificaciones adecuadas </w:t>
      </w:r>
      <w:r>
        <w:rPr>
          <w:rFonts w:ascii="Open Sans" w:hAnsi="Open Sans"/>
          <w:sz w:val="22"/>
          <w:szCs w:val="22"/>
        </w:rPr>
        <w:tab/>
      </w:r>
      <w:r>
        <w:rPr>
          <w:rFonts w:ascii="Open Sans" w:hAnsi="Open Sans"/>
          <w:sz w:val="22"/>
          <w:szCs w:val="22"/>
        </w:rPr>
        <w:tab/>
        <w:t>tanto de titularidad como de tipo de uso.</w:t>
      </w:r>
    </w:p>
    <w:p w:rsidR="00841C6B" w:rsidRDefault="00841C6B">
      <w:pPr>
        <w:pStyle w:val="Standard"/>
        <w:jc w:val="both"/>
      </w:pPr>
    </w:p>
    <w:p w:rsidR="00841C6B" w:rsidRDefault="00D45749">
      <w:pPr>
        <w:pStyle w:val="Standard"/>
        <w:jc w:val="both"/>
      </w:pPr>
      <w:r>
        <w:rPr>
          <w:rFonts w:ascii="Open Sans" w:hAnsi="Open Sans"/>
          <w:b/>
          <w:bCs/>
          <w:sz w:val="22"/>
          <w:szCs w:val="22"/>
        </w:rPr>
        <w:t>d)</w:t>
      </w:r>
      <w:r>
        <w:rPr>
          <w:rFonts w:ascii="Open Sans" w:hAnsi="Open Sans"/>
          <w:sz w:val="22"/>
          <w:szCs w:val="22"/>
        </w:rPr>
        <w:t xml:space="preserve"> Solo se tendrá derecho a la </w:t>
      </w:r>
      <w:r>
        <w:rPr>
          <w:rFonts w:ascii="Open Sans" w:hAnsi="Open Sans"/>
          <w:sz w:val="22"/>
          <w:szCs w:val="22"/>
        </w:rPr>
        <w:t>ayuda en los casos de cotitularidades de los derechos indicados, cuando estos pertenezcan a dos personas siempre que hayan contraído matrimonio, formen parte de una pareja de hecho o convivan. A ambos miembros se los serán de aplicación y por tanto, exigib</w:t>
      </w:r>
      <w:r>
        <w:rPr>
          <w:rFonts w:ascii="Open Sans" w:hAnsi="Open Sans"/>
          <w:sz w:val="22"/>
          <w:szCs w:val="22"/>
        </w:rPr>
        <w:t>le, el establecido a las letras a), b) y c), y tendrán que estar empadronados y ser su domicilio habitual.</w:t>
      </w:r>
    </w:p>
    <w:p w:rsidR="00841C6B" w:rsidRDefault="00D45749">
      <w:pPr>
        <w:pStyle w:val="Standard"/>
        <w:jc w:val="both"/>
      </w:pPr>
      <w:r>
        <w:rPr>
          <w:rFonts w:ascii="Open Sans" w:hAnsi="Open Sans"/>
          <w:b/>
          <w:bCs/>
          <w:sz w:val="22"/>
          <w:szCs w:val="22"/>
        </w:rPr>
        <w:t>e)</w:t>
      </w:r>
      <w:r>
        <w:rPr>
          <w:rFonts w:ascii="Open Sans" w:hAnsi="Open Sans"/>
          <w:sz w:val="22"/>
          <w:szCs w:val="22"/>
        </w:rPr>
        <w:t xml:space="preserve"> Los solicitantes deben estar al corriente en las obligaciones de pago con la Hacienda Municipal, la Agencia Tributaria y la Seguridad Social. Se c</w:t>
      </w:r>
      <w:r>
        <w:rPr>
          <w:rFonts w:ascii="Open Sans" w:hAnsi="Open Sans"/>
          <w:sz w:val="22"/>
          <w:szCs w:val="22"/>
        </w:rPr>
        <w:t>onsiderará estar al corriente, los casos de pagos a plazos, siempre que, estos hayan sido atendidos en la fecha de su vencimiento.</w:t>
      </w:r>
    </w:p>
    <w:p w:rsidR="00841C6B" w:rsidRDefault="00D45749">
      <w:pPr>
        <w:pStyle w:val="Standard"/>
        <w:jc w:val="both"/>
      </w:pPr>
      <w:r>
        <w:rPr>
          <w:rFonts w:ascii="Open Sans" w:hAnsi="Open Sans"/>
          <w:b/>
          <w:bCs/>
          <w:sz w:val="22"/>
          <w:szCs w:val="22"/>
        </w:rPr>
        <w:t>f)</w:t>
      </w:r>
      <w:r>
        <w:rPr>
          <w:rFonts w:ascii="Open Sans" w:hAnsi="Open Sans"/>
          <w:sz w:val="22"/>
          <w:szCs w:val="22"/>
        </w:rPr>
        <w:t xml:space="preserve"> Presentar la solicitud dentro del plazo establecido.</w:t>
      </w:r>
    </w:p>
    <w:p w:rsidR="00841C6B" w:rsidRDefault="00D45749">
      <w:pPr>
        <w:pStyle w:val="Standard"/>
        <w:jc w:val="both"/>
      </w:pPr>
      <w:r>
        <w:rPr>
          <w:rFonts w:ascii="Open Sans" w:hAnsi="Open Sans"/>
          <w:b/>
          <w:bCs/>
          <w:sz w:val="22"/>
          <w:szCs w:val="22"/>
        </w:rPr>
        <w:t xml:space="preserve">g) </w:t>
      </w:r>
      <w:r>
        <w:rPr>
          <w:rFonts w:ascii="Open Sans" w:hAnsi="Open Sans"/>
          <w:bCs/>
          <w:sz w:val="22"/>
          <w:szCs w:val="22"/>
        </w:rPr>
        <w:t>De acuerdo con lo que dispone el art. 30.2 LGS será de obligado cu</w:t>
      </w:r>
      <w:r>
        <w:rPr>
          <w:rFonts w:ascii="Open Sans" w:hAnsi="Open Sans"/>
          <w:bCs/>
          <w:sz w:val="22"/>
          <w:szCs w:val="22"/>
        </w:rPr>
        <w:t xml:space="preserve">mplimiento una cuenta justificativa que acredite los gastos básicos del domicilio que el solicitante haya sufragado en anterioridad al cobro de la subvención. </w:t>
      </w:r>
    </w:p>
    <w:p w:rsidR="00841C6B" w:rsidRDefault="00841C6B">
      <w:pPr>
        <w:pStyle w:val="Standard"/>
        <w:jc w:val="both"/>
        <w:rPr>
          <w:rFonts w:ascii="Open Sans" w:hAnsi="Open Sans"/>
          <w:sz w:val="22"/>
          <w:szCs w:val="22"/>
        </w:rPr>
      </w:pPr>
    </w:p>
    <w:p w:rsidR="00841C6B" w:rsidRDefault="00841C6B">
      <w:pPr>
        <w:pStyle w:val="Standard"/>
        <w:jc w:val="both"/>
        <w:rPr>
          <w:rFonts w:ascii="Open Sans" w:hAnsi="Open Sans"/>
          <w:sz w:val="22"/>
          <w:szCs w:val="22"/>
        </w:rPr>
      </w:pPr>
    </w:p>
    <w:p w:rsidR="00841C6B" w:rsidRDefault="00D45749">
      <w:pPr>
        <w:pStyle w:val="Standard"/>
        <w:jc w:val="both"/>
        <w:rPr>
          <w:rFonts w:ascii="Open Sans" w:hAnsi="Open Sans"/>
          <w:b/>
          <w:bCs/>
          <w:sz w:val="22"/>
          <w:szCs w:val="22"/>
        </w:rPr>
      </w:pPr>
      <w:r>
        <w:rPr>
          <w:rFonts w:ascii="Open Sans" w:hAnsi="Open Sans"/>
          <w:sz w:val="22"/>
          <w:szCs w:val="22"/>
          <w:u w:val="single"/>
        </w:rPr>
        <w:t>4.2. Requisitos específicos a cumplir por los perceptores de rentas bajas:</w:t>
      </w:r>
    </w:p>
    <w:p w:rsidR="00841C6B" w:rsidRDefault="00D45749">
      <w:pPr>
        <w:pStyle w:val="Standard"/>
        <w:jc w:val="both"/>
      </w:pPr>
      <w:r>
        <w:rPr>
          <w:rFonts w:ascii="Open Sans" w:hAnsi="Open Sans"/>
          <w:sz w:val="22"/>
          <w:szCs w:val="22"/>
        </w:rPr>
        <w:t xml:space="preserve">Estar en alguna de </w:t>
      </w:r>
      <w:r>
        <w:rPr>
          <w:rFonts w:ascii="Open Sans" w:hAnsi="Open Sans"/>
          <w:sz w:val="22"/>
          <w:szCs w:val="22"/>
        </w:rPr>
        <w:t>las siguientes condiciones:</w:t>
      </w:r>
    </w:p>
    <w:p w:rsidR="00841C6B" w:rsidRDefault="00D45749">
      <w:pPr>
        <w:pStyle w:val="Standard"/>
        <w:ind w:left="706"/>
        <w:jc w:val="both"/>
      </w:pPr>
      <w:r>
        <w:rPr>
          <w:rFonts w:ascii="Open Sans" w:hAnsi="Open Sans"/>
          <w:sz w:val="22"/>
          <w:szCs w:val="22"/>
        </w:rPr>
        <w:t>a) Percibir una pensión por jubilación, por invalidez, por viudedad o por orfandad siempre que su importe durante el ejercicio anterior al de la solicitud, haya estado dentro de los márgenes previstos al apartado “Condiciones ec</w:t>
      </w:r>
      <w:r>
        <w:rPr>
          <w:rFonts w:ascii="Open Sans" w:hAnsi="Open Sans"/>
          <w:sz w:val="22"/>
          <w:szCs w:val="22"/>
        </w:rPr>
        <w:t>onómicas” del cuadro establecido en el punto “Importe de las ayudas” (punto 5).</w:t>
      </w:r>
    </w:p>
    <w:p w:rsidR="00841C6B" w:rsidRDefault="00D45749">
      <w:pPr>
        <w:pStyle w:val="Standard"/>
        <w:ind w:left="706"/>
        <w:jc w:val="both"/>
      </w:pPr>
      <w:r>
        <w:rPr>
          <w:rFonts w:ascii="Open Sans" w:hAnsi="Open Sans"/>
          <w:sz w:val="22"/>
          <w:szCs w:val="22"/>
        </w:rPr>
        <w:t>b) Percibir una pensión o prestación no contributiva, incluido lo PIRMI, la cual lógicamente no podrá rebasar el límite cuantitativo indicado en las “Condiciones económicas” (p</w:t>
      </w:r>
      <w:r>
        <w:rPr>
          <w:rFonts w:ascii="Open Sans" w:hAnsi="Open Sans"/>
          <w:sz w:val="22"/>
          <w:szCs w:val="22"/>
        </w:rPr>
        <w:t>unto 5).</w:t>
      </w:r>
    </w:p>
    <w:p w:rsidR="00841C6B" w:rsidRDefault="00D45749">
      <w:pPr>
        <w:pStyle w:val="Standard"/>
        <w:ind w:left="706"/>
        <w:jc w:val="both"/>
      </w:pPr>
      <w:r>
        <w:rPr>
          <w:rFonts w:ascii="Open Sans" w:hAnsi="Open Sans"/>
          <w:sz w:val="22"/>
          <w:szCs w:val="22"/>
        </w:rPr>
        <w:t>c) Caso de cotitulares de los derechos establecidos en la letra c) del apartado anterior (punto 4.1), hará falta que en todo caso sean, como dice la letra d) del apartado anterior, cónyuges, parejas de hecho o persona que convive con el titular, p</w:t>
      </w:r>
      <w:r>
        <w:rPr>
          <w:rFonts w:ascii="Open Sans" w:hAnsi="Open Sans"/>
          <w:sz w:val="22"/>
          <w:szCs w:val="22"/>
        </w:rPr>
        <w:t>udiendo percibir los cotitulares pensión de prestación de las anteriormente mencionadas, dentro de los límites previstos al apartado “Condiciones económicas” del cuadro “Importes de las ayudas”.</w:t>
      </w:r>
    </w:p>
    <w:p w:rsidR="00841C6B" w:rsidRDefault="00D45749">
      <w:pPr>
        <w:pStyle w:val="Standard"/>
        <w:ind w:left="706"/>
        <w:jc w:val="both"/>
      </w:pPr>
      <w:r>
        <w:rPr>
          <w:rFonts w:ascii="Open Sans" w:hAnsi="Open Sans"/>
          <w:sz w:val="22"/>
          <w:szCs w:val="22"/>
        </w:rPr>
        <w:t>No se admitirán en los supuestos de cotitularidad, que ningun</w:t>
      </w:r>
      <w:r>
        <w:rPr>
          <w:rFonts w:ascii="Open Sans" w:hAnsi="Open Sans"/>
          <w:sz w:val="22"/>
          <w:szCs w:val="22"/>
        </w:rPr>
        <w:t xml:space="preserve">o de ellos no perciba ninguno de las prestaciones previstas los puntos 1 o 2 anteriores y, por lo tanto, en los supuestos de cotitularidad, al menos uno de ellos tendrá que ser pensionista o receptor de una prestación no contributiva dentro de los límites </w:t>
      </w:r>
      <w:r>
        <w:rPr>
          <w:rFonts w:ascii="Open Sans" w:hAnsi="Open Sans"/>
          <w:sz w:val="22"/>
          <w:szCs w:val="22"/>
        </w:rPr>
        <w:t>previstos.</w:t>
      </w:r>
    </w:p>
    <w:p w:rsidR="00841C6B" w:rsidRDefault="00841C6B">
      <w:pPr>
        <w:pStyle w:val="Standard"/>
        <w:ind w:left="706"/>
        <w:jc w:val="both"/>
        <w:rPr>
          <w:rFonts w:ascii="Open Sans" w:hAnsi="Open Sans"/>
          <w:sz w:val="22"/>
          <w:szCs w:val="22"/>
        </w:rPr>
      </w:pPr>
    </w:p>
    <w:p w:rsidR="00841C6B" w:rsidRDefault="00841C6B">
      <w:pPr>
        <w:pStyle w:val="Standard"/>
        <w:jc w:val="both"/>
        <w:rPr>
          <w:rFonts w:ascii="Open Sans" w:hAnsi="Open Sans"/>
          <w:sz w:val="22"/>
          <w:szCs w:val="22"/>
        </w:rPr>
      </w:pPr>
    </w:p>
    <w:p w:rsidR="00841C6B" w:rsidRDefault="00D45749">
      <w:pPr>
        <w:pStyle w:val="Standard"/>
        <w:jc w:val="both"/>
      </w:pPr>
      <w:r>
        <w:rPr>
          <w:rFonts w:ascii="Open Sans" w:hAnsi="Open Sans"/>
          <w:sz w:val="22"/>
          <w:szCs w:val="22"/>
          <w:u w:val="single"/>
        </w:rPr>
        <w:lastRenderedPageBreak/>
        <w:t>4.3. Requisitos específicos a cumplir por las familias con hijos a cargo con una prestación no contributiva.</w:t>
      </w:r>
    </w:p>
    <w:p w:rsidR="00841C6B" w:rsidRDefault="00D45749">
      <w:pPr>
        <w:pStyle w:val="Standard"/>
        <w:jc w:val="both"/>
      </w:pPr>
      <w:r>
        <w:rPr>
          <w:rFonts w:ascii="Open Sans" w:hAnsi="Open Sans"/>
          <w:b/>
          <w:bCs/>
          <w:sz w:val="22"/>
          <w:szCs w:val="22"/>
        </w:rPr>
        <w:t>a)</w:t>
      </w:r>
      <w:r>
        <w:rPr>
          <w:rFonts w:ascii="Open Sans" w:hAnsi="Open Sans"/>
          <w:sz w:val="22"/>
          <w:szCs w:val="22"/>
        </w:rPr>
        <w:t xml:space="preserve"> Tener una cotización mínima de 5 años a la seguridad social cuando el perceptor tenga 35 años o más, disminuyéndose este requisito </w:t>
      </w:r>
      <w:r>
        <w:rPr>
          <w:rFonts w:ascii="Open Sans" w:hAnsi="Open Sans"/>
          <w:sz w:val="22"/>
          <w:szCs w:val="22"/>
        </w:rPr>
        <w:t>de cotización mínima un año por cada año de menos de 35 que tenga el perceptor. A los perceptores menores de 31 años no se los exigirá cotización mínima.</w:t>
      </w:r>
    </w:p>
    <w:p w:rsidR="00841C6B" w:rsidRDefault="00D45749">
      <w:pPr>
        <w:pStyle w:val="Standard"/>
        <w:jc w:val="both"/>
      </w:pPr>
      <w:r>
        <w:rPr>
          <w:rFonts w:ascii="Open Sans" w:hAnsi="Open Sans"/>
          <w:b/>
          <w:bCs/>
          <w:sz w:val="22"/>
          <w:szCs w:val="22"/>
        </w:rPr>
        <w:t>b)</w:t>
      </w:r>
      <w:r>
        <w:rPr>
          <w:rFonts w:ascii="Open Sans" w:hAnsi="Open Sans"/>
          <w:sz w:val="22"/>
          <w:szCs w:val="22"/>
        </w:rPr>
        <w:t xml:space="preserve"> No disponer, nadie de la unidad familiar, de más inmuebles que la vivienda habitual donde tengan fi</w:t>
      </w:r>
      <w:r>
        <w:rPr>
          <w:rFonts w:ascii="Open Sans" w:hAnsi="Open Sans"/>
          <w:sz w:val="22"/>
          <w:szCs w:val="22"/>
        </w:rPr>
        <w:t>jada su residencia.</w:t>
      </w:r>
    </w:p>
    <w:p w:rsidR="00841C6B" w:rsidRDefault="00D45749">
      <w:pPr>
        <w:pStyle w:val="Standard"/>
        <w:jc w:val="both"/>
      </w:pPr>
      <w:r>
        <w:rPr>
          <w:rFonts w:ascii="Open Sans" w:hAnsi="Open Sans"/>
          <w:sz w:val="22"/>
          <w:szCs w:val="22"/>
        </w:rPr>
        <w:t>El cumplimiento de todos estos requisitos es indispensable para optar a la ayuda, que podrá ser o no otorgado, atendiendo a los criterios establecidos para el otorgamiento expresados en estas bases.</w:t>
      </w:r>
    </w:p>
    <w:p w:rsidR="00841C6B" w:rsidRDefault="00841C6B">
      <w:pPr>
        <w:pStyle w:val="Standard"/>
        <w:jc w:val="both"/>
        <w:rPr>
          <w:rFonts w:ascii="Open Sans" w:hAnsi="Open Sans"/>
          <w:b/>
          <w:bCs/>
          <w:sz w:val="22"/>
          <w:szCs w:val="22"/>
          <w:u w:val="single"/>
        </w:rPr>
      </w:pPr>
    </w:p>
    <w:p w:rsidR="00841C6B" w:rsidRDefault="00D45749">
      <w:pPr>
        <w:pStyle w:val="Standard"/>
        <w:jc w:val="both"/>
        <w:rPr>
          <w:rFonts w:ascii="Open Sans" w:hAnsi="Open Sans"/>
          <w:b/>
          <w:bCs/>
          <w:sz w:val="22"/>
          <w:szCs w:val="22"/>
          <w:u w:val="single"/>
        </w:rPr>
      </w:pPr>
      <w:r>
        <w:rPr>
          <w:rFonts w:ascii="Open Sans" w:hAnsi="Open Sans"/>
          <w:b/>
          <w:bCs/>
          <w:sz w:val="22"/>
          <w:szCs w:val="22"/>
          <w:u w:val="single"/>
        </w:rPr>
        <w:t>5. Importe de las ayudas</w:t>
      </w:r>
    </w:p>
    <w:p w:rsidR="00841C6B" w:rsidRDefault="00841C6B">
      <w:pPr>
        <w:pStyle w:val="Standard"/>
        <w:jc w:val="both"/>
      </w:pPr>
    </w:p>
    <w:p w:rsidR="00841C6B" w:rsidRDefault="00D45749">
      <w:pPr>
        <w:pStyle w:val="Standard"/>
        <w:jc w:val="both"/>
        <w:rPr>
          <w:u w:val="single"/>
        </w:rPr>
      </w:pPr>
      <w:r>
        <w:rPr>
          <w:rFonts w:ascii="Open Sans" w:hAnsi="Open Sans"/>
          <w:sz w:val="22"/>
          <w:szCs w:val="22"/>
          <w:u w:val="single"/>
        </w:rPr>
        <w:t>5.1. Perce</w:t>
      </w:r>
      <w:r>
        <w:rPr>
          <w:rFonts w:ascii="Open Sans" w:hAnsi="Open Sans"/>
          <w:sz w:val="22"/>
          <w:szCs w:val="22"/>
          <w:u w:val="single"/>
        </w:rPr>
        <w:t>ptores de rentas bajas.</w:t>
      </w:r>
    </w:p>
    <w:p w:rsidR="00841C6B" w:rsidRDefault="00D45749">
      <w:pPr>
        <w:pStyle w:val="Standard"/>
        <w:jc w:val="both"/>
      </w:pPr>
      <w:r>
        <w:rPr>
          <w:rFonts w:ascii="Open Sans" w:hAnsi="Open Sans"/>
          <w:sz w:val="22"/>
          <w:szCs w:val="22"/>
        </w:rPr>
        <w:t>a) Titularidad única del derecho que da lugar a la ayuda siempre que siempre que se cumplan el resto de condiciones aplicables.</w:t>
      </w:r>
    </w:p>
    <w:p w:rsidR="00841C6B" w:rsidRDefault="00D45749">
      <w:pPr>
        <w:ind w:left="1080"/>
        <w:jc w:val="both"/>
        <w:rPr>
          <w:sz w:val="22"/>
          <w:szCs w:val="22"/>
        </w:rPr>
      </w:pPr>
      <w:r>
        <w:rPr>
          <w:rFonts w:ascii="Open Sans" w:hAnsi="Open Sans" w:cs="Open Sans"/>
          <w:sz w:val="22"/>
          <w:szCs w:val="22"/>
          <w:u w:val="single"/>
        </w:rPr>
        <w:t>Condiciones económicas</w:t>
      </w:r>
      <w:r>
        <w:rPr>
          <w:rFonts w:ascii="Open Sans" w:hAnsi="Open Sans" w:cs="Open Sans"/>
          <w:sz w:val="22"/>
          <w:szCs w:val="22"/>
          <w:u w:val="single"/>
        </w:rPr>
        <w:tab/>
      </w:r>
      <w:r>
        <w:rPr>
          <w:rFonts w:ascii="Open Sans" w:hAnsi="Open Sans" w:cs="Open Sans"/>
          <w:sz w:val="22"/>
          <w:szCs w:val="22"/>
          <w:u w:val="single"/>
        </w:rPr>
        <w:tab/>
      </w:r>
      <w:r>
        <w:rPr>
          <w:rFonts w:ascii="Open Sans" w:hAnsi="Open Sans" w:cs="Open Sans"/>
          <w:sz w:val="22"/>
          <w:szCs w:val="22"/>
          <w:u w:val="single"/>
        </w:rPr>
        <w:tab/>
      </w:r>
      <w:r>
        <w:rPr>
          <w:rFonts w:ascii="Open Sans" w:hAnsi="Open Sans" w:cs="Open Sans"/>
          <w:sz w:val="22"/>
          <w:szCs w:val="22"/>
          <w:u w:val="single"/>
        </w:rPr>
        <w:tab/>
      </w:r>
      <w:r>
        <w:rPr>
          <w:rFonts w:ascii="Open Sans" w:hAnsi="Open Sans" w:cs="Open Sans"/>
          <w:sz w:val="22"/>
          <w:szCs w:val="22"/>
          <w:u w:val="single"/>
        </w:rPr>
        <w:tab/>
        <w:t xml:space="preserve">      Importe ayuda</w:t>
      </w:r>
    </w:p>
    <w:p w:rsidR="00841C6B" w:rsidRDefault="00D45749">
      <w:pPr>
        <w:tabs>
          <w:tab w:val="decimal" w:pos="8100"/>
        </w:tabs>
        <w:ind w:left="1080"/>
        <w:jc w:val="both"/>
        <w:rPr>
          <w:sz w:val="22"/>
          <w:szCs w:val="22"/>
        </w:rPr>
      </w:pPr>
      <w:r>
        <w:rPr>
          <w:rFonts w:ascii="Open Sans" w:hAnsi="Open Sans" w:cs="Open Sans"/>
          <w:sz w:val="22"/>
          <w:szCs w:val="22"/>
        </w:rPr>
        <w:t>Inferior o igual a 735,90 €</w:t>
      </w:r>
      <w:r>
        <w:rPr>
          <w:rFonts w:ascii="Open Sans" w:hAnsi="Open Sans" w:cs="Open Sans"/>
          <w:sz w:val="22"/>
          <w:szCs w:val="22"/>
        </w:rPr>
        <w:tab/>
        <w:t>140,00</w:t>
      </w:r>
    </w:p>
    <w:p w:rsidR="00841C6B" w:rsidRDefault="00D45749">
      <w:pPr>
        <w:tabs>
          <w:tab w:val="decimal" w:pos="8100"/>
        </w:tabs>
        <w:ind w:left="1080"/>
        <w:jc w:val="both"/>
        <w:rPr>
          <w:sz w:val="22"/>
          <w:szCs w:val="22"/>
        </w:rPr>
      </w:pPr>
      <w:r>
        <w:rPr>
          <w:rFonts w:ascii="Open Sans" w:hAnsi="Open Sans" w:cs="Open Sans"/>
          <w:sz w:val="22"/>
          <w:szCs w:val="22"/>
        </w:rPr>
        <w:t xml:space="preserve">Superior a 735,90 € </w:t>
      </w:r>
      <w:r>
        <w:rPr>
          <w:rFonts w:ascii="Open Sans" w:hAnsi="Open Sans" w:cs="Open Sans"/>
          <w:sz w:val="22"/>
          <w:szCs w:val="22"/>
        </w:rPr>
        <w:t>pero inferior a 809,49 € (1,1 salario base)</w:t>
      </w:r>
      <w:r>
        <w:rPr>
          <w:rFonts w:ascii="Open Sans" w:hAnsi="Open Sans" w:cs="Open Sans"/>
          <w:sz w:val="22"/>
          <w:szCs w:val="22"/>
        </w:rPr>
        <w:tab/>
        <w:t>120,00</w:t>
      </w:r>
    </w:p>
    <w:p w:rsidR="00841C6B" w:rsidRDefault="00D45749">
      <w:pPr>
        <w:tabs>
          <w:tab w:val="decimal" w:pos="8100"/>
        </w:tabs>
        <w:ind w:left="1080"/>
        <w:jc w:val="both"/>
        <w:rPr>
          <w:sz w:val="22"/>
          <w:szCs w:val="22"/>
        </w:rPr>
      </w:pPr>
      <w:r>
        <w:rPr>
          <w:rFonts w:ascii="Open Sans" w:hAnsi="Open Sans" w:cs="Open Sans"/>
          <w:sz w:val="22"/>
          <w:szCs w:val="22"/>
        </w:rPr>
        <w:t>Superior a 809,79 € pero inferior a 956,67 € (1,3 salario base)</w:t>
      </w:r>
      <w:r>
        <w:rPr>
          <w:rFonts w:ascii="Open Sans" w:hAnsi="Open Sans" w:cs="Open Sans"/>
          <w:sz w:val="22"/>
          <w:szCs w:val="22"/>
        </w:rPr>
        <w:tab/>
        <w:t>100,00</w:t>
      </w:r>
    </w:p>
    <w:p w:rsidR="00841C6B" w:rsidRDefault="00D45749">
      <w:pPr>
        <w:tabs>
          <w:tab w:val="decimal" w:pos="8100"/>
        </w:tabs>
        <w:ind w:left="1080"/>
        <w:jc w:val="both"/>
        <w:rPr>
          <w:sz w:val="22"/>
          <w:szCs w:val="22"/>
        </w:rPr>
      </w:pPr>
      <w:r>
        <w:rPr>
          <w:rFonts w:ascii="Open Sans" w:hAnsi="Open Sans" w:cs="Open Sans"/>
          <w:sz w:val="22"/>
          <w:szCs w:val="22"/>
        </w:rPr>
        <w:t>Superior a 956,67 €</w:t>
      </w:r>
      <w:r>
        <w:rPr>
          <w:rFonts w:ascii="Open Sans" w:hAnsi="Open Sans" w:cs="Open Sans"/>
          <w:sz w:val="22"/>
          <w:szCs w:val="22"/>
        </w:rPr>
        <w:tab/>
        <w:t>0,00</w:t>
      </w:r>
    </w:p>
    <w:p w:rsidR="00841C6B" w:rsidRDefault="00841C6B">
      <w:pPr>
        <w:pStyle w:val="Standard"/>
        <w:ind w:left="706"/>
        <w:jc w:val="both"/>
        <w:rPr>
          <w:rFonts w:ascii="Open Sans" w:hAnsi="Open Sans"/>
          <w:sz w:val="22"/>
          <w:szCs w:val="22"/>
        </w:rPr>
      </w:pPr>
    </w:p>
    <w:p w:rsidR="00841C6B" w:rsidRDefault="00D45749">
      <w:pPr>
        <w:pStyle w:val="Standard"/>
        <w:jc w:val="both"/>
      </w:pPr>
      <w:r>
        <w:rPr>
          <w:rFonts w:ascii="Open Sans" w:hAnsi="Open Sans"/>
          <w:sz w:val="22"/>
          <w:szCs w:val="22"/>
        </w:rPr>
        <w:t xml:space="preserve">b) Matrimonio o dos personas que convivan, que sean </w:t>
      </w:r>
      <w:r>
        <w:rPr>
          <w:rFonts w:ascii="Open Sans" w:hAnsi="Open Sans"/>
          <w:color w:val="000000"/>
          <w:sz w:val="22"/>
          <w:szCs w:val="22"/>
        </w:rPr>
        <w:t>cotitulares</w:t>
      </w:r>
      <w:r>
        <w:rPr>
          <w:rFonts w:ascii="Open Sans" w:hAnsi="Open Sans"/>
          <w:sz w:val="22"/>
          <w:szCs w:val="22"/>
        </w:rPr>
        <w:t xml:space="preserve"> de los derechos y cumplan el resto de condic</w:t>
      </w:r>
      <w:r>
        <w:rPr>
          <w:rFonts w:ascii="Open Sans" w:hAnsi="Open Sans"/>
          <w:sz w:val="22"/>
          <w:szCs w:val="22"/>
        </w:rPr>
        <w:t>iones aplicables.</w:t>
      </w:r>
    </w:p>
    <w:p w:rsidR="00841C6B" w:rsidRDefault="00D45749">
      <w:pPr>
        <w:ind w:left="1080"/>
        <w:jc w:val="both"/>
        <w:rPr>
          <w:sz w:val="22"/>
          <w:szCs w:val="22"/>
        </w:rPr>
      </w:pPr>
      <w:r>
        <w:rPr>
          <w:rFonts w:ascii="Open Sans" w:hAnsi="Open Sans" w:cs="Open Sans"/>
          <w:sz w:val="22"/>
          <w:szCs w:val="22"/>
          <w:u w:val="single"/>
        </w:rPr>
        <w:t>Condiciones económicas</w:t>
      </w:r>
      <w:r>
        <w:rPr>
          <w:rFonts w:ascii="Open Sans" w:hAnsi="Open Sans" w:cs="Open Sans"/>
          <w:sz w:val="22"/>
          <w:szCs w:val="22"/>
          <w:u w:val="single"/>
        </w:rPr>
        <w:tab/>
      </w:r>
      <w:r>
        <w:rPr>
          <w:rFonts w:ascii="Open Sans" w:hAnsi="Open Sans" w:cs="Open Sans"/>
          <w:sz w:val="22"/>
          <w:szCs w:val="22"/>
          <w:u w:val="single"/>
        </w:rPr>
        <w:tab/>
      </w:r>
      <w:r>
        <w:rPr>
          <w:rFonts w:ascii="Open Sans" w:hAnsi="Open Sans" w:cs="Open Sans"/>
          <w:sz w:val="22"/>
          <w:szCs w:val="22"/>
          <w:u w:val="single"/>
        </w:rPr>
        <w:tab/>
      </w:r>
      <w:r>
        <w:rPr>
          <w:rFonts w:ascii="Open Sans" w:hAnsi="Open Sans" w:cs="Open Sans"/>
          <w:sz w:val="22"/>
          <w:szCs w:val="22"/>
          <w:u w:val="single"/>
        </w:rPr>
        <w:tab/>
      </w:r>
      <w:r>
        <w:rPr>
          <w:rFonts w:ascii="Open Sans" w:hAnsi="Open Sans" w:cs="Open Sans"/>
          <w:sz w:val="22"/>
          <w:szCs w:val="22"/>
          <w:u w:val="single"/>
        </w:rPr>
        <w:tab/>
        <w:t xml:space="preserve">      Importe ayuda</w:t>
      </w:r>
    </w:p>
    <w:p w:rsidR="00841C6B" w:rsidRDefault="00D45749">
      <w:pPr>
        <w:tabs>
          <w:tab w:val="decimal" w:pos="8100"/>
        </w:tabs>
        <w:ind w:left="1080"/>
        <w:jc w:val="both"/>
        <w:rPr>
          <w:sz w:val="22"/>
          <w:szCs w:val="22"/>
        </w:rPr>
      </w:pPr>
      <w:r>
        <w:rPr>
          <w:rFonts w:ascii="Open Sans" w:hAnsi="Open Sans" w:cs="Open Sans"/>
          <w:sz w:val="22"/>
          <w:szCs w:val="22"/>
        </w:rPr>
        <w:t>Inferior o igual a 1.471,80 €</w:t>
      </w:r>
      <w:r>
        <w:rPr>
          <w:rFonts w:ascii="Open Sans" w:hAnsi="Open Sans" w:cs="Open Sans"/>
          <w:sz w:val="22"/>
          <w:szCs w:val="22"/>
        </w:rPr>
        <w:tab/>
        <w:t>140,00</w:t>
      </w:r>
    </w:p>
    <w:p w:rsidR="00841C6B" w:rsidRDefault="00D45749">
      <w:pPr>
        <w:tabs>
          <w:tab w:val="decimal" w:pos="8100"/>
        </w:tabs>
        <w:ind w:left="1080"/>
        <w:jc w:val="both"/>
        <w:rPr>
          <w:sz w:val="22"/>
          <w:szCs w:val="22"/>
        </w:rPr>
      </w:pPr>
      <w:r>
        <w:rPr>
          <w:rFonts w:ascii="Open Sans" w:hAnsi="Open Sans" w:cs="Open Sans"/>
          <w:sz w:val="22"/>
          <w:szCs w:val="22"/>
        </w:rPr>
        <w:t>Superior a 1.471,80 € pero inferior a 1.619,98 € (1,1 salario base)</w:t>
      </w:r>
      <w:r>
        <w:rPr>
          <w:rFonts w:ascii="Open Sans" w:hAnsi="Open Sans" w:cs="Open Sans"/>
          <w:sz w:val="22"/>
          <w:szCs w:val="22"/>
        </w:rPr>
        <w:tab/>
        <w:t>120,00</w:t>
      </w:r>
    </w:p>
    <w:p w:rsidR="00841C6B" w:rsidRDefault="00D45749">
      <w:pPr>
        <w:tabs>
          <w:tab w:val="decimal" w:pos="8100"/>
        </w:tabs>
        <w:ind w:left="1080"/>
        <w:jc w:val="both"/>
        <w:rPr>
          <w:sz w:val="22"/>
          <w:szCs w:val="22"/>
        </w:rPr>
      </w:pPr>
      <w:r>
        <w:rPr>
          <w:rFonts w:ascii="Open Sans" w:hAnsi="Open Sans" w:cs="Open Sans"/>
          <w:sz w:val="22"/>
          <w:szCs w:val="22"/>
        </w:rPr>
        <w:t>Superior a 1.619,98 € pero inferior a 1.913,34 € (1,3 salario base)</w:t>
      </w:r>
      <w:r>
        <w:rPr>
          <w:rFonts w:ascii="Open Sans" w:hAnsi="Open Sans" w:cs="Open Sans"/>
          <w:sz w:val="22"/>
          <w:szCs w:val="22"/>
        </w:rPr>
        <w:tab/>
        <w:t>100,00</w:t>
      </w:r>
    </w:p>
    <w:p w:rsidR="00841C6B" w:rsidRDefault="00D45749">
      <w:pPr>
        <w:tabs>
          <w:tab w:val="decimal" w:pos="8100"/>
        </w:tabs>
        <w:ind w:left="1080"/>
        <w:jc w:val="both"/>
        <w:rPr>
          <w:sz w:val="22"/>
          <w:szCs w:val="22"/>
        </w:rPr>
      </w:pPr>
      <w:r>
        <w:rPr>
          <w:rFonts w:ascii="Open Sans" w:hAnsi="Open Sans" w:cs="Open Sans"/>
          <w:sz w:val="22"/>
          <w:szCs w:val="22"/>
        </w:rPr>
        <w:t>Supe</w:t>
      </w:r>
      <w:r>
        <w:rPr>
          <w:rFonts w:ascii="Open Sans" w:hAnsi="Open Sans" w:cs="Open Sans"/>
          <w:sz w:val="22"/>
          <w:szCs w:val="22"/>
        </w:rPr>
        <w:t>rior a 1.913,34 €</w:t>
      </w:r>
      <w:r>
        <w:rPr>
          <w:rFonts w:ascii="Open Sans" w:hAnsi="Open Sans" w:cs="Open Sans"/>
          <w:sz w:val="22"/>
          <w:szCs w:val="22"/>
        </w:rPr>
        <w:tab/>
        <w:t>0,00</w:t>
      </w:r>
    </w:p>
    <w:p w:rsidR="00841C6B" w:rsidRDefault="00841C6B">
      <w:pPr>
        <w:pStyle w:val="Standard"/>
        <w:jc w:val="both"/>
        <w:rPr>
          <w:rFonts w:ascii="Open Sans" w:hAnsi="Open Sans"/>
          <w:sz w:val="22"/>
          <w:szCs w:val="22"/>
        </w:rPr>
      </w:pPr>
    </w:p>
    <w:p w:rsidR="00841C6B" w:rsidRDefault="00D45749">
      <w:pPr>
        <w:pStyle w:val="Standard"/>
        <w:jc w:val="both"/>
      </w:pPr>
      <w:r>
        <w:rPr>
          <w:rFonts w:ascii="Open Sans" w:hAnsi="Open Sans"/>
          <w:sz w:val="22"/>
          <w:szCs w:val="22"/>
        </w:rPr>
        <w:t>Si los ingresos acreditados son anuales, el cálculo mensual se obtendrá dividiéndolo por las mensualidades que se perciban. Caso que la percepción recibida sea anual, trimestral o semestral, la división se haría por 14, 7 o 3,5 resp</w:t>
      </w:r>
      <w:r>
        <w:rPr>
          <w:rFonts w:ascii="Open Sans" w:hAnsi="Open Sans"/>
          <w:sz w:val="22"/>
          <w:szCs w:val="22"/>
        </w:rPr>
        <w:t>ectivamente. Si las cuantías mensuales resultantes, variaran significativamente se podrá tomar en consideración una mensualidad mediana de las percibidas.</w:t>
      </w:r>
    </w:p>
    <w:p w:rsidR="00841C6B" w:rsidRDefault="00841C6B">
      <w:pPr>
        <w:pStyle w:val="Standard"/>
        <w:jc w:val="both"/>
        <w:rPr>
          <w:rFonts w:ascii="Open Sans" w:hAnsi="Open Sans"/>
          <w:sz w:val="22"/>
          <w:szCs w:val="22"/>
        </w:rPr>
      </w:pPr>
    </w:p>
    <w:p w:rsidR="00841C6B" w:rsidRDefault="00D45749">
      <w:pPr>
        <w:pStyle w:val="Standard"/>
        <w:jc w:val="both"/>
        <w:rPr>
          <w:u w:val="single"/>
        </w:rPr>
      </w:pPr>
      <w:r>
        <w:rPr>
          <w:rFonts w:ascii="Open Sans" w:hAnsi="Open Sans"/>
          <w:sz w:val="22"/>
          <w:szCs w:val="22"/>
          <w:u w:val="single"/>
        </w:rPr>
        <w:t>5.2. Familias de prestaciones no contributivas con hijos a cargo.</w:t>
      </w:r>
    </w:p>
    <w:p w:rsidR="00841C6B" w:rsidRDefault="00D45749">
      <w:pPr>
        <w:ind w:left="1080"/>
        <w:jc w:val="both"/>
        <w:rPr>
          <w:sz w:val="22"/>
          <w:szCs w:val="22"/>
        </w:rPr>
      </w:pPr>
      <w:r>
        <w:rPr>
          <w:rFonts w:ascii="Open Sans" w:hAnsi="Open Sans" w:cs="Open Sans"/>
          <w:sz w:val="22"/>
          <w:szCs w:val="22"/>
          <w:u w:val="single"/>
        </w:rPr>
        <w:t>Número de hijos a cargo</w:t>
      </w:r>
      <w:r>
        <w:rPr>
          <w:rFonts w:ascii="Open Sans" w:hAnsi="Open Sans" w:cs="Open Sans"/>
          <w:sz w:val="22"/>
          <w:szCs w:val="22"/>
          <w:u w:val="single"/>
        </w:rPr>
        <w:tab/>
      </w:r>
      <w:r>
        <w:rPr>
          <w:rFonts w:ascii="Open Sans" w:hAnsi="Open Sans" w:cs="Open Sans"/>
          <w:sz w:val="22"/>
          <w:szCs w:val="22"/>
          <w:u w:val="single"/>
        </w:rPr>
        <w:tab/>
      </w:r>
      <w:r>
        <w:rPr>
          <w:rFonts w:ascii="Open Sans" w:hAnsi="Open Sans" w:cs="Open Sans"/>
          <w:sz w:val="22"/>
          <w:szCs w:val="22"/>
          <w:u w:val="single"/>
        </w:rPr>
        <w:tab/>
      </w:r>
      <w:r>
        <w:rPr>
          <w:rFonts w:ascii="Open Sans" w:hAnsi="Open Sans" w:cs="Open Sans"/>
          <w:sz w:val="22"/>
          <w:szCs w:val="22"/>
          <w:u w:val="single"/>
        </w:rPr>
        <w:tab/>
      </w:r>
      <w:r>
        <w:rPr>
          <w:rFonts w:ascii="Open Sans" w:hAnsi="Open Sans" w:cs="Open Sans"/>
          <w:sz w:val="22"/>
          <w:szCs w:val="22"/>
          <w:u w:val="single"/>
        </w:rPr>
        <w:tab/>
        <w:t xml:space="preserve">      </w:t>
      </w:r>
      <w:r>
        <w:rPr>
          <w:rFonts w:ascii="Open Sans" w:hAnsi="Open Sans" w:cs="Open Sans"/>
          <w:sz w:val="22"/>
          <w:szCs w:val="22"/>
          <w:u w:val="single"/>
        </w:rPr>
        <w:t>Importe ayuda</w:t>
      </w:r>
    </w:p>
    <w:p w:rsidR="00841C6B" w:rsidRDefault="00D45749">
      <w:pPr>
        <w:tabs>
          <w:tab w:val="decimal" w:pos="8100"/>
        </w:tabs>
        <w:ind w:left="1080"/>
        <w:jc w:val="both"/>
        <w:rPr>
          <w:sz w:val="22"/>
          <w:szCs w:val="22"/>
        </w:rPr>
      </w:pPr>
      <w:r>
        <w:rPr>
          <w:rFonts w:ascii="Open Sans" w:hAnsi="Open Sans" w:cs="Open Sans"/>
          <w:sz w:val="22"/>
          <w:szCs w:val="22"/>
        </w:rPr>
        <w:t>Tres o más hijos</w:t>
      </w:r>
      <w:r>
        <w:rPr>
          <w:rFonts w:ascii="Open Sans" w:hAnsi="Open Sans" w:cs="Open Sans"/>
          <w:sz w:val="22"/>
          <w:szCs w:val="22"/>
        </w:rPr>
        <w:tab/>
        <w:t>140,00</w:t>
      </w:r>
    </w:p>
    <w:p w:rsidR="00841C6B" w:rsidRDefault="00D45749">
      <w:pPr>
        <w:tabs>
          <w:tab w:val="decimal" w:pos="8100"/>
        </w:tabs>
        <w:ind w:left="1080"/>
        <w:jc w:val="both"/>
        <w:rPr>
          <w:sz w:val="22"/>
          <w:szCs w:val="22"/>
        </w:rPr>
      </w:pPr>
      <w:r>
        <w:rPr>
          <w:rFonts w:ascii="Open Sans" w:hAnsi="Open Sans" w:cs="Open Sans"/>
          <w:sz w:val="22"/>
          <w:szCs w:val="22"/>
        </w:rPr>
        <w:t>Dos hijos</w:t>
      </w:r>
      <w:r>
        <w:rPr>
          <w:rFonts w:ascii="Open Sans" w:hAnsi="Open Sans" w:cs="Open Sans"/>
          <w:sz w:val="22"/>
          <w:szCs w:val="22"/>
        </w:rPr>
        <w:tab/>
        <w:t>120,00</w:t>
      </w:r>
    </w:p>
    <w:p w:rsidR="00841C6B" w:rsidRDefault="00D45749">
      <w:pPr>
        <w:tabs>
          <w:tab w:val="decimal" w:pos="8100"/>
        </w:tabs>
        <w:ind w:left="1080"/>
        <w:jc w:val="both"/>
        <w:rPr>
          <w:sz w:val="22"/>
          <w:szCs w:val="22"/>
        </w:rPr>
      </w:pPr>
      <w:r>
        <w:rPr>
          <w:rFonts w:ascii="Open Sans" w:hAnsi="Open Sans" w:cs="Open Sans"/>
          <w:sz w:val="22"/>
          <w:szCs w:val="22"/>
        </w:rPr>
        <w:t>Un hijo</w:t>
      </w:r>
      <w:r>
        <w:rPr>
          <w:rFonts w:ascii="Open Sans" w:hAnsi="Open Sans" w:cs="Open Sans"/>
          <w:sz w:val="22"/>
          <w:szCs w:val="22"/>
        </w:rPr>
        <w:tab/>
        <w:t>100,00</w:t>
      </w:r>
    </w:p>
    <w:p w:rsidR="00841C6B" w:rsidRDefault="00D45749">
      <w:pPr>
        <w:tabs>
          <w:tab w:val="decimal" w:pos="8100"/>
        </w:tabs>
        <w:ind w:left="1080"/>
        <w:jc w:val="both"/>
        <w:rPr>
          <w:sz w:val="22"/>
          <w:szCs w:val="22"/>
        </w:rPr>
      </w:pPr>
      <w:r>
        <w:rPr>
          <w:rFonts w:ascii="Open Sans" w:hAnsi="Open Sans" w:cs="Open Sans"/>
          <w:sz w:val="22"/>
          <w:szCs w:val="22"/>
        </w:rPr>
        <w:t>Ningún hijo</w:t>
      </w:r>
      <w:r>
        <w:rPr>
          <w:rFonts w:ascii="Open Sans" w:hAnsi="Open Sans" w:cs="Open Sans"/>
          <w:sz w:val="22"/>
          <w:szCs w:val="22"/>
        </w:rPr>
        <w:tab/>
        <w:t>0,00</w:t>
      </w:r>
    </w:p>
    <w:p w:rsidR="00841C6B" w:rsidRDefault="00841C6B">
      <w:pPr>
        <w:pStyle w:val="Standard"/>
        <w:ind w:left="706"/>
        <w:jc w:val="both"/>
        <w:rPr>
          <w:rFonts w:ascii="Open Sans" w:hAnsi="Open Sans"/>
          <w:sz w:val="22"/>
          <w:szCs w:val="22"/>
        </w:rPr>
      </w:pPr>
    </w:p>
    <w:p w:rsidR="00841C6B" w:rsidRDefault="00D45749">
      <w:pPr>
        <w:pStyle w:val="Standard"/>
        <w:jc w:val="both"/>
      </w:pPr>
      <w:r>
        <w:rPr>
          <w:rFonts w:ascii="Open Sans" w:hAnsi="Open Sans"/>
          <w:b/>
          <w:bCs/>
          <w:sz w:val="22"/>
          <w:szCs w:val="22"/>
          <w:u w:val="single"/>
        </w:rPr>
        <w:t>6. Criterios para el otorgamiento.</w:t>
      </w:r>
    </w:p>
    <w:p w:rsidR="00841C6B" w:rsidRDefault="00D45749">
      <w:pPr>
        <w:pStyle w:val="Standard"/>
        <w:jc w:val="both"/>
      </w:pPr>
      <w:r>
        <w:rPr>
          <w:rFonts w:ascii="Open Sans" w:hAnsi="Open Sans"/>
          <w:sz w:val="22"/>
          <w:szCs w:val="22"/>
        </w:rPr>
        <w:t>De acuerdo con las bases se tendrá en cuenta el orden de presentación resolviéndose todas las solicitudes que cumplan los criterios e</w:t>
      </w:r>
      <w:r>
        <w:rPr>
          <w:rFonts w:ascii="Open Sans" w:hAnsi="Open Sans"/>
          <w:sz w:val="22"/>
          <w:szCs w:val="22"/>
        </w:rPr>
        <w:t>stablecidos a las bases de la convocatoria hasta cubrir las disponibilidades presupuestarias fijadas.</w:t>
      </w:r>
    </w:p>
    <w:p w:rsidR="00841C6B" w:rsidRDefault="00841C6B">
      <w:pPr>
        <w:pStyle w:val="Standard"/>
        <w:jc w:val="both"/>
        <w:rPr>
          <w:rFonts w:ascii="Open Sans" w:hAnsi="Open Sans"/>
          <w:b/>
          <w:bCs/>
          <w:sz w:val="22"/>
          <w:szCs w:val="22"/>
          <w:u w:val="single"/>
        </w:rPr>
      </w:pPr>
    </w:p>
    <w:p w:rsidR="00841C6B" w:rsidRDefault="00D45749">
      <w:pPr>
        <w:pStyle w:val="Standard"/>
        <w:jc w:val="both"/>
      </w:pPr>
      <w:r>
        <w:rPr>
          <w:rFonts w:ascii="Open Sans" w:hAnsi="Open Sans"/>
          <w:b/>
          <w:bCs/>
          <w:sz w:val="22"/>
          <w:szCs w:val="22"/>
          <w:u w:val="single"/>
        </w:rPr>
        <w:t>7. Presentación de solicitudes.</w:t>
      </w:r>
    </w:p>
    <w:p w:rsidR="00841C6B" w:rsidRDefault="00D45749">
      <w:pPr>
        <w:pStyle w:val="Standard"/>
        <w:jc w:val="both"/>
      </w:pPr>
      <w:r>
        <w:rPr>
          <w:rFonts w:ascii="Open Sans" w:hAnsi="Open Sans"/>
          <w:sz w:val="22"/>
          <w:szCs w:val="22"/>
        </w:rPr>
        <w:t xml:space="preserve">El plazo de presentación será desde el día siguiente de la publicación en el </w:t>
      </w:r>
      <w:proofErr w:type="spellStart"/>
      <w:r>
        <w:rPr>
          <w:rFonts w:ascii="Open Sans" w:hAnsi="Open Sans"/>
          <w:sz w:val="22"/>
          <w:szCs w:val="22"/>
        </w:rPr>
        <w:t>BOPTarragona</w:t>
      </w:r>
      <w:proofErr w:type="spellEnd"/>
      <w:r>
        <w:rPr>
          <w:rFonts w:ascii="Open Sans" w:hAnsi="Open Sans"/>
          <w:sz w:val="22"/>
          <w:szCs w:val="22"/>
        </w:rPr>
        <w:t xml:space="preserve"> hasta el 30 de setiembre, ambos incluidos. Los interesados podrán presentarlas de forma presencial (en el Registre General o en la Oficina de Gestión Tributaria), o telemática.</w:t>
      </w:r>
    </w:p>
    <w:p w:rsidR="00841C6B" w:rsidRDefault="00D45749">
      <w:pPr>
        <w:pStyle w:val="Standard"/>
        <w:jc w:val="both"/>
      </w:pPr>
      <w:r>
        <w:rPr>
          <w:rFonts w:ascii="Open Sans" w:hAnsi="Open Sans"/>
          <w:sz w:val="22"/>
          <w:szCs w:val="22"/>
        </w:rPr>
        <w:t>El órgano instructor revisará toda la documentación y recabará la cumplimentac</w:t>
      </w:r>
      <w:r>
        <w:rPr>
          <w:rFonts w:ascii="Open Sans" w:hAnsi="Open Sans"/>
          <w:sz w:val="22"/>
          <w:szCs w:val="22"/>
        </w:rPr>
        <w:t>ión, subsanación y/o corrección que corresponda dando un plazo de 10 días hábiles.</w:t>
      </w:r>
    </w:p>
    <w:p w:rsidR="00841C6B" w:rsidRDefault="00841C6B">
      <w:pPr>
        <w:pStyle w:val="Standard"/>
        <w:jc w:val="both"/>
        <w:rPr>
          <w:rFonts w:ascii="Open Sans" w:hAnsi="Open Sans"/>
          <w:sz w:val="22"/>
          <w:szCs w:val="22"/>
        </w:rPr>
      </w:pPr>
    </w:p>
    <w:p w:rsidR="00841C6B" w:rsidRDefault="00D45749">
      <w:pPr>
        <w:pStyle w:val="Standard"/>
        <w:jc w:val="both"/>
        <w:rPr>
          <w:b/>
          <w:bCs/>
          <w:u w:val="single"/>
        </w:rPr>
      </w:pPr>
      <w:r>
        <w:rPr>
          <w:rFonts w:ascii="Open Sans" w:hAnsi="Open Sans"/>
          <w:b/>
          <w:bCs/>
          <w:sz w:val="22"/>
          <w:szCs w:val="22"/>
          <w:u w:val="single"/>
        </w:rPr>
        <w:t>8. Órgano competente para la instrucción y resolución del procedimiento</w:t>
      </w:r>
    </w:p>
    <w:p w:rsidR="00841C6B" w:rsidRDefault="00D45749">
      <w:pPr>
        <w:pStyle w:val="Standard"/>
        <w:jc w:val="both"/>
      </w:pPr>
      <w:r>
        <w:rPr>
          <w:rFonts w:ascii="Open Sans" w:hAnsi="Open Sans"/>
          <w:sz w:val="22"/>
          <w:szCs w:val="22"/>
        </w:rPr>
        <w:t xml:space="preserve">El departamento competente para la ordenación e instrucción del procedimiento será la Oficina de </w:t>
      </w:r>
      <w:r>
        <w:rPr>
          <w:rFonts w:ascii="Open Sans" w:hAnsi="Open Sans"/>
          <w:sz w:val="22"/>
          <w:szCs w:val="22"/>
        </w:rPr>
        <w:t xml:space="preserve">Gestión Tributaria del Ayuntamiento de </w:t>
      </w:r>
      <w:proofErr w:type="spellStart"/>
      <w:r>
        <w:rPr>
          <w:rFonts w:ascii="Open Sans" w:hAnsi="Open Sans"/>
          <w:sz w:val="22"/>
          <w:szCs w:val="22"/>
        </w:rPr>
        <w:t>Amposta</w:t>
      </w:r>
      <w:proofErr w:type="spellEnd"/>
      <w:r>
        <w:rPr>
          <w:rFonts w:ascii="Open Sans" w:hAnsi="Open Sans"/>
          <w:sz w:val="22"/>
          <w:szCs w:val="22"/>
        </w:rPr>
        <w:t>. Estas fases se desarrollarán atendiendo a lo establecido en la LGS y resto de normativa de aplicación.</w:t>
      </w:r>
    </w:p>
    <w:p w:rsidR="00841C6B" w:rsidRDefault="00D45749">
      <w:pPr>
        <w:pStyle w:val="Standard"/>
        <w:jc w:val="both"/>
      </w:pPr>
      <w:r>
        <w:rPr>
          <w:rFonts w:ascii="Open Sans" w:hAnsi="Open Sans"/>
          <w:sz w:val="22"/>
          <w:szCs w:val="22"/>
        </w:rPr>
        <w:t>Instruido el procedimiento, es competente para su resolución la Junta de Gobierno Local, por delegación d</w:t>
      </w:r>
      <w:r>
        <w:rPr>
          <w:rFonts w:ascii="Open Sans" w:hAnsi="Open Sans"/>
          <w:sz w:val="22"/>
          <w:szCs w:val="22"/>
        </w:rPr>
        <w:t>el Alcalde.</w:t>
      </w:r>
    </w:p>
    <w:p w:rsidR="00841C6B" w:rsidRDefault="00841C6B">
      <w:pPr>
        <w:pStyle w:val="Standard"/>
        <w:jc w:val="both"/>
        <w:rPr>
          <w:rFonts w:ascii="Open Sans" w:hAnsi="Open Sans"/>
          <w:b/>
          <w:bCs/>
          <w:sz w:val="22"/>
          <w:szCs w:val="22"/>
          <w:u w:val="single"/>
        </w:rPr>
      </w:pPr>
    </w:p>
    <w:p w:rsidR="00841C6B" w:rsidRDefault="00D45749">
      <w:pPr>
        <w:pStyle w:val="Standard"/>
        <w:jc w:val="both"/>
      </w:pPr>
      <w:r>
        <w:rPr>
          <w:rFonts w:ascii="Open Sans" w:hAnsi="Open Sans"/>
          <w:b/>
          <w:bCs/>
          <w:sz w:val="22"/>
          <w:szCs w:val="22"/>
          <w:u w:val="single"/>
        </w:rPr>
        <w:t>9. Forma y plazo de resolución.</w:t>
      </w:r>
    </w:p>
    <w:p w:rsidR="00841C6B" w:rsidRDefault="00D45749">
      <w:pPr>
        <w:pStyle w:val="Standard"/>
        <w:jc w:val="both"/>
      </w:pPr>
      <w:r>
        <w:rPr>
          <w:rFonts w:ascii="Open Sans" w:hAnsi="Open Sans"/>
          <w:sz w:val="22"/>
          <w:szCs w:val="22"/>
        </w:rPr>
        <w:t>El acuerdo de concesión definitivo será tomado por la JGL a la vista de la propuesta de resolución formulada por el órgano instructor.</w:t>
      </w:r>
    </w:p>
    <w:p w:rsidR="00841C6B" w:rsidRDefault="00D45749">
      <w:pPr>
        <w:pStyle w:val="Standard"/>
        <w:jc w:val="both"/>
      </w:pPr>
      <w:r>
        <w:rPr>
          <w:rFonts w:ascii="Open Sans" w:hAnsi="Open Sans"/>
          <w:sz w:val="22"/>
          <w:szCs w:val="22"/>
        </w:rPr>
        <w:t>La resolución provisional se notificará colectivamente atendiendo a lo dispu</w:t>
      </w:r>
      <w:r>
        <w:rPr>
          <w:rFonts w:ascii="Open Sans" w:hAnsi="Open Sans"/>
          <w:sz w:val="22"/>
          <w:szCs w:val="22"/>
        </w:rPr>
        <w:t>esto en el art. 26 de la Ley General de Subvenciones y el art. 45 de la Ley 39/2015, de 1 de octubre, del Procedimiento Administrativo Común de las Administraciones Públicas (LPACAP). El medio y lugar donde se realizarán estas publicaciones será en el tabl</w:t>
      </w:r>
      <w:r>
        <w:rPr>
          <w:rFonts w:ascii="Open Sans" w:hAnsi="Open Sans"/>
          <w:sz w:val="22"/>
          <w:szCs w:val="22"/>
        </w:rPr>
        <w:t xml:space="preserve">ón de anuncios electrónico del Ayuntamiento de </w:t>
      </w:r>
      <w:proofErr w:type="spellStart"/>
      <w:r>
        <w:rPr>
          <w:rFonts w:ascii="Open Sans" w:hAnsi="Open Sans"/>
          <w:sz w:val="22"/>
          <w:szCs w:val="22"/>
        </w:rPr>
        <w:t>Amposta</w:t>
      </w:r>
      <w:proofErr w:type="spellEnd"/>
      <w:r>
        <w:rPr>
          <w:rFonts w:ascii="Open Sans" w:hAnsi="Open Sans"/>
          <w:sz w:val="22"/>
          <w:szCs w:val="22"/>
        </w:rPr>
        <w:t xml:space="preserve">, que se puede consultar en la siguiente dirección web: </w:t>
      </w:r>
      <w:hyperlink r:id="rId5">
        <w:r>
          <w:rPr>
            <w:rStyle w:val="Hipervnculo1"/>
            <w:rFonts w:ascii="Open Sans" w:hAnsi="Open Sans"/>
            <w:sz w:val="22"/>
            <w:szCs w:val="22"/>
          </w:rPr>
          <w:t>www.amposta.cat</w:t>
        </w:r>
      </w:hyperlink>
      <w:r>
        <w:rPr>
          <w:rFonts w:ascii="Open Sans" w:hAnsi="Open Sans"/>
          <w:sz w:val="22"/>
          <w:szCs w:val="22"/>
        </w:rPr>
        <w:t>.</w:t>
      </w:r>
    </w:p>
    <w:p w:rsidR="00841C6B" w:rsidRDefault="00D45749">
      <w:pPr>
        <w:pStyle w:val="Standard"/>
        <w:jc w:val="both"/>
      </w:pPr>
      <w:r>
        <w:rPr>
          <w:rFonts w:ascii="Open Sans" w:hAnsi="Open Sans"/>
          <w:sz w:val="22"/>
          <w:szCs w:val="22"/>
        </w:rPr>
        <w:t>Los interesados tendrán un plazo de diez (10) días hábiles desde la publicación de la pr</w:t>
      </w:r>
      <w:r>
        <w:rPr>
          <w:rFonts w:ascii="Open Sans" w:hAnsi="Open Sans"/>
          <w:sz w:val="22"/>
          <w:szCs w:val="22"/>
        </w:rPr>
        <w:t>opuesta de resolución provisional para presentar alegaciones, transcurrido este plazo sin que se hayan presentado alegaciones, el acuerdo provisional se aprobará definitivamente por la JGL. No obstante, en caso de que se presenten alegaciones éstas tendrán</w:t>
      </w:r>
      <w:r>
        <w:rPr>
          <w:rFonts w:ascii="Open Sans" w:hAnsi="Open Sans"/>
          <w:sz w:val="22"/>
          <w:szCs w:val="22"/>
        </w:rPr>
        <w:t xml:space="preserve"> que resolverse por el mismo órgano previo informe del órgano instructor sobre las mismas.</w:t>
      </w:r>
    </w:p>
    <w:p w:rsidR="00841C6B" w:rsidRDefault="00D45749">
      <w:pPr>
        <w:pStyle w:val="Standard"/>
        <w:jc w:val="both"/>
      </w:pPr>
      <w:r>
        <w:rPr>
          <w:rFonts w:ascii="Open Sans" w:hAnsi="Open Sans"/>
          <w:sz w:val="22"/>
          <w:szCs w:val="22"/>
        </w:rPr>
        <w:t xml:space="preserve">El plazo para resolver y notificar el otorgamiento de las subvenciones será de, como máximo, tres (3) meses a contar desde la fecha límite del plazo de presentación </w:t>
      </w:r>
      <w:r>
        <w:rPr>
          <w:rFonts w:ascii="Open Sans" w:hAnsi="Open Sans"/>
          <w:sz w:val="22"/>
          <w:szCs w:val="22"/>
        </w:rPr>
        <w:t>de las solicitudes, mediante resolución de la Junta de Gobierno Local en propuesta del órgano de instrucción.</w:t>
      </w:r>
    </w:p>
    <w:p w:rsidR="00841C6B" w:rsidRDefault="00841C6B">
      <w:pPr>
        <w:pStyle w:val="Standard"/>
        <w:jc w:val="both"/>
        <w:rPr>
          <w:rFonts w:ascii="Open Sans" w:hAnsi="Open Sans"/>
          <w:b/>
          <w:bCs/>
          <w:sz w:val="22"/>
          <w:szCs w:val="22"/>
          <w:u w:val="single"/>
        </w:rPr>
      </w:pPr>
    </w:p>
    <w:p w:rsidR="00841C6B" w:rsidRDefault="00D45749">
      <w:pPr>
        <w:pStyle w:val="Standard"/>
        <w:jc w:val="both"/>
      </w:pPr>
      <w:r>
        <w:rPr>
          <w:rFonts w:ascii="Open Sans" w:hAnsi="Open Sans"/>
          <w:b/>
          <w:bCs/>
          <w:sz w:val="22"/>
          <w:szCs w:val="22"/>
          <w:u w:val="single"/>
        </w:rPr>
        <w:t>10. Pago</w:t>
      </w:r>
    </w:p>
    <w:p w:rsidR="00841C6B" w:rsidRDefault="00D45749">
      <w:pPr>
        <w:pStyle w:val="Standard"/>
        <w:jc w:val="both"/>
      </w:pPr>
      <w:r>
        <w:rPr>
          <w:rFonts w:ascii="Open Sans" w:hAnsi="Open Sans"/>
          <w:sz w:val="22"/>
          <w:szCs w:val="22"/>
        </w:rPr>
        <w:t>Resuelto el expediente administrativo mediante acuerdo definitivo de la JGL se procederá al pago de la subvención mediante transferencia</w:t>
      </w:r>
      <w:r>
        <w:rPr>
          <w:rFonts w:ascii="Open Sans" w:hAnsi="Open Sans"/>
          <w:sz w:val="22"/>
          <w:szCs w:val="22"/>
        </w:rPr>
        <w:t xml:space="preserve"> a la cuenta indicada por los beneficiarios.</w:t>
      </w:r>
    </w:p>
    <w:p w:rsidR="00841C6B" w:rsidRDefault="00841C6B">
      <w:pPr>
        <w:pStyle w:val="Standard"/>
        <w:jc w:val="both"/>
        <w:rPr>
          <w:rFonts w:ascii="Open Sans" w:hAnsi="Open Sans"/>
          <w:sz w:val="22"/>
          <w:szCs w:val="22"/>
        </w:rPr>
      </w:pPr>
    </w:p>
    <w:p w:rsidR="00841C6B" w:rsidRDefault="00D45749">
      <w:pPr>
        <w:pStyle w:val="Standard"/>
        <w:jc w:val="both"/>
        <w:rPr>
          <w:b/>
          <w:bCs/>
          <w:u w:val="single"/>
        </w:rPr>
      </w:pPr>
      <w:r>
        <w:rPr>
          <w:rFonts w:ascii="Open Sans" w:hAnsi="Open Sans"/>
          <w:b/>
          <w:bCs/>
          <w:sz w:val="22"/>
          <w:szCs w:val="22"/>
          <w:u w:val="single"/>
        </w:rPr>
        <w:t>11. Recursos contra la convocatoria</w:t>
      </w:r>
    </w:p>
    <w:p w:rsidR="00841C6B" w:rsidRDefault="00D45749">
      <w:pPr>
        <w:pStyle w:val="Standard"/>
        <w:jc w:val="both"/>
      </w:pPr>
      <w:r>
        <w:rPr>
          <w:rFonts w:ascii="Open Sans" w:hAnsi="Open Sans"/>
          <w:sz w:val="22"/>
          <w:szCs w:val="22"/>
        </w:rPr>
        <w:t>El acuerdo que aprueba la presente convocatoria pone fin a la vía administrativa y podrá ser impugnante por los interesados, interponiendo potestativamente, en base a los art</w:t>
      </w:r>
      <w:r>
        <w:rPr>
          <w:rFonts w:ascii="Open Sans" w:hAnsi="Open Sans"/>
          <w:sz w:val="22"/>
          <w:szCs w:val="22"/>
        </w:rPr>
        <w:t>ículos 123 y 124 de la Ley 39/2015, de 1 de octubre, del Procedimiento Administrativo Común de las Administraciones Públicas, recurso de reposición en el plazo de un mes a contar desde el día siguiente al de la publicación del extracto de estas Bases en el</w:t>
      </w:r>
      <w:r>
        <w:rPr>
          <w:rFonts w:ascii="Open Sans" w:hAnsi="Open Sans"/>
          <w:sz w:val="22"/>
          <w:szCs w:val="22"/>
        </w:rPr>
        <w:t xml:space="preserve"> Boletín Oficial de la Provincia de Tarragona, ante el órgano que ha dictado el acto, o bien interponer, contra la desestimación por silencio del anterior recurso, o bien, alternativamente, contra el indicado acto administrativo, recurso contencioso admini</w:t>
      </w:r>
      <w:r>
        <w:rPr>
          <w:rFonts w:ascii="Open Sans" w:hAnsi="Open Sans"/>
          <w:sz w:val="22"/>
          <w:szCs w:val="22"/>
        </w:rPr>
        <w:t xml:space="preserve">strativo ante los Juzgados de lo Contencioso Administrativo de Tarragona en el plazo de dos meses contados de la misma forma, de acuerdo con lo previsto en el artículo 46 de la Ley 29/1998, de 13 de julio, reguladora de la </w:t>
      </w:r>
      <w:r>
        <w:rPr>
          <w:rFonts w:ascii="Open Sans" w:hAnsi="Open Sans"/>
          <w:sz w:val="22"/>
          <w:szCs w:val="22"/>
        </w:rPr>
        <w:lastRenderedPageBreak/>
        <w:t>Jurisdicción Contencioso Administ</w:t>
      </w:r>
      <w:r>
        <w:rPr>
          <w:rFonts w:ascii="Open Sans" w:hAnsi="Open Sans"/>
          <w:sz w:val="22"/>
          <w:szCs w:val="22"/>
        </w:rPr>
        <w:t>rativa, advirtiéndole que la interposición de estos recursos no suspenden la ejecución de la acto notificado o publicado. Asimismo, podrá interponer cualquier otro recurso que estime procedente para la defensa de sus derechos e intereses.</w:t>
      </w:r>
    </w:p>
    <w:p w:rsidR="00841C6B" w:rsidRDefault="00841C6B">
      <w:pPr>
        <w:pStyle w:val="Standard"/>
        <w:jc w:val="both"/>
        <w:rPr>
          <w:rFonts w:ascii="Open Sans" w:hAnsi="Open Sans"/>
          <w:sz w:val="22"/>
          <w:szCs w:val="22"/>
        </w:rPr>
      </w:pPr>
    </w:p>
    <w:p w:rsidR="00841C6B" w:rsidRDefault="00D45749">
      <w:pPr>
        <w:pStyle w:val="Standard"/>
        <w:jc w:val="both"/>
        <w:rPr>
          <w:b/>
          <w:bCs/>
          <w:u w:val="single"/>
        </w:rPr>
      </w:pPr>
      <w:r>
        <w:rPr>
          <w:rFonts w:ascii="Open Sans" w:hAnsi="Open Sans"/>
          <w:b/>
          <w:bCs/>
          <w:sz w:val="22"/>
          <w:szCs w:val="22"/>
          <w:u w:val="single"/>
        </w:rPr>
        <w:t>12. Régimen jurí</w:t>
      </w:r>
      <w:r>
        <w:rPr>
          <w:rFonts w:ascii="Open Sans" w:hAnsi="Open Sans"/>
          <w:b/>
          <w:bCs/>
          <w:sz w:val="22"/>
          <w:szCs w:val="22"/>
          <w:u w:val="single"/>
        </w:rPr>
        <w:t>dico aplicable</w:t>
      </w:r>
    </w:p>
    <w:p w:rsidR="00841C6B" w:rsidRDefault="00D45749">
      <w:pPr>
        <w:pStyle w:val="Standard"/>
        <w:jc w:val="both"/>
      </w:pPr>
      <w:r>
        <w:rPr>
          <w:rFonts w:ascii="Open Sans" w:hAnsi="Open Sans"/>
          <w:sz w:val="22"/>
          <w:szCs w:val="22"/>
        </w:rPr>
        <w:t>En todo lo no regulado en la presente convocatoria se aplicará lo establecido en las bases reguladoras y en lo no previsto se estará a lo establecido con carácter general en la Ley 38/2003 General de subvenciones, de 17 de noviembre, en el R</w:t>
      </w:r>
      <w:r>
        <w:rPr>
          <w:rFonts w:ascii="Open Sans" w:hAnsi="Open Sans"/>
          <w:sz w:val="22"/>
          <w:szCs w:val="22"/>
        </w:rPr>
        <w:t>D 887/2006, de 21 de julio, por el que se aprueba el Reglamento de la Ley General de Subvenciones, las Bases de ejecución del presupuesto municipal de cada ejercicio, Ley 39/2015, del Procedimiento Administrativo Común de las Administraciones Públicas, art</w:t>
      </w:r>
      <w:r>
        <w:rPr>
          <w:rFonts w:ascii="Open Sans" w:hAnsi="Open Sans"/>
          <w:sz w:val="22"/>
          <w:szCs w:val="22"/>
        </w:rPr>
        <w:t>ículos 118 y siguientes del Reglamento de Obras, Actividades y Servicios de los entes locales de Cataluña, aprobado por Decreto 179/1995, de 13 de junio, y otra normativa concordante.</w:t>
      </w:r>
    </w:p>
    <w:p w:rsidR="00841C6B" w:rsidRDefault="00841C6B">
      <w:pPr>
        <w:pStyle w:val="Standard"/>
        <w:ind w:left="706"/>
        <w:jc w:val="both"/>
        <w:rPr>
          <w:rFonts w:ascii="Open Sans" w:hAnsi="Open Sans"/>
          <w:sz w:val="22"/>
          <w:szCs w:val="22"/>
        </w:rPr>
      </w:pPr>
    </w:p>
    <w:p w:rsidR="00841C6B" w:rsidRDefault="00841C6B">
      <w:pPr>
        <w:pStyle w:val="Standard"/>
        <w:jc w:val="both"/>
        <w:rPr>
          <w:rFonts w:ascii="Open Sans" w:hAnsi="Open Sans"/>
          <w:sz w:val="22"/>
          <w:szCs w:val="22"/>
        </w:rPr>
      </w:pPr>
    </w:p>
    <w:sectPr w:rsidR="00841C6B" w:rsidSect="00841C6B">
      <w:pgSz w:w="11906" w:h="16838"/>
      <w:pgMar w:top="1134" w:right="1134" w:bottom="1134" w:left="1134" w:header="0" w:footer="0" w:gutter="0"/>
      <w:cols w:space="708"/>
      <w:formProt w:val="0"/>
      <w:docGrid w:linePitch="10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ndale Sans UI">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Open Sans">
    <w:panose1 w:val="020B0606030504020204"/>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6"/>
  <w:autoHyphenation/>
  <w:hyphenationZone w:val="425"/>
  <w:characterSpacingControl w:val="doNotCompress"/>
  <w:compat/>
  <w:rsids>
    <w:rsidRoot w:val="00841C6B"/>
    <w:rsid w:val="00841C6B"/>
    <w:rsid w:val="00D45749"/>
  </w:rsids>
  <m:mathPr>
    <m:mathFont m:val="Cambria Math"/>
    <m:brkBin m:val="before"/>
    <m:brkBinSub m:val="--"/>
    <m:smallFrac m:val="off"/>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Andale Sans UI" w:hAnsi="Times New Roman" w:cs="Tahoma"/>
        <w:kern w:val="2"/>
        <w:szCs w:val="24"/>
        <w:lang w:val="es-ES" w:eastAsia="ca-E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43F1"/>
    <w:pPr>
      <w:textAlignment w:val="baseline"/>
    </w:pPr>
    <w:rPr>
      <w:color w:val="00000A"/>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Smbolsdenumeraci">
    <w:name w:val="Símbols de numeració"/>
    <w:qFormat/>
    <w:rsid w:val="006E6800"/>
    <w:rPr>
      <w:rFonts w:ascii="Open Sans" w:hAnsi="Open Sans"/>
      <w:b/>
      <w:bCs/>
      <w:sz w:val="22"/>
      <w:szCs w:val="22"/>
    </w:rPr>
  </w:style>
  <w:style w:type="character" w:customStyle="1" w:styleId="Hipervnculo1">
    <w:name w:val="Hipervínculo1"/>
    <w:rsid w:val="00306236"/>
    <w:rPr>
      <w:color w:val="000080"/>
      <w:u w:val="single"/>
    </w:rPr>
  </w:style>
  <w:style w:type="paragraph" w:customStyle="1" w:styleId="Encapalament">
    <w:name w:val="Encapçalament"/>
    <w:basedOn w:val="Normal"/>
    <w:next w:val="Textoindependiente"/>
    <w:qFormat/>
    <w:rsid w:val="006E6800"/>
    <w:pPr>
      <w:keepNext/>
      <w:widowControl w:val="0"/>
      <w:spacing w:before="240" w:after="120"/>
    </w:pPr>
    <w:rPr>
      <w:rFonts w:ascii="Arial" w:hAnsi="Arial"/>
      <w:sz w:val="28"/>
      <w:szCs w:val="28"/>
    </w:rPr>
  </w:style>
  <w:style w:type="paragraph" w:styleId="Textoindependiente">
    <w:name w:val="Body Text"/>
    <w:basedOn w:val="Normal"/>
    <w:rsid w:val="00306236"/>
    <w:pPr>
      <w:spacing w:after="140" w:line="288" w:lineRule="auto"/>
    </w:pPr>
  </w:style>
  <w:style w:type="paragraph" w:styleId="Lista">
    <w:name w:val="List"/>
    <w:basedOn w:val="Normal"/>
    <w:rsid w:val="006E6800"/>
    <w:pPr>
      <w:widowControl w:val="0"/>
    </w:pPr>
  </w:style>
  <w:style w:type="paragraph" w:customStyle="1" w:styleId="Caption">
    <w:name w:val="Caption"/>
    <w:basedOn w:val="Normal"/>
    <w:qFormat/>
    <w:rsid w:val="006E6800"/>
    <w:pPr>
      <w:widowControl w:val="0"/>
      <w:suppressLineNumbers/>
      <w:spacing w:before="120" w:after="120"/>
    </w:pPr>
    <w:rPr>
      <w:i/>
      <w:iCs/>
    </w:rPr>
  </w:style>
  <w:style w:type="paragraph" w:customStyle="1" w:styleId="ndex">
    <w:name w:val="Índex"/>
    <w:basedOn w:val="Normal"/>
    <w:qFormat/>
    <w:rsid w:val="006E6800"/>
    <w:pPr>
      <w:widowControl w:val="0"/>
      <w:suppressLineNumbers/>
    </w:pPr>
  </w:style>
  <w:style w:type="paragraph" w:customStyle="1" w:styleId="Standard">
    <w:name w:val="Standard"/>
    <w:qFormat/>
    <w:rsid w:val="006E6800"/>
    <w:rPr>
      <w:color w:val="00000A"/>
      <w:sz w:val="24"/>
    </w:rPr>
  </w:style>
  <w:style w:type="paragraph" w:customStyle="1" w:styleId="Textbody">
    <w:name w:val="Text body"/>
    <w:basedOn w:val="Standard"/>
    <w:qFormat/>
    <w:rsid w:val="006E6800"/>
    <w:pPr>
      <w:spacing w:after="120"/>
    </w:pPr>
  </w:style>
  <w:style w:type="paragraph" w:customStyle="1" w:styleId="Contingutdelataula">
    <w:name w:val="Contingut de la taula"/>
    <w:basedOn w:val="Standard"/>
    <w:qFormat/>
    <w:rsid w:val="006E6800"/>
    <w:pPr>
      <w:suppressLineNumbers/>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amposta.cat/" TargetMode="External"/><Relationship Id="rId4"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1849</Words>
  <Characters>10545</Characters>
  <Application>Microsoft Office Word</Application>
  <DocSecurity>0</DocSecurity>
  <Lines>87</Lines>
  <Paragraphs>24</Paragraphs>
  <ScaleCrop>false</ScaleCrop>
  <Company>HP Inc.</Company>
  <LinksUpToDate>false</LinksUpToDate>
  <CharactersWithSpaces>12370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Josep Rallo Masià</dc:creator>
  <cp:lastModifiedBy>mferre</cp:lastModifiedBy>
  <cp:revision>2</cp:revision>
  <cp:lastPrinted>2023-04-11T08:35:00Z</cp:lastPrinted>
  <dcterms:created xsi:type="dcterms:W3CDTF">2025-07-03T10:45:00Z</dcterms:created>
  <dcterms:modified xsi:type="dcterms:W3CDTF">2025-07-03T10:45:00Z</dcterms:modified>
  <dc:language>ca-ES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Info 1">
    <vt:lpwstr/>
  </property>
  <property fmtid="{D5CDD505-2E9C-101B-9397-08002B2CF9AE}" pid="4" name="Info 2">
    <vt:lpwstr/>
  </property>
  <property fmtid="{D5CDD505-2E9C-101B-9397-08002B2CF9AE}" pid="5" name="Info 3">
    <vt:lpwstr/>
  </property>
  <property fmtid="{D5CDD505-2E9C-101B-9397-08002B2CF9AE}" pid="6" name="Info 4">
    <vt:lpwstr/>
  </property>
  <property fmtid="{D5CDD505-2E9C-101B-9397-08002B2CF9AE}" pid="7" name="LinksUpToDate">
    <vt:bool>false</vt:bool>
  </property>
  <property fmtid="{D5CDD505-2E9C-101B-9397-08002B2CF9AE}" pid="8" name="ScaleCrop">
    <vt:bool>false</vt:bool>
  </property>
  <property fmtid="{D5CDD505-2E9C-101B-9397-08002B2CF9AE}" pid="9" name="ShareDoc">
    <vt:bool>false</vt:bool>
  </property>
</Properties>
</file>