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0C2FC" w14:textId="77777777" w:rsidR="00144FF4" w:rsidRDefault="00144FF4" w:rsidP="00234F88">
      <w:pPr>
        <w:pStyle w:val="Standard"/>
        <w:spacing w:line="240" w:lineRule="atLeast"/>
        <w:jc w:val="both"/>
      </w:pPr>
    </w:p>
    <w:p w14:paraId="7F12EC92" w14:textId="01634BF8" w:rsidR="00DC78D1" w:rsidRPr="00234F88"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234F88">
        <w:rPr>
          <w:rFonts w:ascii="Century Gothic" w:eastAsia="Times New Roman" w:hAnsi="Century Gothic" w:cs="Times New Roman"/>
          <w:b/>
          <w:bCs/>
          <w:color w:val="000000"/>
          <w:sz w:val="22"/>
          <w:szCs w:val="22"/>
          <w:lang w:val="es-ES" w:eastAsia="es-ES"/>
        </w:rPr>
        <w:t>CONVENIO ENTRE LA GENERALITAT, A TRAVÉS DE LA VICEPRESIDENCIA</w:t>
      </w:r>
      <w:r w:rsidR="00234F88">
        <w:rPr>
          <w:rFonts w:ascii="Century Gothic" w:eastAsia="Times New Roman" w:hAnsi="Century Gothic" w:cs="Times New Roman"/>
          <w:b/>
          <w:bCs/>
          <w:color w:val="000000"/>
          <w:sz w:val="22"/>
          <w:szCs w:val="22"/>
          <w:lang w:val="es-ES" w:eastAsia="es-ES"/>
        </w:rPr>
        <w:t xml:space="preserve"> PRIMERA</w:t>
      </w:r>
      <w:r w:rsidRPr="00234F88">
        <w:rPr>
          <w:rFonts w:ascii="Century Gothic" w:eastAsia="Times New Roman" w:hAnsi="Century Gothic" w:cs="Times New Roman"/>
          <w:b/>
          <w:bCs/>
          <w:color w:val="000000"/>
          <w:sz w:val="22"/>
          <w:szCs w:val="22"/>
          <w:lang w:val="es-ES" w:eastAsia="es-ES"/>
        </w:rPr>
        <w:t xml:space="preserve"> Y CONSELLERIA DE </w:t>
      </w:r>
      <w:r w:rsidR="00930E7B" w:rsidRPr="00234F88">
        <w:rPr>
          <w:rFonts w:ascii="Century Gothic" w:eastAsia="Times New Roman" w:hAnsi="Century Gothic" w:cs="Times New Roman"/>
          <w:b/>
          <w:bCs/>
          <w:color w:val="000000"/>
          <w:sz w:val="22"/>
          <w:szCs w:val="22"/>
          <w:lang w:val="es-ES" w:eastAsia="es-ES"/>
        </w:rPr>
        <w:t xml:space="preserve">SERVICIOS SOCIALES, IGUALDAD Y </w:t>
      </w:r>
      <w:r w:rsidRPr="00234F88">
        <w:rPr>
          <w:rFonts w:ascii="Century Gothic" w:eastAsia="Times New Roman" w:hAnsi="Century Gothic" w:cs="Times New Roman"/>
          <w:b/>
          <w:bCs/>
          <w:color w:val="000000"/>
          <w:sz w:val="22"/>
          <w:szCs w:val="22"/>
          <w:lang w:val="es-ES" w:eastAsia="es-ES"/>
        </w:rPr>
        <w:t>VIVIENDA, Y LA FEDERACIÓN AUTONÓMICA DE ASOCIACIONES GITANAS DE LA COMUNIDAD VALENCIANA (FAGA) PARA FACILITAR EL DISFRUTE DE UNA VIVIENDA A LA POBLACIÓN GITANA.</w:t>
      </w:r>
    </w:p>
    <w:p w14:paraId="737C0515" w14:textId="58CD3C72" w:rsidR="00DC78D1" w:rsidRPr="00DC78D1" w:rsidRDefault="00DC78D1" w:rsidP="000D2BD2">
      <w:pPr>
        <w:widowControl/>
        <w:autoSpaceDN/>
        <w:spacing w:before="100" w:beforeAutospacing="1" w:line="288" w:lineRule="auto"/>
        <w:jc w:val="right"/>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En Valencia, </w:t>
      </w:r>
      <w:r w:rsidR="000D2BD2">
        <w:rPr>
          <w:rFonts w:ascii="Century Gothic" w:eastAsia="Times New Roman" w:hAnsi="Century Gothic" w:cs="Times New Roman"/>
          <w:color w:val="000000"/>
          <w:sz w:val="22"/>
          <w:szCs w:val="22"/>
          <w:lang w:val="es-ES" w:eastAsia="es-ES"/>
        </w:rPr>
        <w:t>a la fecha de la firma digital</w:t>
      </w:r>
    </w:p>
    <w:p w14:paraId="77DBE751"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p>
    <w:p w14:paraId="4A4615D2" w14:textId="77777777" w:rsidR="00DC78D1" w:rsidRPr="00DC78D1" w:rsidRDefault="00DC78D1" w:rsidP="00234F88">
      <w:pPr>
        <w:widowControl/>
        <w:autoSpaceDN/>
        <w:spacing w:before="100" w:beforeAutospacing="1" w:line="288" w:lineRule="auto"/>
        <w:jc w:val="center"/>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REUNIDOS</w:t>
      </w:r>
    </w:p>
    <w:p w14:paraId="0FB46149" w14:textId="1EB31A86" w:rsidR="00246187"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De una parte, Do</w:t>
      </w:r>
      <w:r w:rsidR="00930E7B">
        <w:rPr>
          <w:rFonts w:ascii="Century Gothic" w:eastAsia="Times New Roman" w:hAnsi="Century Gothic" w:cs="Times New Roman"/>
          <w:color w:val="000000"/>
          <w:sz w:val="22"/>
          <w:szCs w:val="22"/>
          <w:lang w:val="es-ES" w:eastAsia="es-ES"/>
        </w:rPr>
        <w:t xml:space="preserve">ña </w:t>
      </w:r>
      <w:r w:rsidR="0031041C">
        <w:rPr>
          <w:rFonts w:ascii="Century Gothic" w:eastAsia="Times New Roman" w:hAnsi="Century Gothic" w:cs="Times New Roman"/>
          <w:color w:val="000000"/>
          <w:sz w:val="22"/>
          <w:szCs w:val="22"/>
          <w:lang w:val="es-ES" w:eastAsia="es-ES"/>
        </w:rPr>
        <w:t>Susana Camarero Benítez</w:t>
      </w:r>
      <w:r w:rsidRPr="00DC78D1">
        <w:rPr>
          <w:rFonts w:ascii="Century Gothic" w:eastAsia="Times New Roman" w:hAnsi="Century Gothic" w:cs="Times New Roman"/>
          <w:color w:val="000000"/>
          <w:sz w:val="22"/>
          <w:szCs w:val="22"/>
          <w:lang w:val="es-ES" w:eastAsia="es-ES"/>
        </w:rPr>
        <w:t>, Vicepresident</w:t>
      </w:r>
      <w:r w:rsidR="00930E7B">
        <w:rPr>
          <w:rFonts w:ascii="Century Gothic" w:eastAsia="Times New Roman" w:hAnsi="Century Gothic" w:cs="Times New Roman"/>
          <w:color w:val="000000"/>
          <w:sz w:val="22"/>
          <w:szCs w:val="22"/>
          <w:lang w:val="es-ES" w:eastAsia="es-ES"/>
        </w:rPr>
        <w:t>a</w:t>
      </w:r>
      <w:r w:rsidRPr="00DC78D1">
        <w:rPr>
          <w:rFonts w:ascii="Century Gothic" w:eastAsia="Times New Roman" w:hAnsi="Century Gothic" w:cs="Times New Roman"/>
          <w:color w:val="000000"/>
          <w:sz w:val="22"/>
          <w:szCs w:val="22"/>
          <w:lang w:val="es-ES" w:eastAsia="es-ES"/>
        </w:rPr>
        <w:t xml:space="preserve"> y Conseller</w:t>
      </w:r>
      <w:r w:rsidR="00930E7B">
        <w:rPr>
          <w:rFonts w:ascii="Century Gothic" w:eastAsia="Times New Roman" w:hAnsi="Century Gothic" w:cs="Times New Roman"/>
          <w:color w:val="000000"/>
          <w:sz w:val="22"/>
          <w:szCs w:val="22"/>
          <w:lang w:val="es-ES" w:eastAsia="es-ES"/>
        </w:rPr>
        <w:t>a</w:t>
      </w:r>
      <w:r w:rsidRPr="00DC78D1">
        <w:rPr>
          <w:rFonts w:ascii="Century Gothic" w:eastAsia="Times New Roman" w:hAnsi="Century Gothic" w:cs="Times New Roman"/>
          <w:color w:val="000000"/>
          <w:sz w:val="22"/>
          <w:szCs w:val="22"/>
          <w:lang w:val="es-ES" w:eastAsia="es-ES"/>
        </w:rPr>
        <w:t xml:space="preserve"> de </w:t>
      </w:r>
      <w:r w:rsidR="00AC052C">
        <w:rPr>
          <w:rFonts w:ascii="Century Gothic" w:eastAsia="Times New Roman" w:hAnsi="Century Gothic" w:cs="Times New Roman"/>
          <w:color w:val="000000"/>
          <w:sz w:val="22"/>
          <w:szCs w:val="22"/>
          <w:lang w:val="es-ES" w:eastAsia="es-ES"/>
        </w:rPr>
        <w:t xml:space="preserve">Servicios Sociales, Igualdad y </w:t>
      </w:r>
      <w:r w:rsidRPr="00DC78D1">
        <w:rPr>
          <w:rFonts w:ascii="Century Gothic" w:eastAsia="Times New Roman" w:hAnsi="Century Gothic" w:cs="Times New Roman"/>
          <w:color w:val="000000"/>
          <w:sz w:val="22"/>
          <w:szCs w:val="22"/>
          <w:lang w:val="es-ES" w:eastAsia="es-ES"/>
        </w:rPr>
        <w:t xml:space="preserve">Vivienda, en virtud </w:t>
      </w:r>
      <w:r w:rsidRPr="00141FAA">
        <w:rPr>
          <w:rFonts w:ascii="Century Gothic" w:eastAsia="Times New Roman" w:hAnsi="Century Gothic" w:cs="Times New Roman"/>
          <w:sz w:val="22"/>
          <w:szCs w:val="22"/>
          <w:lang w:val="es-ES" w:eastAsia="es-ES"/>
        </w:rPr>
        <w:t xml:space="preserve">del Decreto </w:t>
      </w:r>
      <w:r w:rsidR="000A673B" w:rsidRPr="00141FAA">
        <w:rPr>
          <w:rFonts w:ascii="Century Gothic" w:eastAsia="Times New Roman" w:hAnsi="Century Gothic" w:cs="Times New Roman"/>
          <w:sz w:val="22"/>
          <w:szCs w:val="22"/>
          <w:lang w:val="es-ES" w:eastAsia="es-ES"/>
        </w:rPr>
        <w:t>1</w:t>
      </w:r>
      <w:r w:rsidR="00141FAA" w:rsidRPr="00141FAA">
        <w:rPr>
          <w:rFonts w:ascii="Century Gothic" w:eastAsia="Times New Roman" w:hAnsi="Century Gothic" w:cs="Times New Roman"/>
          <w:sz w:val="22"/>
          <w:szCs w:val="22"/>
          <w:lang w:val="es-ES" w:eastAsia="es-ES"/>
        </w:rPr>
        <w:t>8</w:t>
      </w:r>
      <w:r w:rsidRPr="00141FAA">
        <w:rPr>
          <w:rFonts w:ascii="Century Gothic" w:eastAsia="Times New Roman" w:hAnsi="Century Gothic" w:cs="Times New Roman"/>
          <w:sz w:val="22"/>
          <w:szCs w:val="22"/>
          <w:lang w:val="es-ES" w:eastAsia="es-ES"/>
        </w:rPr>
        <w:t>/202</w:t>
      </w:r>
      <w:r w:rsidR="00141FAA" w:rsidRPr="00141FAA">
        <w:rPr>
          <w:rFonts w:ascii="Century Gothic" w:eastAsia="Times New Roman" w:hAnsi="Century Gothic" w:cs="Times New Roman"/>
          <w:sz w:val="22"/>
          <w:szCs w:val="22"/>
          <w:lang w:val="es-ES" w:eastAsia="es-ES"/>
        </w:rPr>
        <w:t>4</w:t>
      </w:r>
      <w:r w:rsidRPr="00141FAA">
        <w:rPr>
          <w:rFonts w:ascii="Century Gothic" w:eastAsia="Times New Roman" w:hAnsi="Century Gothic" w:cs="Times New Roman"/>
          <w:sz w:val="22"/>
          <w:szCs w:val="22"/>
          <w:lang w:val="es-ES" w:eastAsia="es-ES"/>
        </w:rPr>
        <w:t xml:space="preserve">, de </w:t>
      </w:r>
      <w:r w:rsidR="000A673B" w:rsidRPr="00141FAA">
        <w:rPr>
          <w:rFonts w:ascii="Century Gothic" w:eastAsia="Times New Roman" w:hAnsi="Century Gothic" w:cs="Times New Roman"/>
          <w:sz w:val="22"/>
          <w:szCs w:val="22"/>
          <w:lang w:val="es-ES" w:eastAsia="es-ES"/>
        </w:rPr>
        <w:t>1</w:t>
      </w:r>
      <w:r w:rsidR="00141FAA" w:rsidRPr="00141FAA">
        <w:rPr>
          <w:rFonts w:ascii="Century Gothic" w:eastAsia="Times New Roman" w:hAnsi="Century Gothic" w:cs="Times New Roman"/>
          <w:sz w:val="22"/>
          <w:szCs w:val="22"/>
          <w:lang w:val="es-ES" w:eastAsia="es-ES"/>
        </w:rPr>
        <w:t>2</w:t>
      </w:r>
      <w:r w:rsidRPr="00141FAA">
        <w:rPr>
          <w:rFonts w:ascii="Century Gothic" w:eastAsia="Times New Roman" w:hAnsi="Century Gothic" w:cs="Times New Roman"/>
          <w:sz w:val="22"/>
          <w:szCs w:val="22"/>
          <w:lang w:val="es-ES" w:eastAsia="es-ES"/>
        </w:rPr>
        <w:t xml:space="preserve"> de </w:t>
      </w:r>
      <w:r w:rsidR="000A673B" w:rsidRPr="00141FAA">
        <w:rPr>
          <w:rFonts w:ascii="Century Gothic" w:eastAsia="Times New Roman" w:hAnsi="Century Gothic" w:cs="Times New Roman"/>
          <w:sz w:val="22"/>
          <w:szCs w:val="22"/>
          <w:lang w:val="es-ES" w:eastAsia="es-ES"/>
        </w:rPr>
        <w:t>julio</w:t>
      </w:r>
      <w:r w:rsidRPr="00141FAA">
        <w:rPr>
          <w:rFonts w:ascii="Century Gothic" w:eastAsia="Times New Roman" w:hAnsi="Century Gothic" w:cs="Times New Roman"/>
          <w:sz w:val="22"/>
          <w:szCs w:val="22"/>
          <w:lang w:val="es-ES" w:eastAsia="es-ES"/>
        </w:rPr>
        <w:t>, del president</w:t>
      </w:r>
      <w:r w:rsidR="00234F88">
        <w:rPr>
          <w:rFonts w:ascii="Century Gothic" w:eastAsia="Times New Roman" w:hAnsi="Century Gothic" w:cs="Times New Roman"/>
          <w:sz w:val="22"/>
          <w:szCs w:val="22"/>
          <w:lang w:val="es-ES" w:eastAsia="es-ES"/>
        </w:rPr>
        <w:t>e</w:t>
      </w:r>
      <w:r w:rsidRPr="00141FAA">
        <w:rPr>
          <w:rFonts w:ascii="Century Gothic" w:eastAsia="Times New Roman" w:hAnsi="Century Gothic" w:cs="Times New Roman"/>
          <w:sz w:val="22"/>
          <w:szCs w:val="22"/>
          <w:lang w:val="es-ES" w:eastAsia="es-ES"/>
        </w:rPr>
        <w:t xml:space="preserve"> de la Generalitat, por el que se </w:t>
      </w:r>
      <w:r w:rsidR="000A673B" w:rsidRPr="00141FAA">
        <w:rPr>
          <w:rFonts w:ascii="Century Gothic" w:eastAsia="Times New Roman" w:hAnsi="Century Gothic" w:cs="Times New Roman"/>
          <w:sz w:val="22"/>
          <w:szCs w:val="22"/>
          <w:lang w:val="es-ES" w:eastAsia="es-ES"/>
        </w:rPr>
        <w:t>nombra a l</w:t>
      </w:r>
      <w:r w:rsidRPr="00141FAA">
        <w:rPr>
          <w:rFonts w:ascii="Century Gothic" w:eastAsia="Times New Roman" w:hAnsi="Century Gothic" w:cs="Times New Roman"/>
          <w:sz w:val="22"/>
          <w:szCs w:val="22"/>
          <w:lang w:val="es-ES" w:eastAsia="es-ES"/>
        </w:rPr>
        <w:t xml:space="preserve">a persona titular de la Vicepresidencia y Conselleria de </w:t>
      </w:r>
      <w:r w:rsidR="000A673B" w:rsidRPr="00141FAA">
        <w:rPr>
          <w:rFonts w:ascii="Century Gothic" w:eastAsia="Times New Roman" w:hAnsi="Century Gothic" w:cs="Times New Roman"/>
          <w:sz w:val="22"/>
          <w:szCs w:val="22"/>
          <w:lang w:val="es-ES" w:eastAsia="es-ES"/>
        </w:rPr>
        <w:t xml:space="preserve">Servicios Sociales, Igualdad y </w:t>
      </w:r>
      <w:r w:rsidRPr="00141FAA">
        <w:rPr>
          <w:rFonts w:ascii="Century Gothic" w:eastAsia="Times New Roman" w:hAnsi="Century Gothic" w:cs="Times New Roman"/>
          <w:sz w:val="22"/>
          <w:szCs w:val="22"/>
          <w:lang w:val="es-ES" w:eastAsia="es-ES"/>
        </w:rPr>
        <w:t xml:space="preserve">Vivienda (DOGV </w:t>
      </w:r>
      <w:r w:rsidR="00141FAA" w:rsidRPr="00141FAA">
        <w:rPr>
          <w:rFonts w:ascii="Century Gothic" w:eastAsia="Times New Roman" w:hAnsi="Century Gothic" w:cs="Times New Roman"/>
          <w:sz w:val="22"/>
          <w:szCs w:val="22"/>
          <w:lang w:val="es-ES" w:eastAsia="es-ES"/>
        </w:rPr>
        <w:t>9891 bis</w:t>
      </w:r>
      <w:r w:rsidRPr="00141FAA">
        <w:rPr>
          <w:rFonts w:ascii="Century Gothic" w:eastAsia="Times New Roman" w:hAnsi="Century Gothic" w:cs="Times New Roman"/>
          <w:sz w:val="22"/>
          <w:szCs w:val="22"/>
          <w:lang w:val="es-ES" w:eastAsia="es-ES"/>
        </w:rPr>
        <w:t xml:space="preserve">, de </w:t>
      </w:r>
      <w:r w:rsidR="000A673B" w:rsidRPr="00141FAA">
        <w:rPr>
          <w:rFonts w:ascii="Century Gothic" w:eastAsia="Times New Roman" w:hAnsi="Century Gothic" w:cs="Times New Roman"/>
          <w:sz w:val="22"/>
          <w:szCs w:val="22"/>
          <w:lang w:val="es-ES" w:eastAsia="es-ES"/>
        </w:rPr>
        <w:t>1</w:t>
      </w:r>
      <w:r w:rsidR="00141FAA" w:rsidRPr="00141FAA">
        <w:rPr>
          <w:rFonts w:ascii="Century Gothic" w:eastAsia="Times New Roman" w:hAnsi="Century Gothic" w:cs="Times New Roman"/>
          <w:sz w:val="22"/>
          <w:szCs w:val="22"/>
          <w:lang w:val="es-ES" w:eastAsia="es-ES"/>
        </w:rPr>
        <w:t>2</w:t>
      </w:r>
      <w:r w:rsidRPr="00141FAA">
        <w:rPr>
          <w:rFonts w:ascii="Century Gothic" w:eastAsia="Times New Roman" w:hAnsi="Century Gothic" w:cs="Times New Roman"/>
          <w:sz w:val="22"/>
          <w:szCs w:val="22"/>
          <w:lang w:val="es-ES" w:eastAsia="es-ES"/>
        </w:rPr>
        <w:t>.0</w:t>
      </w:r>
      <w:r w:rsidR="000A673B" w:rsidRPr="00141FAA">
        <w:rPr>
          <w:rFonts w:ascii="Century Gothic" w:eastAsia="Times New Roman" w:hAnsi="Century Gothic" w:cs="Times New Roman"/>
          <w:sz w:val="22"/>
          <w:szCs w:val="22"/>
          <w:lang w:val="es-ES" w:eastAsia="es-ES"/>
        </w:rPr>
        <w:t>7</w:t>
      </w:r>
      <w:r w:rsidRPr="00141FAA">
        <w:rPr>
          <w:rFonts w:ascii="Century Gothic" w:eastAsia="Times New Roman" w:hAnsi="Century Gothic" w:cs="Times New Roman"/>
          <w:sz w:val="22"/>
          <w:szCs w:val="22"/>
          <w:lang w:val="es-ES" w:eastAsia="es-ES"/>
        </w:rPr>
        <w:t>.202</w:t>
      </w:r>
      <w:r w:rsidR="00141FAA" w:rsidRPr="00141FAA">
        <w:rPr>
          <w:rFonts w:ascii="Century Gothic" w:eastAsia="Times New Roman" w:hAnsi="Century Gothic" w:cs="Times New Roman"/>
          <w:sz w:val="22"/>
          <w:szCs w:val="22"/>
          <w:lang w:val="es-ES" w:eastAsia="es-ES"/>
        </w:rPr>
        <w:t>4</w:t>
      </w:r>
      <w:r w:rsidR="006C273A">
        <w:rPr>
          <w:rFonts w:ascii="Century Gothic" w:eastAsia="Times New Roman" w:hAnsi="Century Gothic" w:cs="Times New Roman"/>
          <w:sz w:val="22"/>
          <w:szCs w:val="22"/>
          <w:lang w:val="es-ES" w:eastAsia="es-ES"/>
        </w:rPr>
        <w:t>)</w:t>
      </w:r>
      <w:r w:rsidRPr="00DC78D1">
        <w:rPr>
          <w:rFonts w:ascii="Century Gothic" w:eastAsia="Times New Roman" w:hAnsi="Century Gothic" w:cs="Times New Roman"/>
          <w:color w:val="000000"/>
          <w:sz w:val="22"/>
          <w:szCs w:val="22"/>
          <w:lang w:val="es-ES" w:eastAsia="es-ES"/>
        </w:rPr>
        <w:t>, en nombre y representación de la Generalitat</w:t>
      </w:r>
      <w:r w:rsidR="00246187">
        <w:rPr>
          <w:rFonts w:ascii="Century Gothic" w:eastAsia="Times New Roman" w:hAnsi="Century Gothic" w:cs="Times New Roman"/>
          <w:color w:val="000000"/>
          <w:sz w:val="22"/>
          <w:szCs w:val="22"/>
          <w:lang w:val="es-ES" w:eastAsia="es-ES"/>
        </w:rPr>
        <w:t xml:space="preserve">. </w:t>
      </w:r>
    </w:p>
    <w:p w14:paraId="2FABDA82" w14:textId="2A424549" w:rsidR="00DC78D1" w:rsidRPr="00157622"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Y de otra </w:t>
      </w:r>
      <w:r w:rsidRPr="00157622">
        <w:rPr>
          <w:rFonts w:ascii="Century Gothic" w:eastAsia="Times New Roman" w:hAnsi="Century Gothic" w:cs="Times New Roman"/>
          <w:sz w:val="22"/>
          <w:szCs w:val="22"/>
          <w:lang w:val="es-ES" w:eastAsia="es-ES"/>
        </w:rPr>
        <w:t>Don</w:t>
      </w:r>
      <w:r w:rsidR="00157622" w:rsidRPr="00157622">
        <w:rPr>
          <w:rFonts w:ascii="Century Gothic" w:eastAsia="Times New Roman" w:hAnsi="Century Gothic" w:cs="Times New Roman"/>
          <w:sz w:val="22"/>
          <w:szCs w:val="22"/>
          <w:lang w:val="es-ES" w:eastAsia="es-ES"/>
        </w:rPr>
        <w:t xml:space="preserve"> Francisco Santiago Camacho</w:t>
      </w:r>
      <w:r w:rsidRPr="00DC78D1">
        <w:rPr>
          <w:rFonts w:ascii="Century Gothic" w:eastAsia="Times New Roman" w:hAnsi="Century Gothic" w:cs="Times New Roman"/>
          <w:color w:val="000000"/>
          <w:sz w:val="22"/>
          <w:szCs w:val="22"/>
          <w:lang w:val="es-ES" w:eastAsia="es-ES"/>
        </w:rPr>
        <w:t xml:space="preserve">, </w:t>
      </w:r>
      <w:r w:rsidRPr="00157622">
        <w:rPr>
          <w:rFonts w:ascii="Century Gothic" w:eastAsia="Times New Roman" w:hAnsi="Century Gothic" w:cs="Times New Roman"/>
          <w:sz w:val="22"/>
          <w:szCs w:val="22"/>
          <w:lang w:val="es-ES" w:eastAsia="es-ES"/>
        </w:rPr>
        <w:t xml:space="preserve">vicepresidente </w:t>
      </w:r>
      <w:r w:rsidRPr="009D45BD">
        <w:rPr>
          <w:rFonts w:ascii="Century Gothic" w:eastAsia="Times New Roman" w:hAnsi="Century Gothic" w:cs="Times New Roman"/>
          <w:sz w:val="22"/>
          <w:szCs w:val="22"/>
          <w:lang w:val="es-ES" w:eastAsia="es-ES"/>
        </w:rPr>
        <w:t xml:space="preserve">de la Federación Autonómica de Asociaciones Gitanas </w:t>
      </w:r>
      <w:r w:rsidRPr="00DC78D1">
        <w:rPr>
          <w:rFonts w:ascii="Century Gothic" w:eastAsia="Times New Roman" w:hAnsi="Century Gothic" w:cs="Times New Roman"/>
          <w:sz w:val="22"/>
          <w:szCs w:val="22"/>
          <w:lang w:val="es-ES" w:eastAsia="es-ES"/>
        </w:rPr>
        <w:t xml:space="preserve">de la Comunitat Valenciana (en adelante FAGA), </w:t>
      </w:r>
      <w:r w:rsidRPr="00DC78D1">
        <w:rPr>
          <w:rFonts w:ascii="Century Gothic" w:eastAsia="Times New Roman" w:hAnsi="Century Gothic" w:cs="Times New Roman"/>
          <w:color w:val="000000"/>
          <w:sz w:val="22"/>
          <w:szCs w:val="22"/>
          <w:lang w:val="es-ES" w:eastAsia="es-ES"/>
        </w:rPr>
        <w:t xml:space="preserve">con CIF G03417144 y sede en calle </w:t>
      </w:r>
      <w:r w:rsidR="003458D0">
        <w:rPr>
          <w:rFonts w:ascii="Century Gothic" w:eastAsia="Times New Roman" w:hAnsi="Century Gothic" w:cs="Times New Roman"/>
          <w:color w:val="000000"/>
          <w:sz w:val="22"/>
          <w:szCs w:val="22"/>
          <w:lang w:val="es-ES" w:eastAsia="es-ES"/>
        </w:rPr>
        <w:t>S</w:t>
      </w:r>
      <w:r w:rsidRPr="00DC78D1">
        <w:rPr>
          <w:rFonts w:ascii="Century Gothic" w:eastAsia="Times New Roman" w:hAnsi="Century Gothic" w:cs="Times New Roman"/>
          <w:color w:val="000000"/>
          <w:sz w:val="22"/>
          <w:szCs w:val="22"/>
          <w:lang w:val="es-ES" w:eastAsia="es-ES"/>
        </w:rPr>
        <w:t>an Dionisio nº</w:t>
      </w:r>
      <w:r w:rsidR="000A673B">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8, pta.</w:t>
      </w:r>
      <w:r w:rsidR="000A673B">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 xml:space="preserve">2 de Valencia, en su representación, y facultado para este acto en virtud de acuerdo de la Junta Directiva de </w:t>
      </w:r>
      <w:r w:rsidRPr="00157622">
        <w:rPr>
          <w:rFonts w:ascii="Century Gothic" w:eastAsia="Times New Roman" w:hAnsi="Century Gothic" w:cs="Times New Roman"/>
          <w:sz w:val="22"/>
          <w:szCs w:val="22"/>
          <w:lang w:val="es-ES" w:eastAsia="es-ES"/>
        </w:rPr>
        <w:t xml:space="preserve">fecha </w:t>
      </w:r>
      <w:r w:rsidR="00157622" w:rsidRPr="00157622">
        <w:rPr>
          <w:rFonts w:ascii="Century Gothic" w:eastAsia="Times New Roman" w:hAnsi="Century Gothic" w:cs="Times New Roman"/>
          <w:sz w:val="22"/>
          <w:szCs w:val="22"/>
          <w:lang w:val="es-ES" w:eastAsia="es-ES"/>
        </w:rPr>
        <w:t>12</w:t>
      </w:r>
      <w:r w:rsidRPr="00157622">
        <w:rPr>
          <w:rFonts w:ascii="Century Gothic" w:eastAsia="Times New Roman" w:hAnsi="Century Gothic" w:cs="Times New Roman"/>
          <w:sz w:val="22"/>
          <w:szCs w:val="22"/>
          <w:lang w:val="es-ES" w:eastAsia="es-ES"/>
        </w:rPr>
        <w:t xml:space="preserve"> de </w:t>
      </w:r>
      <w:r w:rsidR="00157622" w:rsidRPr="00157622">
        <w:rPr>
          <w:rFonts w:ascii="Century Gothic" w:eastAsia="Times New Roman" w:hAnsi="Century Gothic" w:cs="Times New Roman"/>
          <w:sz w:val="22"/>
          <w:szCs w:val="22"/>
          <w:lang w:val="es-ES" w:eastAsia="es-ES"/>
        </w:rPr>
        <w:t>septiembre</w:t>
      </w:r>
      <w:r w:rsidR="00903491" w:rsidRPr="00157622">
        <w:rPr>
          <w:rFonts w:ascii="Century Gothic" w:eastAsia="Times New Roman" w:hAnsi="Century Gothic" w:cs="Times New Roman"/>
          <w:sz w:val="22"/>
          <w:szCs w:val="22"/>
          <w:lang w:val="es-ES" w:eastAsia="es-ES"/>
        </w:rPr>
        <w:t xml:space="preserve"> </w:t>
      </w:r>
      <w:r w:rsidRPr="00157622">
        <w:rPr>
          <w:rFonts w:ascii="Century Gothic" w:eastAsia="Times New Roman" w:hAnsi="Century Gothic" w:cs="Times New Roman"/>
          <w:sz w:val="22"/>
          <w:szCs w:val="22"/>
          <w:lang w:val="es-ES" w:eastAsia="es-ES"/>
        </w:rPr>
        <w:t>de</w:t>
      </w:r>
      <w:r w:rsidR="00903491" w:rsidRPr="00157622">
        <w:rPr>
          <w:rFonts w:ascii="Century Gothic" w:eastAsia="Times New Roman" w:hAnsi="Century Gothic" w:cs="Times New Roman"/>
          <w:sz w:val="22"/>
          <w:szCs w:val="22"/>
          <w:lang w:val="es-ES" w:eastAsia="es-ES"/>
        </w:rPr>
        <w:t xml:space="preserve"> 2024</w:t>
      </w:r>
      <w:r w:rsidRPr="00157622">
        <w:rPr>
          <w:rFonts w:ascii="Century Gothic" w:eastAsia="Times New Roman" w:hAnsi="Century Gothic" w:cs="Times New Roman"/>
          <w:sz w:val="22"/>
          <w:szCs w:val="22"/>
          <w:lang w:val="es-ES" w:eastAsia="es-ES"/>
        </w:rPr>
        <w:t>.</w:t>
      </w:r>
    </w:p>
    <w:p w14:paraId="34F9381C"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Las dos partes en el ejercicio de sus respectivas facultades y competencias se reconocen mutuamente la capacidad legal necesaria para el otorgamiento del presente convenio y con esta finalidad</w:t>
      </w:r>
    </w:p>
    <w:p w14:paraId="0E1E815F" w14:textId="77777777" w:rsidR="00930E7B" w:rsidRDefault="00930E7B"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p>
    <w:p w14:paraId="7EA12508" w14:textId="77777777" w:rsidR="00DC78D1" w:rsidRPr="00DC78D1" w:rsidRDefault="00DC78D1" w:rsidP="00234F88">
      <w:pPr>
        <w:widowControl/>
        <w:autoSpaceDN/>
        <w:spacing w:before="100" w:beforeAutospacing="1" w:line="288" w:lineRule="auto"/>
        <w:jc w:val="center"/>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MANIFIESTAN</w:t>
      </w:r>
    </w:p>
    <w:p w14:paraId="0ABC76AF" w14:textId="59CBA17D"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En los Presupuestos de la Generalitat correspondientes al ejercicio 202</w:t>
      </w:r>
      <w:r w:rsidR="00234F88">
        <w:rPr>
          <w:rFonts w:ascii="Century Gothic" w:eastAsia="Times New Roman" w:hAnsi="Century Gothic" w:cs="Times New Roman"/>
          <w:color w:val="000000"/>
          <w:sz w:val="22"/>
          <w:szCs w:val="22"/>
          <w:lang w:val="es-ES" w:eastAsia="es-ES"/>
        </w:rPr>
        <w:t>5</w:t>
      </w:r>
      <w:r w:rsidRPr="00DC78D1">
        <w:rPr>
          <w:rFonts w:ascii="Century Gothic" w:eastAsia="Times New Roman" w:hAnsi="Century Gothic" w:cs="Times New Roman"/>
          <w:color w:val="000000"/>
          <w:sz w:val="22"/>
          <w:szCs w:val="22"/>
          <w:lang w:val="es-ES" w:eastAsia="es-ES"/>
        </w:rPr>
        <w:t xml:space="preserve"> y dentro del</w:t>
      </w:r>
      <w:r w:rsidR="000A673B">
        <w:rPr>
          <w:rFonts w:ascii="Century Gothic" w:eastAsia="Times New Roman" w:hAnsi="Century Gothic" w:cs="Times New Roman"/>
          <w:color w:val="000000"/>
          <w:sz w:val="22"/>
          <w:szCs w:val="22"/>
          <w:lang w:val="es-ES" w:eastAsia="es-ES"/>
        </w:rPr>
        <w:t xml:space="preserve"> </w:t>
      </w:r>
      <w:r w:rsidR="00551EB0" w:rsidRPr="00B424E3">
        <w:rPr>
          <w:rFonts w:ascii="Century Gothic" w:eastAsia="Times New Roman" w:hAnsi="Century Gothic" w:cs="Times New Roman"/>
          <w:sz w:val="22"/>
          <w:szCs w:val="22"/>
          <w:lang w:val="es-ES" w:eastAsia="es-ES"/>
        </w:rPr>
        <w:t xml:space="preserve">subprograma </w:t>
      </w:r>
      <w:r w:rsidR="000A673B" w:rsidRPr="00B424E3">
        <w:rPr>
          <w:rFonts w:ascii="Century Gothic" w:eastAsia="Times New Roman" w:hAnsi="Century Gothic" w:cs="Times New Roman"/>
          <w:sz w:val="22"/>
          <w:szCs w:val="22"/>
          <w:lang w:val="es-ES" w:eastAsia="es-ES"/>
        </w:rPr>
        <w:t>431</w:t>
      </w:r>
      <w:r w:rsidR="00234F88">
        <w:rPr>
          <w:rFonts w:ascii="Century Gothic" w:eastAsia="Times New Roman" w:hAnsi="Century Gothic" w:cs="Times New Roman"/>
          <w:sz w:val="22"/>
          <w:szCs w:val="22"/>
          <w:lang w:val="es-ES" w:eastAsia="es-ES"/>
        </w:rPr>
        <w:t>I</w:t>
      </w:r>
      <w:r w:rsidR="000A673B" w:rsidRPr="00B424E3">
        <w:rPr>
          <w:rFonts w:ascii="Century Gothic" w:eastAsia="Times New Roman" w:hAnsi="Century Gothic" w:cs="Times New Roman"/>
          <w:sz w:val="22"/>
          <w:szCs w:val="22"/>
          <w:lang w:val="es-ES" w:eastAsia="es-ES"/>
        </w:rPr>
        <w:t xml:space="preserve">00 </w:t>
      </w:r>
      <w:r w:rsidRPr="00DC78D1">
        <w:rPr>
          <w:rFonts w:ascii="Century Gothic" w:eastAsia="Times New Roman" w:hAnsi="Century Gothic" w:cs="Times New Roman"/>
          <w:color w:val="000000"/>
          <w:sz w:val="22"/>
          <w:szCs w:val="22"/>
          <w:lang w:val="es-ES" w:eastAsia="es-ES"/>
        </w:rPr>
        <w:t>“</w:t>
      </w:r>
      <w:r w:rsidR="00234F88">
        <w:rPr>
          <w:rFonts w:ascii="Century Gothic" w:eastAsia="Times New Roman" w:hAnsi="Century Gothic" w:cs="Times New Roman"/>
          <w:color w:val="000000"/>
          <w:sz w:val="22"/>
          <w:szCs w:val="22"/>
          <w:lang w:val="es-ES" w:eastAsia="es-ES"/>
        </w:rPr>
        <w:t>Función Social de la Vivienda</w:t>
      </w:r>
      <w:r w:rsidRPr="00DC78D1">
        <w:rPr>
          <w:rFonts w:ascii="Century Gothic" w:eastAsia="Times New Roman" w:hAnsi="Century Gothic" w:cs="Times New Roman"/>
          <w:color w:val="000000"/>
          <w:sz w:val="22"/>
          <w:szCs w:val="22"/>
          <w:lang w:val="es-ES" w:eastAsia="es-ES"/>
        </w:rPr>
        <w:t xml:space="preserve">”, con cargo al Capítulo IV Transferencias corrientes, existe consignación presupuestaria suficiente para dar cobertura a las actuaciones derivadas del presente Convenio, </w:t>
      </w:r>
      <w:r w:rsidR="00890F06">
        <w:rPr>
          <w:rFonts w:ascii="Century Gothic" w:eastAsia="Times New Roman" w:hAnsi="Century Gothic" w:cs="Times New Roman"/>
          <w:color w:val="000000"/>
          <w:sz w:val="22"/>
          <w:szCs w:val="22"/>
          <w:lang w:val="es-ES" w:eastAsia="es-ES"/>
        </w:rPr>
        <w:t xml:space="preserve">en la línea S1375 </w:t>
      </w:r>
      <w:r w:rsidR="00337858" w:rsidRPr="003C46CB">
        <w:rPr>
          <w:rFonts w:ascii="Century Gothic" w:eastAsia="Times New Roman" w:hAnsi="Century Gothic" w:cs="Times New Roman"/>
          <w:sz w:val="22"/>
          <w:szCs w:val="22"/>
          <w:lang w:val="es-ES" w:eastAsia="es-ES"/>
        </w:rPr>
        <w:t xml:space="preserve">que tiene por objeto principal la promoción de una vivienda digna y adecuada </w:t>
      </w:r>
      <w:r w:rsidR="00727B11" w:rsidRPr="003C46CB">
        <w:rPr>
          <w:rFonts w:ascii="Century Gothic" w:eastAsia="Times New Roman" w:hAnsi="Century Gothic" w:cs="Times New Roman"/>
          <w:sz w:val="22"/>
          <w:szCs w:val="22"/>
          <w:lang w:val="es-ES" w:eastAsia="es-ES"/>
        </w:rPr>
        <w:t>en</w:t>
      </w:r>
      <w:r w:rsidR="00337858" w:rsidRPr="003C46CB">
        <w:rPr>
          <w:rFonts w:ascii="Century Gothic" w:eastAsia="Times New Roman" w:hAnsi="Century Gothic" w:cs="Times New Roman"/>
          <w:sz w:val="22"/>
          <w:szCs w:val="22"/>
          <w:lang w:val="es-ES" w:eastAsia="es-ES"/>
        </w:rPr>
        <w:t xml:space="preserve"> la población gitana</w:t>
      </w:r>
      <w:r w:rsidR="005D3014" w:rsidRPr="003C46CB">
        <w:rPr>
          <w:rFonts w:ascii="Century Gothic" w:eastAsia="Times New Roman" w:hAnsi="Century Gothic" w:cs="Times New Roman"/>
          <w:sz w:val="22"/>
          <w:szCs w:val="22"/>
          <w:lang w:val="es-ES" w:eastAsia="es-ES"/>
        </w:rPr>
        <w:t xml:space="preserve"> que favorezca la igualdad e inclusión de este colectivo</w:t>
      </w:r>
      <w:r w:rsidRPr="003C46CB">
        <w:rPr>
          <w:rFonts w:ascii="Century Gothic" w:eastAsia="Times New Roman" w:hAnsi="Century Gothic" w:cs="Times New Roman"/>
          <w:sz w:val="22"/>
          <w:szCs w:val="22"/>
          <w:lang w:val="es-ES" w:eastAsia="es-ES"/>
        </w:rPr>
        <w:t>, como subvención de concesión directa al amparo del artículo 168</w:t>
      </w:r>
      <w:r w:rsidR="00551EB0" w:rsidRPr="003C46CB">
        <w:rPr>
          <w:rFonts w:ascii="Century Gothic" w:eastAsia="Times New Roman" w:hAnsi="Century Gothic" w:cs="Times New Roman"/>
          <w:sz w:val="22"/>
          <w:szCs w:val="22"/>
          <w:lang w:val="es-ES" w:eastAsia="es-ES"/>
        </w:rPr>
        <w:t>.</w:t>
      </w:r>
      <w:r w:rsidR="00890F06" w:rsidRPr="003C46CB">
        <w:rPr>
          <w:rFonts w:ascii="Century Gothic" w:eastAsia="Times New Roman" w:hAnsi="Century Gothic" w:cs="Times New Roman"/>
          <w:sz w:val="22"/>
          <w:szCs w:val="22"/>
          <w:lang w:val="es-ES" w:eastAsia="es-ES"/>
        </w:rPr>
        <w:t>1.a</w:t>
      </w:r>
      <w:r w:rsidRPr="003C46CB">
        <w:rPr>
          <w:rFonts w:ascii="Century Gothic" w:eastAsia="Times New Roman" w:hAnsi="Century Gothic" w:cs="Times New Roman"/>
          <w:sz w:val="22"/>
          <w:szCs w:val="22"/>
          <w:lang w:val="es-ES" w:eastAsia="es-ES"/>
        </w:rPr>
        <w:t xml:space="preserve">) </w:t>
      </w:r>
      <w:r w:rsidR="002B2348" w:rsidRPr="003C46CB">
        <w:rPr>
          <w:rFonts w:ascii="Century Gothic" w:eastAsia="Times New Roman" w:hAnsi="Century Gothic" w:cs="Times New Roman"/>
          <w:sz w:val="22"/>
          <w:szCs w:val="22"/>
          <w:lang w:val="es-ES" w:eastAsia="es-ES"/>
        </w:rPr>
        <w:t xml:space="preserve">de la Ley 1/2025, de 6 de febrero, de la Generalitat, de hacienda pública, del sector público instrumental y de subvenciones, </w:t>
      </w:r>
      <w:r w:rsidRPr="003C46CB">
        <w:rPr>
          <w:rFonts w:ascii="Century Gothic" w:eastAsia="Times New Roman" w:hAnsi="Century Gothic" w:cs="Times New Roman"/>
          <w:sz w:val="22"/>
          <w:szCs w:val="22"/>
          <w:lang w:val="es-ES" w:eastAsia="es-ES"/>
        </w:rPr>
        <w:t xml:space="preserve">cuyo beneficiario </w:t>
      </w:r>
      <w:r w:rsidRPr="00DC78D1">
        <w:rPr>
          <w:rFonts w:ascii="Century Gothic" w:eastAsia="Times New Roman" w:hAnsi="Century Gothic" w:cs="Times New Roman"/>
          <w:color w:val="000000"/>
          <w:sz w:val="22"/>
          <w:szCs w:val="22"/>
          <w:lang w:val="es-ES" w:eastAsia="es-ES"/>
        </w:rPr>
        <w:lastRenderedPageBreak/>
        <w:t xml:space="preserve">nominativo resulta ser la entidad FAGA, con la finalidad de </w:t>
      </w:r>
      <w:r w:rsidR="00727B11">
        <w:rPr>
          <w:rFonts w:ascii="Century Gothic" w:eastAsia="Times New Roman" w:hAnsi="Century Gothic" w:cs="Times New Roman"/>
          <w:color w:val="000000"/>
          <w:sz w:val="22"/>
          <w:szCs w:val="22"/>
          <w:lang w:val="es-ES" w:eastAsia="es-ES"/>
        </w:rPr>
        <w:t xml:space="preserve">la </w:t>
      </w:r>
      <w:r w:rsidRPr="00DC78D1">
        <w:rPr>
          <w:rFonts w:ascii="Century Gothic" w:eastAsia="Times New Roman" w:hAnsi="Century Gothic" w:cs="Times New Roman"/>
          <w:color w:val="000000"/>
          <w:sz w:val="22"/>
          <w:szCs w:val="22"/>
          <w:lang w:val="es-ES" w:eastAsia="es-ES"/>
        </w:rPr>
        <w:t>suscripción de</w:t>
      </w:r>
      <w:r w:rsidR="00727B11">
        <w:rPr>
          <w:rFonts w:ascii="Century Gothic" w:eastAsia="Times New Roman" w:hAnsi="Century Gothic" w:cs="Times New Roman"/>
          <w:color w:val="000000"/>
          <w:sz w:val="22"/>
          <w:szCs w:val="22"/>
          <w:lang w:val="es-ES" w:eastAsia="es-ES"/>
        </w:rPr>
        <w:t xml:space="preserve"> un</w:t>
      </w:r>
      <w:r w:rsidRPr="00DC78D1">
        <w:rPr>
          <w:rFonts w:ascii="Century Gothic" w:eastAsia="Times New Roman" w:hAnsi="Century Gothic" w:cs="Times New Roman"/>
          <w:color w:val="000000"/>
          <w:sz w:val="22"/>
          <w:szCs w:val="22"/>
          <w:lang w:val="es-ES" w:eastAsia="es-ES"/>
        </w:rPr>
        <w:t xml:space="preserve"> convenio para el apoyo y desarrollo de las actividades programadas en el marco </w:t>
      </w:r>
      <w:r w:rsidR="00C42755" w:rsidRPr="003C46CB">
        <w:rPr>
          <w:rFonts w:ascii="Century Gothic" w:eastAsia="Times New Roman" w:hAnsi="Century Gothic" w:cs="Times New Roman"/>
          <w:sz w:val="22"/>
          <w:szCs w:val="22"/>
          <w:lang w:val="es-ES" w:eastAsia="es-ES"/>
        </w:rPr>
        <w:t xml:space="preserve">del artículo 47 de la Constitución Española que establece que todos los españoles tienen derecho a disfrutar de una vivienda digna y adecuada, así como </w:t>
      </w:r>
      <w:r w:rsidR="00727B11" w:rsidRPr="003C46CB">
        <w:rPr>
          <w:rFonts w:ascii="Century Gothic" w:eastAsia="Times New Roman" w:hAnsi="Century Gothic" w:cs="Times New Roman"/>
          <w:sz w:val="22"/>
          <w:szCs w:val="22"/>
          <w:lang w:val="es-ES" w:eastAsia="es-ES"/>
        </w:rPr>
        <w:t>el contexto</w:t>
      </w:r>
      <w:r w:rsidR="00C42755" w:rsidRPr="003C46CB">
        <w:rPr>
          <w:rFonts w:ascii="Century Gothic" w:eastAsia="Times New Roman" w:hAnsi="Century Gothic" w:cs="Times New Roman"/>
          <w:sz w:val="22"/>
          <w:szCs w:val="22"/>
          <w:lang w:val="es-ES" w:eastAsia="es-ES"/>
        </w:rPr>
        <w:t xml:space="preserve"> que recoge </w:t>
      </w:r>
      <w:bookmarkStart w:id="0" w:name="_Hlk199405434"/>
      <w:r w:rsidR="00C42755" w:rsidRPr="003C46CB">
        <w:rPr>
          <w:rFonts w:ascii="Century Gothic" w:eastAsia="Times New Roman" w:hAnsi="Century Gothic" w:cs="Times New Roman"/>
          <w:sz w:val="22"/>
          <w:szCs w:val="22"/>
          <w:lang w:val="es-ES" w:eastAsia="es-ES"/>
        </w:rPr>
        <w:t xml:space="preserve">la estrategia nacional para la inclusión Social </w:t>
      </w:r>
      <w:r w:rsidR="00727B11" w:rsidRPr="003C46CB">
        <w:rPr>
          <w:rFonts w:ascii="Century Gothic" w:eastAsia="Times New Roman" w:hAnsi="Century Gothic" w:cs="Times New Roman"/>
          <w:sz w:val="22"/>
          <w:szCs w:val="22"/>
          <w:lang w:val="es-ES" w:eastAsia="es-ES"/>
        </w:rPr>
        <w:t>de la Población Gitana 2021-2030</w:t>
      </w:r>
      <w:bookmarkEnd w:id="0"/>
      <w:r w:rsidR="00727B11" w:rsidRPr="003C46CB">
        <w:rPr>
          <w:rFonts w:ascii="Century Gothic" w:eastAsia="Times New Roman" w:hAnsi="Century Gothic" w:cs="Times New Roman"/>
          <w:sz w:val="22"/>
          <w:szCs w:val="22"/>
          <w:lang w:val="es-ES" w:eastAsia="es-ES"/>
        </w:rPr>
        <w:t xml:space="preserve">, elaborada siguiendo las directrices marcadas por la Comisión Europea para la implantación de la política comunitaria en el ámbito de inclusión social de esta población. Por otra parte, las actuaciones definidas en este convenio están directamente relacionadas en este ámbito tras </w:t>
      </w:r>
      <w:bookmarkStart w:id="1" w:name="_Hlk199405500"/>
      <w:r w:rsidR="00727B11" w:rsidRPr="003C46CB">
        <w:rPr>
          <w:rFonts w:ascii="Century Gothic" w:eastAsia="Times New Roman" w:hAnsi="Century Gothic" w:cs="Times New Roman"/>
          <w:sz w:val="22"/>
          <w:szCs w:val="22"/>
          <w:lang w:val="es-ES" w:eastAsia="es-ES"/>
        </w:rPr>
        <w:t xml:space="preserve">la creación del Consell del Poble Gitano </w:t>
      </w:r>
      <w:bookmarkEnd w:id="1"/>
      <w:r w:rsidRPr="003C46CB">
        <w:rPr>
          <w:rFonts w:ascii="Century Gothic" w:eastAsia="Times New Roman" w:hAnsi="Century Gothic" w:cs="Times New Roman"/>
          <w:sz w:val="22"/>
          <w:szCs w:val="22"/>
          <w:lang w:val="es-ES" w:eastAsia="es-ES"/>
        </w:rPr>
        <w:t xml:space="preserve">en virtud del Decreto 5/2019, de 25 de enero, del Consell, por el que se crea el Consejo Valenciano del Pueblo Gitano (DOGV.31.01.2019) </w:t>
      </w:r>
      <w:r w:rsidRPr="00DC78D1">
        <w:rPr>
          <w:rFonts w:ascii="Century Gothic" w:eastAsia="Times New Roman" w:hAnsi="Century Gothic" w:cs="Times New Roman"/>
          <w:sz w:val="22"/>
          <w:szCs w:val="22"/>
          <w:lang w:val="es-ES" w:eastAsia="es-ES"/>
        </w:rPr>
        <w:t>modificado por el Decreto 75/2020, de 17 de julio, del Consell.</w:t>
      </w:r>
    </w:p>
    <w:p w14:paraId="5A9721F8" w14:textId="6CA6685A" w:rsidR="00DC78D1" w:rsidRPr="00DC78D1" w:rsidRDefault="00DC78D1" w:rsidP="00234F88">
      <w:pPr>
        <w:widowControl/>
        <w:autoSpaceDN/>
        <w:spacing w:before="100" w:beforeAutospacing="1" w:line="288" w:lineRule="auto"/>
        <w:ind w:right="11"/>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La Ley 1/2015, de 6 de febrero, de la Generalitat, de Hacienda Pública, del Sector Público </w:t>
      </w:r>
      <w:r w:rsidR="00A10B30">
        <w:rPr>
          <w:rFonts w:ascii="Century Gothic" w:eastAsia="Times New Roman" w:hAnsi="Century Gothic" w:cs="Times New Roman"/>
          <w:color w:val="000000"/>
          <w:sz w:val="22"/>
          <w:szCs w:val="22"/>
          <w:lang w:val="es-ES" w:eastAsia="es-ES"/>
        </w:rPr>
        <w:t>Instrumental</w:t>
      </w:r>
      <w:r w:rsidRPr="00DC78D1">
        <w:rPr>
          <w:rFonts w:ascii="Century Gothic" w:eastAsia="Times New Roman" w:hAnsi="Century Gothic" w:cs="Times New Roman"/>
          <w:color w:val="000000"/>
          <w:sz w:val="22"/>
          <w:szCs w:val="22"/>
          <w:lang w:val="es-ES" w:eastAsia="es-ES"/>
        </w:rPr>
        <w:t xml:space="preserve"> y de Subvenciones dispone en su artículo 168.</w:t>
      </w:r>
      <w:r w:rsidR="00266BB4">
        <w:rPr>
          <w:rFonts w:ascii="Century Gothic" w:eastAsia="Times New Roman" w:hAnsi="Century Gothic" w:cs="Times New Roman"/>
          <w:color w:val="000000"/>
          <w:sz w:val="22"/>
          <w:szCs w:val="22"/>
          <w:lang w:val="es-ES" w:eastAsia="es-ES"/>
        </w:rPr>
        <w:t>1 a</w:t>
      </w:r>
      <w:r w:rsidRPr="00DC78D1">
        <w:rPr>
          <w:rFonts w:ascii="Century Gothic" w:eastAsia="Times New Roman" w:hAnsi="Century Gothic" w:cs="Times New Roman"/>
          <w:color w:val="000000"/>
          <w:sz w:val="22"/>
          <w:szCs w:val="22"/>
          <w:lang w:val="es-ES" w:eastAsia="es-ES"/>
        </w:rPr>
        <w:t xml:space="preserve">), en la redacción dada por el artículo 5 del Decreto Ley 1/2022, de 22 de abril, del Consell, de medidas urgentes en respuesta a la emergencia energética y económica originada en la Comunitat Valenciana por la guerra de Ucrania, </w:t>
      </w:r>
      <w:r w:rsidR="006462EA" w:rsidRPr="008012E7">
        <w:rPr>
          <w:rFonts w:ascii="Century Gothic" w:eastAsia="Times New Roman" w:hAnsi="Century Gothic" w:cs="Times New Roman"/>
          <w:sz w:val="22"/>
          <w:szCs w:val="22"/>
          <w:lang w:val="es-ES" w:eastAsia="es-ES"/>
        </w:rPr>
        <w:t xml:space="preserve">establece </w:t>
      </w:r>
      <w:r w:rsidRPr="00DC78D1">
        <w:rPr>
          <w:rFonts w:ascii="Century Gothic" w:eastAsia="Times New Roman" w:hAnsi="Century Gothic" w:cs="Times New Roman"/>
          <w:color w:val="000000"/>
          <w:sz w:val="22"/>
          <w:szCs w:val="22"/>
          <w:lang w:val="es-ES" w:eastAsia="es-ES"/>
        </w:rPr>
        <w:t xml:space="preserve">que podrán concederse de forma directa las subvenciones previstas nominativamente en la Ley de Presupuestos de la Generalitat, entendiéndose como tales aquellas cuyo objeto, dotación presupuestaria y destinatario figuren inequívocamente en sus anexos, como es el caso, señalando, a continuación que la concesión de tales subvenciones se formalizará mediante resolución de la persona titular del departamento gestor del crédito presupuestario al cual se imputa la ayuda o mediante convenio. </w:t>
      </w:r>
    </w:p>
    <w:p w14:paraId="4079ACF5" w14:textId="224D0CD3"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Así pues, de conformidad con lo establecido en las citadas disposiciones, ambas partes acuerdan suscribir el presente convenio, el cual se regirá por las siguientes</w:t>
      </w:r>
      <w:r w:rsidR="00A10B30">
        <w:rPr>
          <w:rFonts w:ascii="Century Gothic" w:eastAsia="Times New Roman" w:hAnsi="Century Gothic" w:cs="Times New Roman"/>
          <w:color w:val="000000"/>
          <w:sz w:val="22"/>
          <w:szCs w:val="22"/>
          <w:lang w:val="es-ES" w:eastAsia="es-ES"/>
        </w:rPr>
        <w:t>:</w:t>
      </w:r>
    </w:p>
    <w:p w14:paraId="7E6B5CCB" w14:textId="77777777" w:rsidR="00E45BD3" w:rsidRPr="00DC78D1" w:rsidRDefault="00E45BD3"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p>
    <w:p w14:paraId="1C49AC37" w14:textId="77777777" w:rsidR="00DC78D1" w:rsidRPr="00DC78D1" w:rsidRDefault="00DC78D1" w:rsidP="00234F88">
      <w:pPr>
        <w:widowControl/>
        <w:autoSpaceDN/>
        <w:spacing w:before="100" w:beforeAutospacing="1" w:after="100" w:afterAutospacing="1" w:line="288" w:lineRule="auto"/>
        <w:jc w:val="center"/>
        <w:textAlignment w:val="auto"/>
        <w:outlineLvl w:val="0"/>
        <w:rPr>
          <w:rFonts w:ascii="Times New Roman" w:eastAsia="Times New Roman" w:hAnsi="Times New Roman" w:cs="Times New Roman"/>
          <w:b/>
          <w:bCs/>
          <w:kern w:val="36"/>
          <w:sz w:val="36"/>
          <w:szCs w:val="36"/>
          <w:lang w:val="es-ES" w:eastAsia="es-ES"/>
        </w:rPr>
      </w:pPr>
      <w:r w:rsidRPr="00DC78D1">
        <w:rPr>
          <w:rFonts w:ascii="Century Gothic" w:eastAsia="Times New Roman" w:hAnsi="Century Gothic" w:cs="Times New Roman"/>
          <w:b/>
          <w:bCs/>
          <w:color w:val="000000"/>
          <w:kern w:val="36"/>
          <w:sz w:val="22"/>
          <w:szCs w:val="22"/>
          <w:lang w:val="es-ES" w:eastAsia="es-ES"/>
        </w:rPr>
        <w:t>CLÁUSULAS</w:t>
      </w:r>
    </w:p>
    <w:p w14:paraId="51608595" w14:textId="0388F01A" w:rsidR="00DC78D1" w:rsidRPr="00DC78D1" w:rsidRDefault="007D2E68" w:rsidP="00234F88">
      <w:pPr>
        <w:widowControl/>
        <w:autoSpaceDN/>
        <w:spacing w:before="100" w:beforeAutospacing="1" w:line="288" w:lineRule="auto"/>
        <w:textAlignment w:val="auto"/>
        <w:rPr>
          <w:rFonts w:ascii="Times New Roman" w:eastAsia="Times New Roman" w:hAnsi="Times New Roman" w:cs="Times New Roman"/>
          <w:lang w:val="es-ES" w:eastAsia="es-ES"/>
        </w:rPr>
      </w:pPr>
      <w:bookmarkStart w:id="2" w:name="_Toc278537528"/>
      <w:bookmarkStart w:id="3" w:name="_Toc276710395"/>
      <w:bookmarkEnd w:id="2"/>
      <w:bookmarkEnd w:id="3"/>
      <w:r w:rsidRPr="00DC78D1">
        <w:rPr>
          <w:rFonts w:ascii="Century Gothic" w:eastAsia="Times New Roman" w:hAnsi="Century Gothic" w:cs="Times New Roman"/>
          <w:b/>
          <w:bCs/>
          <w:color w:val="000000"/>
          <w:sz w:val="22"/>
          <w:szCs w:val="22"/>
          <w:lang w:val="es-ES" w:eastAsia="es-ES"/>
        </w:rPr>
        <w:t>Primera. -</w:t>
      </w:r>
      <w:r w:rsidR="00DC78D1" w:rsidRPr="00DC78D1">
        <w:rPr>
          <w:rFonts w:ascii="Century Gothic" w:eastAsia="Times New Roman" w:hAnsi="Century Gothic" w:cs="Times New Roman"/>
          <w:b/>
          <w:bCs/>
          <w:color w:val="000000"/>
          <w:sz w:val="22"/>
          <w:szCs w:val="22"/>
          <w:lang w:val="es-ES" w:eastAsia="es-ES"/>
        </w:rPr>
        <w:t xml:space="preserve"> Objeto</w:t>
      </w:r>
    </w:p>
    <w:p w14:paraId="13360F89" w14:textId="4EAEF1F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1.</w:t>
      </w:r>
      <w:r w:rsidRPr="00DC78D1">
        <w:rPr>
          <w:rFonts w:ascii="Century Gothic" w:eastAsia="Times New Roman" w:hAnsi="Century Gothic" w:cs="Times New Roman"/>
          <w:sz w:val="22"/>
          <w:szCs w:val="22"/>
          <w:lang w:val="es-ES" w:eastAsia="es-ES"/>
        </w:rPr>
        <w:t xml:space="preserve">Constituye el objeto del presente Convenio canalizar la subvención concedida nominativamente en la </w:t>
      </w:r>
      <w:r w:rsidR="00477196">
        <w:rPr>
          <w:rFonts w:ascii="Century Gothic" w:eastAsia="Times New Roman" w:hAnsi="Century Gothic" w:cs="Times New Roman"/>
          <w:sz w:val="22"/>
          <w:szCs w:val="22"/>
          <w:lang w:val="es-ES" w:eastAsia="es-ES"/>
        </w:rPr>
        <w:t xml:space="preserve">Ley 6/2025, de 30 de mayo, </w:t>
      </w:r>
      <w:r w:rsidRPr="00DC78D1">
        <w:rPr>
          <w:rFonts w:ascii="Century Gothic" w:eastAsia="Times New Roman" w:hAnsi="Century Gothic" w:cs="Times New Roman"/>
          <w:color w:val="000000"/>
          <w:sz w:val="22"/>
          <w:szCs w:val="22"/>
          <w:lang w:val="es-ES" w:eastAsia="es-ES"/>
        </w:rPr>
        <w:t xml:space="preserve">de </w:t>
      </w:r>
      <w:r w:rsidR="00266BB4">
        <w:rPr>
          <w:rFonts w:ascii="Century Gothic" w:eastAsia="Times New Roman" w:hAnsi="Century Gothic" w:cs="Times New Roman"/>
          <w:color w:val="000000"/>
          <w:sz w:val="22"/>
          <w:szCs w:val="22"/>
          <w:lang w:val="es-ES" w:eastAsia="es-ES"/>
        </w:rPr>
        <w:t>p</w:t>
      </w:r>
      <w:r w:rsidRPr="00DC78D1">
        <w:rPr>
          <w:rFonts w:ascii="Century Gothic" w:eastAsia="Times New Roman" w:hAnsi="Century Gothic" w:cs="Times New Roman"/>
          <w:color w:val="000000"/>
          <w:sz w:val="22"/>
          <w:szCs w:val="22"/>
          <w:lang w:val="es-ES" w:eastAsia="es-ES"/>
        </w:rPr>
        <w:t>resupuestos de la Generalitat para</w:t>
      </w:r>
      <w:r w:rsidR="00266BB4">
        <w:rPr>
          <w:rFonts w:ascii="Century Gothic" w:eastAsia="Times New Roman" w:hAnsi="Century Gothic" w:cs="Times New Roman"/>
          <w:color w:val="000000"/>
          <w:sz w:val="22"/>
          <w:szCs w:val="22"/>
          <w:lang w:val="es-ES" w:eastAsia="es-ES"/>
        </w:rPr>
        <w:t xml:space="preserve"> el ejercicio </w:t>
      </w:r>
      <w:r w:rsidRPr="00DC78D1">
        <w:rPr>
          <w:rFonts w:ascii="Century Gothic" w:eastAsia="Times New Roman" w:hAnsi="Century Gothic" w:cs="Times New Roman"/>
          <w:color w:val="000000"/>
          <w:sz w:val="22"/>
          <w:szCs w:val="22"/>
          <w:lang w:val="es-ES" w:eastAsia="es-ES"/>
        </w:rPr>
        <w:t>202</w:t>
      </w:r>
      <w:r w:rsidR="008F400D">
        <w:rPr>
          <w:rFonts w:ascii="Century Gothic" w:eastAsia="Times New Roman" w:hAnsi="Century Gothic" w:cs="Times New Roman"/>
          <w:color w:val="000000"/>
          <w:sz w:val="22"/>
          <w:szCs w:val="22"/>
          <w:lang w:val="es-ES" w:eastAsia="es-ES"/>
        </w:rPr>
        <w:t>5</w:t>
      </w:r>
      <w:r w:rsidRPr="00DC78D1">
        <w:rPr>
          <w:rFonts w:ascii="Century Gothic" w:eastAsia="Times New Roman" w:hAnsi="Century Gothic" w:cs="Times New Roman"/>
          <w:sz w:val="22"/>
          <w:szCs w:val="22"/>
          <w:lang w:val="es-ES" w:eastAsia="es-ES"/>
        </w:rPr>
        <w:t xml:space="preserve"> en favor de FAGA y establecer sus bases reguladoras, en los términos previstos en el artículo 22.2 de la ley 38/2003, de 17 de noviembre, General de Subvenciones, y el artículo 168.1.a) de la Ley 1/2015, de 6 de febrero de la Generalitat, de Hacienda Pública, del Sector Público Instrumental y de Subvenciones, para la realización de las actividades que se recogen en el presente convenio.</w:t>
      </w:r>
    </w:p>
    <w:p w14:paraId="138982E8" w14:textId="26231C66" w:rsidR="00DC78D1" w:rsidRPr="003C46CB" w:rsidRDefault="00E45BD3"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lastRenderedPageBreak/>
        <w:t>Todas las ac</w:t>
      </w:r>
      <w:r>
        <w:rPr>
          <w:rFonts w:ascii="Century Gothic" w:eastAsia="Times New Roman" w:hAnsi="Century Gothic" w:cs="Times New Roman"/>
          <w:color w:val="000000"/>
          <w:sz w:val="22"/>
          <w:szCs w:val="22"/>
          <w:lang w:val="es-ES" w:eastAsia="es-ES"/>
        </w:rPr>
        <w:t>tuaciones</w:t>
      </w:r>
      <w:r w:rsidRPr="00DC78D1">
        <w:rPr>
          <w:rFonts w:ascii="Century Gothic" w:eastAsia="Times New Roman" w:hAnsi="Century Gothic" w:cs="Times New Roman"/>
          <w:color w:val="000000"/>
          <w:sz w:val="22"/>
          <w:szCs w:val="22"/>
          <w:lang w:val="es-ES" w:eastAsia="es-ES"/>
        </w:rPr>
        <w:t xml:space="preserve"> que desarrollar</w:t>
      </w:r>
      <w:r w:rsidR="00DC78D1" w:rsidRPr="00DC78D1">
        <w:rPr>
          <w:rFonts w:ascii="Century Gothic" w:eastAsia="Times New Roman" w:hAnsi="Century Gothic" w:cs="Times New Roman"/>
          <w:color w:val="000000"/>
          <w:sz w:val="22"/>
          <w:szCs w:val="22"/>
          <w:lang w:val="es-ES" w:eastAsia="es-ES"/>
        </w:rPr>
        <w:t xml:space="preserve"> se enmarcan, originariamente, en </w:t>
      </w:r>
      <w:r w:rsidR="00C01F0B">
        <w:rPr>
          <w:rFonts w:ascii="Century Gothic" w:eastAsia="Times New Roman" w:hAnsi="Century Gothic" w:cs="Times New Roman"/>
          <w:color w:val="000000"/>
          <w:sz w:val="22"/>
          <w:szCs w:val="22"/>
          <w:lang w:val="es-ES" w:eastAsia="es-ES"/>
        </w:rPr>
        <w:t xml:space="preserve">el </w:t>
      </w:r>
      <w:r w:rsidR="00C01F0B" w:rsidRPr="003C46CB">
        <w:rPr>
          <w:rFonts w:ascii="Century Gothic" w:eastAsia="Times New Roman" w:hAnsi="Century Gothic" w:cs="Times New Roman"/>
          <w:sz w:val="22"/>
          <w:szCs w:val="22"/>
          <w:lang w:val="es-ES" w:eastAsia="es-ES"/>
        </w:rPr>
        <w:t>artículo 47 de la Constitución Española, en la Estrategia Nacional para la inclusión Social de la Población Gitana 2021-2030 y en la creación del Consell del Poble Gitano</w:t>
      </w:r>
      <w:r w:rsidR="00DC78D1" w:rsidRPr="003C46CB">
        <w:rPr>
          <w:rFonts w:ascii="Century Gothic" w:eastAsia="Times New Roman" w:hAnsi="Century Gothic" w:cs="Times New Roman"/>
          <w:sz w:val="22"/>
          <w:szCs w:val="22"/>
          <w:lang w:val="es-ES" w:eastAsia="es-ES"/>
        </w:rPr>
        <w:t xml:space="preserve">, </w:t>
      </w:r>
      <w:r w:rsidR="00C01F0B" w:rsidRPr="003C46CB">
        <w:rPr>
          <w:rFonts w:ascii="Century Gothic" w:eastAsia="Times New Roman" w:hAnsi="Century Gothic" w:cs="Times New Roman"/>
          <w:sz w:val="22"/>
          <w:szCs w:val="22"/>
          <w:lang w:val="es-ES" w:eastAsia="es-ES"/>
        </w:rPr>
        <w:t>estableciéndose los siguientes objetivos principales:</w:t>
      </w:r>
    </w:p>
    <w:p w14:paraId="1D6FC817" w14:textId="0570917D"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a) </w:t>
      </w:r>
      <w:r w:rsidR="008F400D">
        <w:rPr>
          <w:rFonts w:ascii="Century Gothic" w:eastAsia="Times New Roman" w:hAnsi="Century Gothic" w:cs="Times New Roman"/>
          <w:color w:val="000000"/>
          <w:sz w:val="22"/>
          <w:szCs w:val="22"/>
          <w:lang w:val="es-ES" w:eastAsia="es-ES"/>
        </w:rPr>
        <w:t>Prestar apoyo integral a las familias gitanas en el proceso de búsqueda de una vivienda digna</w:t>
      </w:r>
    </w:p>
    <w:p w14:paraId="645BCA9B" w14:textId="509B2F63"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b) </w:t>
      </w:r>
      <w:r w:rsidR="008F400D">
        <w:rPr>
          <w:rFonts w:ascii="Century Gothic" w:eastAsia="Times New Roman" w:hAnsi="Century Gothic" w:cs="Times New Roman"/>
          <w:color w:val="000000"/>
          <w:sz w:val="22"/>
          <w:szCs w:val="22"/>
          <w:lang w:val="es-ES" w:eastAsia="es-ES"/>
        </w:rPr>
        <w:t>Acompañar, orientar e intervenir con familias afectadas por procedimientos de desahucio</w:t>
      </w:r>
    </w:p>
    <w:p w14:paraId="30789B9D" w14:textId="66B00197"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c) </w:t>
      </w:r>
      <w:r w:rsidR="008F400D">
        <w:rPr>
          <w:rFonts w:ascii="Century Gothic" w:eastAsia="Times New Roman" w:hAnsi="Century Gothic" w:cs="Times New Roman"/>
          <w:color w:val="000000"/>
          <w:sz w:val="22"/>
          <w:szCs w:val="22"/>
          <w:lang w:val="es-ES" w:eastAsia="es-ES"/>
        </w:rPr>
        <w:t>Fomentar la inclusión y participación de las familias en las actividades comunitarias</w:t>
      </w:r>
    </w:p>
    <w:p w14:paraId="1DF6A0D1" w14:textId="42A12408"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d) </w:t>
      </w:r>
      <w:r w:rsidR="008F400D">
        <w:rPr>
          <w:rFonts w:ascii="Century Gothic" w:eastAsia="Times New Roman" w:hAnsi="Century Gothic" w:cs="Times New Roman"/>
          <w:color w:val="000000"/>
          <w:sz w:val="22"/>
          <w:szCs w:val="22"/>
          <w:lang w:val="es-ES" w:eastAsia="es-ES"/>
        </w:rPr>
        <w:t>Brindar asesoramiento y apoyo en la gestión de recursos, la obtención de subvenciones disponibles y la solicitud de alquileres sociales</w:t>
      </w:r>
    </w:p>
    <w:p w14:paraId="7F33DFB9" w14:textId="1AE30299"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2. La consecución de las finalidades de este Convenio podrá articularse por la Consellería de </w:t>
      </w:r>
      <w:r w:rsidR="00B47229">
        <w:rPr>
          <w:rFonts w:ascii="Century Gothic" w:eastAsia="Times New Roman" w:hAnsi="Century Gothic" w:cs="Times New Roman"/>
          <w:color w:val="000000"/>
          <w:sz w:val="22"/>
          <w:szCs w:val="22"/>
          <w:lang w:val="es-ES" w:eastAsia="es-ES"/>
        </w:rPr>
        <w:t xml:space="preserve">Servicios Sociales, Igualdad y </w:t>
      </w:r>
      <w:r w:rsidRPr="00DC78D1">
        <w:rPr>
          <w:rFonts w:ascii="Century Gothic" w:eastAsia="Times New Roman" w:hAnsi="Century Gothic" w:cs="Times New Roman"/>
          <w:color w:val="000000"/>
          <w:sz w:val="22"/>
          <w:szCs w:val="22"/>
          <w:lang w:val="es-ES" w:eastAsia="es-ES"/>
        </w:rPr>
        <w:t xml:space="preserve">Vivienda, directamente a través de la Dirección General de </w:t>
      </w:r>
      <w:r w:rsidR="00B47229">
        <w:rPr>
          <w:rFonts w:ascii="Century Gothic" w:eastAsia="Times New Roman" w:hAnsi="Century Gothic" w:cs="Times New Roman"/>
          <w:color w:val="000000"/>
          <w:sz w:val="22"/>
          <w:szCs w:val="22"/>
          <w:lang w:val="es-ES" w:eastAsia="es-ES"/>
        </w:rPr>
        <w:t>Vivienda</w:t>
      </w:r>
      <w:r w:rsidRPr="00DC78D1">
        <w:rPr>
          <w:rFonts w:ascii="Century Gothic" w:eastAsia="Times New Roman" w:hAnsi="Century Gothic" w:cs="Times New Roman"/>
          <w:color w:val="000000"/>
          <w:sz w:val="22"/>
          <w:szCs w:val="22"/>
          <w:lang w:val="es-ES" w:eastAsia="es-ES"/>
        </w:rPr>
        <w:t>, o a través de su ente instrumental EVHA. El órgano gestor de la subvención será la Dirección General de Vivienda</w:t>
      </w:r>
      <w:r w:rsidR="00B47229">
        <w:rPr>
          <w:rFonts w:ascii="Century Gothic" w:eastAsia="Times New Roman" w:hAnsi="Century Gothic" w:cs="Times New Roman"/>
          <w:color w:val="000000"/>
          <w:sz w:val="22"/>
          <w:szCs w:val="22"/>
          <w:lang w:val="es-ES" w:eastAsia="es-ES"/>
        </w:rPr>
        <w:t>.</w:t>
      </w:r>
    </w:p>
    <w:p w14:paraId="0F33EB7C" w14:textId="530B15A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3. El objeto del convenio </w:t>
      </w:r>
      <w:r w:rsidR="00A10B30">
        <w:rPr>
          <w:rFonts w:ascii="Century Gothic" w:eastAsia="Times New Roman" w:hAnsi="Century Gothic" w:cs="Times New Roman"/>
          <w:color w:val="000000"/>
          <w:sz w:val="22"/>
          <w:szCs w:val="22"/>
          <w:lang w:val="es-ES" w:eastAsia="es-ES"/>
        </w:rPr>
        <w:t>s</w:t>
      </w:r>
      <w:r w:rsidRPr="00DC78D1">
        <w:rPr>
          <w:rFonts w:ascii="Century Gothic" w:eastAsia="Times New Roman" w:hAnsi="Century Gothic" w:cs="Times New Roman"/>
          <w:color w:val="000000"/>
          <w:sz w:val="22"/>
          <w:szCs w:val="22"/>
          <w:lang w:val="es-ES" w:eastAsia="es-ES"/>
        </w:rPr>
        <w:t>e desarrollará en todo el ámbito de la Comunitat Valenciana.</w:t>
      </w:r>
    </w:p>
    <w:p w14:paraId="55DD9F0E" w14:textId="77777777" w:rsidR="00DC78D1" w:rsidRPr="00DC78D1" w:rsidRDefault="00DC78D1" w:rsidP="00234F88">
      <w:pPr>
        <w:widowControl/>
        <w:autoSpaceDN/>
        <w:spacing w:line="288" w:lineRule="auto"/>
        <w:jc w:val="both"/>
        <w:textAlignment w:val="auto"/>
        <w:rPr>
          <w:rFonts w:ascii="Times New Roman" w:eastAsia="Times New Roman" w:hAnsi="Times New Roman" w:cs="Times New Roman"/>
          <w:lang w:val="es-ES" w:eastAsia="es-ES"/>
        </w:rPr>
      </w:pPr>
    </w:p>
    <w:p w14:paraId="322BBFF7"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Segunda. Cuantía y crédito presupuestario.</w:t>
      </w:r>
    </w:p>
    <w:p w14:paraId="53704570" w14:textId="4894FC69" w:rsidR="00DC78D1" w:rsidRPr="003C46CB"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La cuantía de la subvención asciende a la cantidad de </w:t>
      </w:r>
      <w:r w:rsidR="008F400D">
        <w:rPr>
          <w:rFonts w:ascii="Century Gothic" w:eastAsia="Times New Roman" w:hAnsi="Century Gothic" w:cs="Times New Roman"/>
          <w:color w:val="000000"/>
          <w:sz w:val="22"/>
          <w:szCs w:val="22"/>
          <w:lang w:val="es-ES" w:eastAsia="es-ES"/>
        </w:rPr>
        <w:t>250.000</w:t>
      </w:r>
      <w:r w:rsidR="00B00D97" w:rsidRPr="00C94D4F">
        <w:rPr>
          <w:rFonts w:ascii="Century Gothic" w:eastAsia="Times New Roman" w:hAnsi="Century Gothic" w:cs="Times New Roman"/>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euros. Dicho crédito, designado con el código</w:t>
      </w:r>
      <w:r w:rsidR="00B00D97">
        <w:rPr>
          <w:rFonts w:ascii="Century Gothic" w:eastAsia="Times New Roman" w:hAnsi="Century Gothic" w:cs="Times New Roman"/>
          <w:color w:val="000000"/>
          <w:sz w:val="22"/>
          <w:szCs w:val="22"/>
          <w:lang w:val="es-ES" w:eastAsia="es-ES"/>
        </w:rPr>
        <w:t xml:space="preserve"> S1375</w:t>
      </w:r>
      <w:r w:rsidRPr="00DC78D1">
        <w:rPr>
          <w:rFonts w:ascii="Century Gothic" w:eastAsia="Times New Roman" w:hAnsi="Century Gothic" w:cs="Times New Roman"/>
          <w:color w:val="000000"/>
          <w:sz w:val="22"/>
          <w:szCs w:val="22"/>
          <w:lang w:val="es-ES" w:eastAsia="es-ES"/>
        </w:rPr>
        <w:t xml:space="preserve">, dentro del </w:t>
      </w:r>
      <w:r w:rsidR="00B424E3">
        <w:rPr>
          <w:rFonts w:ascii="Century Gothic" w:eastAsia="Times New Roman" w:hAnsi="Century Gothic" w:cs="Times New Roman"/>
          <w:color w:val="000000"/>
          <w:sz w:val="22"/>
          <w:szCs w:val="22"/>
          <w:lang w:val="es-ES" w:eastAsia="es-ES"/>
        </w:rPr>
        <w:t>sub</w:t>
      </w:r>
      <w:r w:rsidRPr="00DC78D1">
        <w:rPr>
          <w:rFonts w:ascii="Century Gothic" w:eastAsia="Times New Roman" w:hAnsi="Century Gothic" w:cs="Times New Roman"/>
          <w:color w:val="000000"/>
          <w:sz w:val="22"/>
          <w:szCs w:val="22"/>
          <w:lang w:val="es-ES" w:eastAsia="es-ES"/>
        </w:rPr>
        <w:t xml:space="preserve">programa </w:t>
      </w:r>
      <w:r w:rsidR="00B00D97" w:rsidRPr="00B424E3">
        <w:rPr>
          <w:rFonts w:ascii="Century Gothic" w:eastAsia="Times New Roman" w:hAnsi="Century Gothic" w:cs="Times New Roman"/>
          <w:sz w:val="22"/>
          <w:szCs w:val="22"/>
          <w:lang w:val="es-ES" w:eastAsia="es-ES"/>
        </w:rPr>
        <w:t>431</w:t>
      </w:r>
      <w:r w:rsidR="008F400D">
        <w:rPr>
          <w:rFonts w:ascii="Century Gothic" w:eastAsia="Times New Roman" w:hAnsi="Century Gothic" w:cs="Times New Roman"/>
          <w:sz w:val="22"/>
          <w:szCs w:val="22"/>
          <w:lang w:val="es-ES" w:eastAsia="es-ES"/>
        </w:rPr>
        <w:t>I</w:t>
      </w:r>
      <w:r w:rsidR="00B00D97" w:rsidRPr="00B424E3">
        <w:rPr>
          <w:rFonts w:ascii="Century Gothic" w:eastAsia="Times New Roman" w:hAnsi="Century Gothic" w:cs="Times New Roman"/>
          <w:sz w:val="22"/>
          <w:szCs w:val="22"/>
          <w:lang w:val="es-ES" w:eastAsia="es-ES"/>
        </w:rPr>
        <w:t>00</w:t>
      </w:r>
      <w:r w:rsidRPr="00DC78D1">
        <w:rPr>
          <w:rFonts w:ascii="Century Gothic" w:eastAsia="Times New Roman" w:hAnsi="Century Gothic" w:cs="Times New Roman"/>
          <w:color w:val="000000"/>
          <w:sz w:val="22"/>
          <w:szCs w:val="22"/>
          <w:lang w:val="es-ES" w:eastAsia="es-ES"/>
        </w:rPr>
        <w:t>, “</w:t>
      </w:r>
      <w:r w:rsidR="008F400D">
        <w:rPr>
          <w:rFonts w:ascii="Century Gothic" w:eastAsia="Times New Roman" w:hAnsi="Century Gothic" w:cs="Times New Roman"/>
          <w:color w:val="000000"/>
          <w:sz w:val="22"/>
          <w:szCs w:val="22"/>
          <w:lang w:val="es-ES" w:eastAsia="es-ES"/>
        </w:rPr>
        <w:t>Función Social de la Vivienda”</w:t>
      </w:r>
      <w:r w:rsidRPr="00DC78D1">
        <w:rPr>
          <w:rFonts w:ascii="Century Gothic" w:eastAsia="Times New Roman" w:hAnsi="Century Gothic" w:cs="Times New Roman"/>
          <w:color w:val="000000"/>
          <w:sz w:val="22"/>
          <w:szCs w:val="22"/>
          <w:lang w:val="es-ES" w:eastAsia="es-ES"/>
        </w:rPr>
        <w:t>, con cargo al Capítulo IV Transferencias corrientes,</w:t>
      </w:r>
      <w:r w:rsidR="00F467F1">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como subvención de concesión directa al amparo del artículo 168</w:t>
      </w:r>
      <w:r w:rsidR="00B424E3">
        <w:rPr>
          <w:rFonts w:ascii="Century Gothic" w:eastAsia="Times New Roman" w:hAnsi="Century Gothic" w:cs="Times New Roman"/>
          <w:color w:val="000000"/>
          <w:sz w:val="22"/>
          <w:szCs w:val="22"/>
          <w:lang w:val="es-ES" w:eastAsia="es-ES"/>
        </w:rPr>
        <w:t>.1</w:t>
      </w:r>
      <w:r w:rsidRPr="00DC78D1">
        <w:rPr>
          <w:rFonts w:ascii="Century Gothic" w:eastAsia="Times New Roman" w:hAnsi="Century Gothic" w:cs="Times New Roman"/>
          <w:color w:val="000000"/>
          <w:sz w:val="22"/>
          <w:szCs w:val="22"/>
          <w:vertAlign w:val="superscript"/>
          <w:lang w:val="es-ES" w:eastAsia="es-ES"/>
        </w:rPr>
        <w:t>.</w:t>
      </w:r>
      <w:r w:rsidRPr="00DC78D1">
        <w:rPr>
          <w:rFonts w:ascii="Century Gothic" w:eastAsia="Times New Roman" w:hAnsi="Century Gothic" w:cs="Times New Roman"/>
          <w:color w:val="000000"/>
          <w:sz w:val="22"/>
          <w:szCs w:val="22"/>
          <w:lang w:val="es-ES" w:eastAsia="es-ES"/>
        </w:rPr>
        <w:t xml:space="preserve">a) </w:t>
      </w:r>
      <w:r w:rsidR="00B424E3">
        <w:rPr>
          <w:rFonts w:ascii="Century Gothic" w:eastAsia="Times New Roman" w:hAnsi="Century Gothic" w:cs="Times New Roman"/>
          <w:color w:val="000000"/>
          <w:sz w:val="22"/>
          <w:szCs w:val="22"/>
          <w:lang w:val="es-ES" w:eastAsia="es-ES"/>
        </w:rPr>
        <w:t xml:space="preserve">de la Ley 1/2015, </w:t>
      </w:r>
      <w:r w:rsidRPr="00DC78D1">
        <w:rPr>
          <w:rFonts w:ascii="Century Gothic" w:eastAsia="Times New Roman" w:hAnsi="Century Gothic" w:cs="Times New Roman"/>
          <w:color w:val="000000"/>
          <w:sz w:val="22"/>
          <w:szCs w:val="22"/>
          <w:lang w:val="es-ES" w:eastAsia="es-ES"/>
        </w:rPr>
        <w:t xml:space="preserve">cuyo beneficiario nominativo resulta ser la entidad FAGA, con la finalidad de suscripción de convenio para el apoyo y desarrollo de las actividades programadas en el marco de la </w:t>
      </w:r>
      <w:r w:rsidR="00F467F1" w:rsidRPr="003C46CB">
        <w:rPr>
          <w:rFonts w:ascii="Century Gothic" w:eastAsia="Times New Roman" w:hAnsi="Century Gothic" w:cs="Times New Roman"/>
          <w:sz w:val="22"/>
          <w:szCs w:val="22"/>
          <w:lang w:val="es-ES" w:eastAsia="es-ES"/>
        </w:rPr>
        <w:t>promoción de una vivienda digna y adecuada para la igualdad e inclusión del pueblo gitano</w:t>
      </w:r>
      <w:r w:rsidR="004D5A02" w:rsidRPr="003C46CB">
        <w:rPr>
          <w:rFonts w:ascii="Century Gothic" w:eastAsia="Times New Roman" w:hAnsi="Century Gothic" w:cs="Times New Roman"/>
          <w:sz w:val="22"/>
          <w:szCs w:val="22"/>
          <w:lang w:val="es-ES" w:eastAsia="es-ES"/>
        </w:rPr>
        <w:t>,</w:t>
      </w:r>
      <w:r w:rsidRPr="003C46CB">
        <w:rPr>
          <w:rFonts w:ascii="Century Gothic" w:eastAsia="Times New Roman" w:hAnsi="Century Gothic" w:cs="Times New Roman"/>
          <w:sz w:val="22"/>
          <w:szCs w:val="22"/>
          <w:lang w:val="es-ES" w:eastAsia="es-ES"/>
        </w:rPr>
        <w:t xml:space="preserve"> se imputará la ayuda concedida.</w:t>
      </w:r>
    </w:p>
    <w:p w14:paraId="1524CA4F" w14:textId="77777777" w:rsidR="00DC78D1" w:rsidRPr="00DC78D1" w:rsidRDefault="00DC78D1" w:rsidP="00234F88">
      <w:pPr>
        <w:widowControl/>
        <w:autoSpaceDN/>
        <w:spacing w:line="288" w:lineRule="auto"/>
        <w:jc w:val="both"/>
        <w:textAlignment w:val="auto"/>
        <w:rPr>
          <w:rFonts w:ascii="Times New Roman" w:eastAsia="Times New Roman" w:hAnsi="Times New Roman" w:cs="Times New Roman"/>
          <w:lang w:val="es-ES" w:eastAsia="es-ES"/>
        </w:rPr>
      </w:pPr>
    </w:p>
    <w:p w14:paraId="3F71EC66"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Tercera. Personas beneficiarias</w:t>
      </w:r>
    </w:p>
    <w:p w14:paraId="1086EBA2"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 persona o entidad beneficiaria de la ayuda que se instrumenta mediante el presente convenio resulta ser la entidad FAGA.</w:t>
      </w:r>
    </w:p>
    <w:p w14:paraId="62E5F116" w14:textId="77777777" w:rsidR="00DC78D1" w:rsidRDefault="00DC78D1" w:rsidP="00234F88">
      <w:pPr>
        <w:widowControl/>
        <w:autoSpaceDN/>
        <w:spacing w:line="288" w:lineRule="auto"/>
        <w:textAlignment w:val="auto"/>
        <w:rPr>
          <w:rFonts w:ascii="Times New Roman" w:eastAsia="Times New Roman" w:hAnsi="Times New Roman" w:cs="Times New Roman"/>
          <w:lang w:val="es-ES" w:eastAsia="es-ES"/>
        </w:rPr>
      </w:pPr>
    </w:p>
    <w:p w14:paraId="50863792" w14:textId="77777777" w:rsidR="00EE2838" w:rsidRPr="00DC78D1" w:rsidRDefault="00EE2838" w:rsidP="00234F88">
      <w:pPr>
        <w:widowControl/>
        <w:autoSpaceDN/>
        <w:spacing w:line="288" w:lineRule="auto"/>
        <w:textAlignment w:val="auto"/>
        <w:rPr>
          <w:rFonts w:ascii="Times New Roman" w:eastAsia="Times New Roman" w:hAnsi="Times New Roman" w:cs="Times New Roman"/>
          <w:lang w:val="es-ES" w:eastAsia="es-ES"/>
        </w:rPr>
      </w:pPr>
    </w:p>
    <w:p w14:paraId="2A5EC08B"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Cuarta. Actuaciones Subvencionables</w:t>
      </w:r>
    </w:p>
    <w:p w14:paraId="100D6F63" w14:textId="1C38F3FA"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El crédito presupuestario que ampara la concesión de la subvención nominativa a la entidad FAGA es un crédito del capítulo 4 «Transferencias corrientes» del </w:t>
      </w:r>
      <w:r w:rsidR="00D61A0D">
        <w:rPr>
          <w:rFonts w:ascii="Century Gothic" w:eastAsia="Times New Roman" w:hAnsi="Century Gothic" w:cs="Times New Roman"/>
          <w:color w:val="000000"/>
          <w:sz w:val="22"/>
          <w:szCs w:val="22"/>
          <w:lang w:val="es-ES" w:eastAsia="es-ES"/>
        </w:rPr>
        <w:t>sub</w:t>
      </w:r>
      <w:r w:rsidRPr="00DC78D1">
        <w:rPr>
          <w:rFonts w:ascii="Century Gothic" w:eastAsia="Times New Roman" w:hAnsi="Century Gothic" w:cs="Times New Roman"/>
          <w:color w:val="000000"/>
          <w:sz w:val="22"/>
          <w:szCs w:val="22"/>
          <w:lang w:val="es-ES" w:eastAsia="es-ES"/>
        </w:rPr>
        <w:t>programa 431</w:t>
      </w:r>
      <w:r w:rsidR="008F400D">
        <w:rPr>
          <w:rFonts w:ascii="Century Gothic" w:eastAsia="Times New Roman" w:hAnsi="Century Gothic" w:cs="Times New Roman"/>
          <w:color w:val="000000"/>
          <w:sz w:val="22"/>
          <w:szCs w:val="22"/>
          <w:lang w:val="es-ES" w:eastAsia="es-ES"/>
        </w:rPr>
        <w:t>I</w:t>
      </w:r>
      <w:r w:rsidR="00D61A0D">
        <w:rPr>
          <w:rFonts w:ascii="Century Gothic" w:eastAsia="Times New Roman" w:hAnsi="Century Gothic" w:cs="Times New Roman"/>
          <w:color w:val="000000"/>
          <w:sz w:val="22"/>
          <w:szCs w:val="22"/>
          <w:lang w:val="es-ES" w:eastAsia="es-ES"/>
        </w:rPr>
        <w:t>00</w:t>
      </w:r>
      <w:r w:rsidRPr="00DC78D1">
        <w:rPr>
          <w:rFonts w:ascii="Century Gothic" w:eastAsia="Times New Roman" w:hAnsi="Century Gothic" w:cs="Times New Roman"/>
          <w:color w:val="000000"/>
          <w:sz w:val="22"/>
          <w:szCs w:val="22"/>
          <w:lang w:val="es-ES" w:eastAsia="es-ES"/>
        </w:rPr>
        <w:t xml:space="preserve"> por lo que no podrán aplicarse los fondos a gastos de distinta naturaleza y finalidad a la que es propia de los gastos imputables a dicho crédito. En </w:t>
      </w:r>
      <w:r w:rsidR="002F6D68" w:rsidRPr="00DC78D1">
        <w:rPr>
          <w:rFonts w:ascii="Century Gothic" w:eastAsia="Times New Roman" w:hAnsi="Century Gothic" w:cs="Times New Roman"/>
          <w:color w:val="000000"/>
          <w:sz w:val="22"/>
          <w:szCs w:val="22"/>
          <w:lang w:val="es-ES" w:eastAsia="es-ES"/>
        </w:rPr>
        <w:t>consecuencia,</w:t>
      </w:r>
      <w:r w:rsidRPr="00DC78D1">
        <w:rPr>
          <w:rFonts w:ascii="Century Gothic" w:eastAsia="Times New Roman" w:hAnsi="Century Gothic" w:cs="Times New Roman"/>
          <w:color w:val="000000"/>
          <w:sz w:val="22"/>
          <w:szCs w:val="22"/>
          <w:lang w:val="es-ES" w:eastAsia="es-ES"/>
        </w:rPr>
        <w:t xml:space="preserve"> ambas partes convienen que la subvención se destinará a financiar las siguientes actividades a desarrollar por la </w:t>
      </w:r>
      <w:r w:rsidR="00115025">
        <w:rPr>
          <w:rFonts w:ascii="Century Gothic" w:eastAsia="Times New Roman" w:hAnsi="Century Gothic" w:cs="Times New Roman"/>
          <w:color w:val="000000"/>
          <w:sz w:val="22"/>
          <w:szCs w:val="22"/>
          <w:lang w:val="es-ES" w:eastAsia="es-ES"/>
        </w:rPr>
        <w:t>entidad</w:t>
      </w:r>
      <w:r w:rsidRPr="00DC78D1">
        <w:rPr>
          <w:rFonts w:ascii="Century Gothic" w:eastAsia="Times New Roman" w:hAnsi="Century Gothic" w:cs="Times New Roman"/>
          <w:color w:val="000000"/>
          <w:sz w:val="22"/>
          <w:szCs w:val="22"/>
          <w:lang w:val="es-ES" w:eastAsia="es-ES"/>
        </w:rPr>
        <w:t xml:space="preserve"> </w:t>
      </w:r>
      <w:r w:rsidR="00D61A0D" w:rsidRPr="00DC78D1">
        <w:rPr>
          <w:rFonts w:ascii="Century Gothic" w:eastAsia="Times New Roman" w:hAnsi="Century Gothic" w:cs="Times New Roman"/>
          <w:color w:val="000000"/>
          <w:sz w:val="22"/>
          <w:szCs w:val="22"/>
          <w:lang w:val="es-ES" w:eastAsia="es-ES"/>
        </w:rPr>
        <w:t>beneficiaria:</w:t>
      </w:r>
    </w:p>
    <w:p w14:paraId="4840C0E1" w14:textId="11E31E0B" w:rsidR="00F90939" w:rsidRDefault="00F90939" w:rsidP="00F90939">
      <w:pPr>
        <w:widowControl/>
        <w:autoSpaceDN/>
        <w:spacing w:before="100" w:beforeAutospacing="1" w:line="288" w:lineRule="auto"/>
        <w:ind w:left="720"/>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u w:val="single"/>
          <w:lang w:val="es-ES" w:eastAsia="es-ES"/>
        </w:rPr>
        <w:t>Actuaciones enmarcadas en el objetivo</w:t>
      </w:r>
      <w:r w:rsidR="00EB24A6">
        <w:rPr>
          <w:rFonts w:ascii="Century Gothic" w:eastAsia="Times New Roman" w:hAnsi="Century Gothic" w:cs="Times New Roman"/>
          <w:sz w:val="22"/>
          <w:szCs w:val="22"/>
          <w:u w:val="single"/>
          <w:lang w:val="es-ES" w:eastAsia="es-ES"/>
        </w:rPr>
        <w:t xml:space="preserve"> 1.</w:t>
      </w:r>
      <w:r w:rsidR="00EB24A6">
        <w:rPr>
          <w:rFonts w:ascii="Century Gothic" w:eastAsia="Times New Roman" w:hAnsi="Century Gothic" w:cs="Times New Roman"/>
          <w:sz w:val="22"/>
          <w:szCs w:val="22"/>
          <w:lang w:val="es-ES" w:eastAsia="es-ES"/>
        </w:rPr>
        <w:t xml:space="preserve"> Prestar</w:t>
      </w:r>
      <w:r>
        <w:rPr>
          <w:rFonts w:ascii="Century Gothic" w:eastAsia="Times New Roman" w:hAnsi="Century Gothic" w:cs="Times New Roman"/>
          <w:sz w:val="22"/>
          <w:szCs w:val="22"/>
          <w:lang w:val="es-ES" w:eastAsia="es-ES"/>
        </w:rPr>
        <w:t xml:space="preserve"> apoyo integral a las familias gitanas en el proceso de búsqueda de una vivienda digna.</w:t>
      </w:r>
    </w:p>
    <w:p w14:paraId="2C8AA609" w14:textId="15ABA725"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F90939">
        <w:rPr>
          <w:rFonts w:ascii="Century Gothic" w:eastAsia="Times New Roman" w:hAnsi="Century Gothic" w:cs="Times New Roman"/>
          <w:sz w:val="22"/>
          <w:szCs w:val="22"/>
          <w:lang w:val="es-ES" w:eastAsia="es-ES"/>
        </w:rPr>
        <w:t>Acompañar</w:t>
      </w:r>
      <w:r>
        <w:rPr>
          <w:rFonts w:ascii="Century Gothic" w:eastAsia="Times New Roman" w:hAnsi="Century Gothic" w:cs="Times New Roman"/>
          <w:sz w:val="22"/>
          <w:szCs w:val="22"/>
          <w:lang w:val="es-ES" w:eastAsia="es-ES"/>
        </w:rPr>
        <w:t xml:space="preserve"> a las familias en la búsqueda de alternativas habitacionales, tanto privadas como públicas.</w:t>
      </w:r>
    </w:p>
    <w:p w14:paraId="7D8E689C" w14:textId="587AD19F"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Realizar talleres de preparación para la búsqueda de vivienda.</w:t>
      </w:r>
    </w:p>
    <w:p w14:paraId="7F07BEC8" w14:textId="7D4FFB46"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Asesorar y realizar la gestión de trámites en procesos de adquisición de vivienda, tanto privada como pública.</w:t>
      </w:r>
    </w:p>
    <w:p w14:paraId="25144C11" w14:textId="1F92A4F2"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Mediar con los arrendadores prórrogas de alquileres y renovaciones de contratos de alquiler, con el fin de asegurar unas condiciones justas para ambas partes.</w:t>
      </w:r>
    </w:p>
    <w:p w14:paraId="2E6F3755" w14:textId="795BDC9A" w:rsidR="00F90939" w:rsidRDefault="00F90939" w:rsidP="00EB24A6">
      <w:pPr>
        <w:widowControl/>
        <w:autoSpaceDN/>
        <w:spacing w:before="100" w:beforeAutospacing="1" w:line="288" w:lineRule="auto"/>
        <w:ind w:left="567" w:hanging="567"/>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 xml:space="preserve">          </w:t>
      </w:r>
      <w:r w:rsidRPr="00EB24A6">
        <w:rPr>
          <w:rFonts w:ascii="Century Gothic" w:eastAsia="Times New Roman" w:hAnsi="Century Gothic" w:cs="Times New Roman"/>
          <w:sz w:val="22"/>
          <w:szCs w:val="22"/>
          <w:u w:val="single"/>
          <w:lang w:val="es-ES" w:eastAsia="es-ES"/>
        </w:rPr>
        <w:t>Actua</w:t>
      </w:r>
      <w:r w:rsidR="00EB24A6" w:rsidRPr="00EB24A6">
        <w:rPr>
          <w:rFonts w:ascii="Century Gothic" w:eastAsia="Times New Roman" w:hAnsi="Century Gothic" w:cs="Times New Roman"/>
          <w:sz w:val="22"/>
          <w:szCs w:val="22"/>
          <w:u w:val="single"/>
          <w:lang w:val="es-ES" w:eastAsia="es-ES"/>
        </w:rPr>
        <w:t>ciones enmarcadas en el objetivo 2</w:t>
      </w:r>
      <w:r w:rsidR="00EB24A6">
        <w:rPr>
          <w:rFonts w:ascii="Century Gothic" w:eastAsia="Times New Roman" w:hAnsi="Century Gothic" w:cs="Times New Roman"/>
          <w:sz w:val="22"/>
          <w:szCs w:val="22"/>
          <w:lang w:val="es-ES" w:eastAsia="es-ES"/>
        </w:rPr>
        <w:t>. Acompañar, orientar e intervenir con familias afectadas por procedimientos de desahucio.</w:t>
      </w:r>
    </w:p>
    <w:p w14:paraId="0E55DEB7" w14:textId="6B8097C8"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EB24A6">
        <w:rPr>
          <w:rFonts w:ascii="Century Gothic" w:eastAsia="Times New Roman" w:hAnsi="Century Gothic" w:cs="Times New Roman"/>
          <w:sz w:val="22"/>
          <w:szCs w:val="22"/>
          <w:lang w:val="es-ES" w:eastAsia="es-ES"/>
        </w:rPr>
        <w:t>Asistir a las familias en la interpretación y respuesta a notificaciones de desahucio</w:t>
      </w:r>
      <w:r>
        <w:rPr>
          <w:rFonts w:ascii="Century Gothic" w:eastAsia="Times New Roman" w:hAnsi="Century Gothic" w:cs="Times New Roman"/>
          <w:sz w:val="22"/>
          <w:szCs w:val="22"/>
          <w:lang w:val="es-ES" w:eastAsia="es-ES"/>
        </w:rPr>
        <w:t>.</w:t>
      </w:r>
    </w:p>
    <w:p w14:paraId="57AD1777" w14:textId="3CEE20B4"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Mediar en comisiones judiciales.</w:t>
      </w:r>
    </w:p>
    <w:p w14:paraId="5AE5C9A4" w14:textId="5A402DDE"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Contactar con abogados de oficio y particulares.</w:t>
      </w:r>
    </w:p>
    <w:p w14:paraId="2577B67F" w14:textId="66E0CB51"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Coordinar con los Servicios Sociales.</w:t>
      </w:r>
    </w:p>
    <w:p w14:paraId="5FEB2B41" w14:textId="0C3F46AE"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Coordinar con la Unidad de Ayuda ante Desahucios (UAD).</w:t>
      </w:r>
    </w:p>
    <w:p w14:paraId="45F4CD04" w14:textId="106DDEEC"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Establecer canales de diálogo y la negociación con fondos de inversión y entidades bancarias para negociar propuestas de pago, solicitar la aplicación de códigos de buenas prácticas, gestionar daciones en pago, compra de vivienda o alquileres asequibles, entre otros.</w:t>
      </w:r>
    </w:p>
    <w:p w14:paraId="41D31474" w14:textId="020CCB99"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Asesorar jurídicamente desde FAGA a las familias.</w:t>
      </w:r>
    </w:p>
    <w:p w14:paraId="43A2F331" w14:textId="123641C2" w:rsidR="00EB24A6" w:rsidRDefault="00EB24A6" w:rsidP="00115025">
      <w:pPr>
        <w:widowControl/>
        <w:autoSpaceDN/>
        <w:spacing w:before="100" w:beforeAutospacing="1" w:line="288" w:lineRule="auto"/>
        <w:ind w:left="567"/>
        <w:jc w:val="both"/>
        <w:textAlignment w:val="auto"/>
        <w:rPr>
          <w:rFonts w:ascii="Century Gothic" w:eastAsia="Times New Roman" w:hAnsi="Century Gothic" w:cs="Times New Roman"/>
          <w:sz w:val="22"/>
          <w:szCs w:val="22"/>
          <w:lang w:val="es-ES" w:eastAsia="es-ES"/>
        </w:rPr>
      </w:pPr>
      <w:r w:rsidRPr="00115025">
        <w:rPr>
          <w:rFonts w:ascii="Century Gothic" w:eastAsia="Times New Roman" w:hAnsi="Century Gothic" w:cs="Times New Roman"/>
          <w:sz w:val="22"/>
          <w:szCs w:val="22"/>
          <w:u w:val="single"/>
          <w:lang w:val="es-ES" w:eastAsia="es-ES"/>
        </w:rPr>
        <w:t>Actuaciones enmarcadas en el objetivo 3</w:t>
      </w:r>
      <w:r>
        <w:rPr>
          <w:rFonts w:ascii="Century Gothic" w:eastAsia="Times New Roman" w:hAnsi="Century Gothic" w:cs="Times New Roman"/>
          <w:sz w:val="22"/>
          <w:szCs w:val="22"/>
          <w:lang w:val="es-ES" w:eastAsia="es-ES"/>
        </w:rPr>
        <w:t>. Fomentar la inclusión y participación de las familias en las actividades comunitarias.</w:t>
      </w:r>
    </w:p>
    <w:p w14:paraId="07890B01" w14:textId="73C1E35E"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115025">
        <w:rPr>
          <w:rFonts w:ascii="Century Gothic" w:eastAsia="Times New Roman" w:hAnsi="Century Gothic" w:cs="Times New Roman"/>
          <w:sz w:val="22"/>
          <w:szCs w:val="22"/>
          <w:lang w:val="es-ES" w:eastAsia="es-ES"/>
        </w:rPr>
        <w:t>Fomentar la participación comunitaria en asociaciones vecinales y/o mesas de barrio</w:t>
      </w:r>
      <w:r>
        <w:rPr>
          <w:rFonts w:ascii="Century Gothic" w:eastAsia="Times New Roman" w:hAnsi="Century Gothic" w:cs="Times New Roman"/>
          <w:sz w:val="22"/>
          <w:szCs w:val="22"/>
          <w:lang w:val="es-ES" w:eastAsia="es-ES"/>
        </w:rPr>
        <w:t>.</w:t>
      </w:r>
    </w:p>
    <w:p w14:paraId="5B7DE4AB" w14:textId="79DAF2F4"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lastRenderedPageBreak/>
        <w:t>Realizar talleres con las familias sobre la importancia del buen uso de la vivienda, zonas comunes y el cumplimiento de las normas de comunidad.</w:t>
      </w:r>
    </w:p>
    <w:p w14:paraId="38B01051" w14:textId="3292103C"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Mediar frente a conflictos vecinales.</w:t>
      </w:r>
    </w:p>
    <w:p w14:paraId="2A7F9040" w14:textId="0B7A2219"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Promover campañas de sensibilización sobre la importancia de adherirse a planes de pago, campañas de regularización de suministros y la no ocupación de viviendas, tanto privadas como públicas.</w:t>
      </w:r>
    </w:p>
    <w:p w14:paraId="6CAA5FC2" w14:textId="46CE47F2" w:rsidR="00115025" w:rsidRDefault="00115025" w:rsidP="00115025">
      <w:pPr>
        <w:widowControl/>
        <w:autoSpaceDN/>
        <w:spacing w:before="100" w:beforeAutospacing="1" w:line="288" w:lineRule="auto"/>
        <w:ind w:left="709"/>
        <w:jc w:val="both"/>
        <w:textAlignment w:val="auto"/>
        <w:rPr>
          <w:rFonts w:ascii="Century Gothic" w:eastAsia="Times New Roman" w:hAnsi="Century Gothic" w:cs="Times New Roman"/>
          <w:sz w:val="22"/>
          <w:szCs w:val="22"/>
          <w:lang w:val="es-ES" w:eastAsia="es-ES"/>
        </w:rPr>
      </w:pPr>
      <w:r w:rsidRPr="00115025">
        <w:rPr>
          <w:rFonts w:ascii="Century Gothic" w:eastAsia="Times New Roman" w:hAnsi="Century Gothic" w:cs="Times New Roman"/>
          <w:sz w:val="22"/>
          <w:szCs w:val="22"/>
          <w:u w:val="single"/>
          <w:lang w:val="es-ES" w:eastAsia="es-ES"/>
        </w:rPr>
        <w:t>Actuaciones enmarcas en el objetivo 4</w:t>
      </w:r>
      <w:r>
        <w:rPr>
          <w:rFonts w:ascii="Century Gothic" w:eastAsia="Times New Roman" w:hAnsi="Century Gothic" w:cs="Times New Roman"/>
          <w:sz w:val="22"/>
          <w:szCs w:val="22"/>
          <w:lang w:val="es-ES" w:eastAsia="es-ES"/>
        </w:rPr>
        <w:t>. Brindar asesoramiento para la obtención de subvenciones disponibles y la solicitud de alquileres sociales.</w:t>
      </w:r>
    </w:p>
    <w:p w14:paraId="119B691C" w14:textId="2864F465"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115025">
        <w:rPr>
          <w:rFonts w:ascii="Century Gothic" w:eastAsia="Times New Roman" w:hAnsi="Century Gothic" w:cs="Times New Roman"/>
          <w:sz w:val="22"/>
          <w:szCs w:val="22"/>
          <w:lang w:val="es-ES" w:eastAsia="es-ES"/>
        </w:rPr>
        <w:t>Informar y prestar apoyo integral en la gestión de ayudas y/o subvenciones existentes en materia de vivienda</w:t>
      </w:r>
      <w:r>
        <w:rPr>
          <w:rFonts w:ascii="Century Gothic" w:eastAsia="Times New Roman" w:hAnsi="Century Gothic" w:cs="Times New Roman"/>
          <w:sz w:val="22"/>
          <w:szCs w:val="22"/>
          <w:lang w:val="es-ES" w:eastAsia="es-ES"/>
        </w:rPr>
        <w:t>.</w:t>
      </w:r>
    </w:p>
    <w:p w14:paraId="661E5E75" w14:textId="69F0D778"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 xml:space="preserve">Fortalecer </w:t>
      </w:r>
      <w:r w:rsidR="00086A7C">
        <w:rPr>
          <w:rFonts w:ascii="Century Gothic" w:eastAsia="Times New Roman" w:hAnsi="Century Gothic" w:cs="Times New Roman"/>
          <w:sz w:val="22"/>
          <w:szCs w:val="22"/>
          <w:lang w:val="es-ES" w:eastAsia="es-ES"/>
        </w:rPr>
        <w:t>alianzas</w:t>
      </w:r>
      <w:r>
        <w:rPr>
          <w:rFonts w:ascii="Century Gothic" w:eastAsia="Times New Roman" w:hAnsi="Century Gothic" w:cs="Times New Roman"/>
          <w:sz w:val="22"/>
          <w:szCs w:val="22"/>
          <w:lang w:val="es-ES" w:eastAsia="es-ES"/>
        </w:rPr>
        <w:t xml:space="preserve"> de colaboración con entidades financieras para facilitar el acceso a la compra de vivienda en e</w:t>
      </w:r>
      <w:r w:rsidR="00086A7C">
        <w:rPr>
          <w:rFonts w:ascii="Century Gothic" w:eastAsia="Times New Roman" w:hAnsi="Century Gothic" w:cs="Times New Roman"/>
          <w:sz w:val="22"/>
          <w:szCs w:val="22"/>
          <w:lang w:val="es-ES" w:eastAsia="es-ES"/>
        </w:rPr>
        <w:t>l</w:t>
      </w:r>
      <w:r>
        <w:rPr>
          <w:rFonts w:ascii="Century Gothic" w:eastAsia="Times New Roman" w:hAnsi="Century Gothic" w:cs="Times New Roman"/>
          <w:sz w:val="22"/>
          <w:szCs w:val="22"/>
          <w:lang w:val="es-ES" w:eastAsia="es-ES"/>
        </w:rPr>
        <w:t xml:space="preserve"> </w:t>
      </w:r>
      <w:r w:rsidR="00086A7C">
        <w:rPr>
          <w:rFonts w:ascii="Century Gothic" w:eastAsia="Times New Roman" w:hAnsi="Century Gothic" w:cs="Times New Roman"/>
          <w:sz w:val="22"/>
          <w:szCs w:val="22"/>
          <w:lang w:val="es-ES" w:eastAsia="es-ES"/>
        </w:rPr>
        <w:t>m</w:t>
      </w:r>
      <w:r>
        <w:rPr>
          <w:rFonts w:ascii="Century Gothic" w:eastAsia="Times New Roman" w:hAnsi="Century Gothic" w:cs="Times New Roman"/>
          <w:sz w:val="22"/>
          <w:szCs w:val="22"/>
          <w:lang w:val="es-ES" w:eastAsia="es-ES"/>
        </w:rPr>
        <w:t>ercado privado, brindando apoyo y acompañamiento a las familias en la gestión del proceso</w:t>
      </w:r>
      <w:r w:rsidR="00086A7C">
        <w:rPr>
          <w:rFonts w:ascii="Century Gothic" w:eastAsia="Times New Roman" w:hAnsi="Century Gothic" w:cs="Times New Roman"/>
          <w:sz w:val="22"/>
          <w:szCs w:val="22"/>
          <w:lang w:val="es-ES" w:eastAsia="es-ES"/>
        </w:rPr>
        <w:t>.</w:t>
      </w:r>
    </w:p>
    <w:p w14:paraId="70F04AE7" w14:textId="61AC6E38" w:rsidR="00086A7C" w:rsidRPr="00115025" w:rsidRDefault="00086A7C"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Asistir en la redacción y presentación de solicitudes de viviendas.</w:t>
      </w:r>
    </w:p>
    <w:p w14:paraId="42BCA70B" w14:textId="77777777" w:rsidR="00EE2838" w:rsidRPr="00115025" w:rsidRDefault="00EE2838" w:rsidP="00234F88">
      <w:pPr>
        <w:widowControl/>
        <w:autoSpaceDN/>
        <w:spacing w:line="288" w:lineRule="auto"/>
        <w:ind w:left="720"/>
        <w:jc w:val="both"/>
        <w:textAlignment w:val="auto"/>
        <w:rPr>
          <w:rFonts w:ascii="Century Gothic" w:eastAsia="Times New Roman" w:hAnsi="Century Gothic" w:cs="Times New Roman"/>
          <w:sz w:val="22"/>
          <w:szCs w:val="22"/>
          <w:lang w:val="es-ES" w:eastAsia="es-ES"/>
        </w:rPr>
      </w:pPr>
    </w:p>
    <w:p w14:paraId="5DA909FD" w14:textId="3E0309FA" w:rsidR="00EE2838" w:rsidRPr="00426466" w:rsidRDefault="00EE2838" w:rsidP="00234F88">
      <w:pPr>
        <w:widowControl/>
        <w:autoSpaceDN/>
        <w:spacing w:line="288" w:lineRule="auto"/>
        <w:jc w:val="both"/>
        <w:textAlignment w:val="auto"/>
        <w:rPr>
          <w:rFonts w:ascii="Century Gothic" w:eastAsia="NSimSun" w:hAnsi="Century Gothic" w:cs="Arial"/>
          <w:kern w:val="3"/>
          <w:sz w:val="22"/>
          <w:szCs w:val="22"/>
          <w:lang w:val="es-ES" w:eastAsia="zh-CN" w:bidi="hi-IN"/>
        </w:rPr>
      </w:pPr>
      <w:bookmarkStart w:id="4" w:name="_Hlk177646072"/>
      <w:r w:rsidRPr="00426466">
        <w:rPr>
          <w:rFonts w:ascii="Century Gothic" w:eastAsia="NSimSun" w:hAnsi="Century Gothic" w:cs="Arial"/>
          <w:sz w:val="22"/>
          <w:szCs w:val="22"/>
          <w:lang w:val="es-ES" w:eastAsia="zh-CN"/>
        </w:rPr>
        <w:t>Las referidas actuaciones carecen de contenido contractual</w:t>
      </w:r>
      <w:r w:rsidR="00426466">
        <w:rPr>
          <w:rFonts w:ascii="Century Gothic" w:eastAsia="NSimSun" w:hAnsi="Century Gothic" w:cs="Arial"/>
          <w:sz w:val="22"/>
          <w:szCs w:val="22"/>
          <w:lang w:val="es-ES" w:eastAsia="zh-CN"/>
        </w:rPr>
        <w:t>,</w:t>
      </w:r>
      <w:r w:rsidRPr="00426466">
        <w:rPr>
          <w:rFonts w:ascii="Century Gothic" w:eastAsia="NSimSun" w:hAnsi="Century Gothic" w:cs="Arial"/>
          <w:sz w:val="22"/>
          <w:szCs w:val="22"/>
          <w:lang w:val="es-ES" w:eastAsia="zh-CN"/>
        </w:rPr>
        <w:t xml:space="preserve"> no siendo susceptibles de considerarse objeto de servicios de carácter intelectual </w:t>
      </w:r>
      <w:r w:rsidR="00426466">
        <w:rPr>
          <w:rFonts w:ascii="Century Gothic" w:eastAsia="NSimSun" w:hAnsi="Century Gothic" w:cs="Arial"/>
          <w:sz w:val="22"/>
          <w:szCs w:val="22"/>
          <w:lang w:val="es-ES" w:eastAsia="zh-CN"/>
        </w:rPr>
        <w:t>requeridos</w:t>
      </w:r>
      <w:r w:rsidRPr="00426466">
        <w:rPr>
          <w:rFonts w:ascii="Century Gothic" w:eastAsia="NSimSun" w:hAnsi="Century Gothic" w:cs="Arial"/>
          <w:sz w:val="22"/>
          <w:szCs w:val="22"/>
          <w:lang w:val="es-ES" w:eastAsia="zh-CN"/>
        </w:rPr>
        <w:t xml:space="preserve"> por la Generalitat Valenciana, ya que la elaboración de </w:t>
      </w:r>
      <w:r w:rsidR="00FE46AD">
        <w:rPr>
          <w:rFonts w:ascii="Century Gothic" w:eastAsia="NSimSun" w:hAnsi="Century Gothic" w:cs="Arial"/>
          <w:sz w:val="22"/>
          <w:szCs w:val="22"/>
          <w:lang w:val="es-ES" w:eastAsia="zh-CN"/>
        </w:rPr>
        <w:t xml:space="preserve">los </w:t>
      </w:r>
      <w:r w:rsidRPr="00426466">
        <w:rPr>
          <w:rFonts w:ascii="Century Gothic" w:eastAsia="NSimSun" w:hAnsi="Century Gothic" w:cs="Arial"/>
          <w:sz w:val="22"/>
          <w:szCs w:val="22"/>
          <w:lang w:val="es-ES" w:eastAsia="zh-CN"/>
        </w:rPr>
        <w:t xml:space="preserve">estudios </w:t>
      </w:r>
      <w:r w:rsidR="00426466">
        <w:rPr>
          <w:rFonts w:ascii="Century Gothic" w:eastAsia="NSimSun" w:hAnsi="Century Gothic" w:cs="Arial"/>
          <w:sz w:val="22"/>
          <w:szCs w:val="22"/>
          <w:lang w:val="es-ES" w:eastAsia="zh-CN"/>
        </w:rPr>
        <w:t>e</w:t>
      </w:r>
      <w:r w:rsidRPr="00426466">
        <w:rPr>
          <w:rFonts w:ascii="Century Gothic" w:eastAsia="NSimSun" w:hAnsi="Century Gothic" w:cs="Arial"/>
          <w:sz w:val="22"/>
          <w:szCs w:val="22"/>
          <w:lang w:val="es-ES" w:eastAsia="zh-CN"/>
        </w:rPr>
        <w:t xml:space="preserve"> informes referidos</w:t>
      </w:r>
      <w:r w:rsidR="00426466">
        <w:rPr>
          <w:rFonts w:ascii="Century Gothic" w:eastAsia="NSimSun" w:hAnsi="Century Gothic" w:cs="Arial"/>
          <w:sz w:val="22"/>
          <w:szCs w:val="22"/>
          <w:lang w:val="es-ES" w:eastAsia="zh-CN"/>
        </w:rPr>
        <w:t>, así como las labores de asesoramiento y campañas informativas</w:t>
      </w:r>
      <w:r w:rsidRPr="00426466">
        <w:rPr>
          <w:rFonts w:ascii="Century Gothic" w:eastAsia="NSimSun" w:hAnsi="Century Gothic" w:cs="Arial"/>
          <w:sz w:val="22"/>
          <w:szCs w:val="22"/>
          <w:lang w:val="es-ES" w:eastAsia="zh-CN"/>
        </w:rPr>
        <w:t xml:space="preserve"> se realizan por la Federación Autonómica de Asociaciones Gitanas de la Comunitat Valenciana </w:t>
      </w:r>
      <w:r w:rsidR="00426466" w:rsidRPr="00426466">
        <w:rPr>
          <w:rFonts w:ascii="Century Gothic" w:eastAsia="NSimSun" w:hAnsi="Century Gothic" w:cs="Arial"/>
          <w:sz w:val="22"/>
          <w:szCs w:val="22"/>
          <w:lang w:val="es-ES" w:eastAsia="zh-CN"/>
        </w:rPr>
        <w:t xml:space="preserve">con carácter </w:t>
      </w:r>
      <w:r w:rsidRPr="00426466">
        <w:rPr>
          <w:rFonts w:ascii="Century Gothic" w:eastAsia="NSimSun" w:hAnsi="Century Gothic" w:cs="Arial"/>
          <w:sz w:val="22"/>
          <w:szCs w:val="22"/>
          <w:lang w:val="es-ES" w:eastAsia="zh-CN"/>
        </w:rPr>
        <w:t>voluntari</w:t>
      </w:r>
      <w:r w:rsidR="00426466" w:rsidRPr="00426466">
        <w:rPr>
          <w:rFonts w:ascii="Century Gothic" w:eastAsia="NSimSun" w:hAnsi="Century Gothic" w:cs="Arial"/>
          <w:sz w:val="22"/>
          <w:szCs w:val="22"/>
          <w:lang w:val="es-ES" w:eastAsia="zh-CN"/>
        </w:rPr>
        <w:t>o</w:t>
      </w:r>
      <w:r w:rsidR="00426466">
        <w:rPr>
          <w:rFonts w:ascii="Century Gothic" w:eastAsia="NSimSun" w:hAnsi="Century Gothic" w:cs="Arial"/>
          <w:sz w:val="22"/>
          <w:szCs w:val="22"/>
          <w:lang w:val="es-ES" w:eastAsia="zh-CN"/>
        </w:rPr>
        <w:t>, sin que obedezcan, en ningún caso, a un encargo concreto de la Generalitat Valenciana.</w:t>
      </w:r>
    </w:p>
    <w:bookmarkEnd w:id="4"/>
    <w:p w14:paraId="5C9866B5" w14:textId="13EFC904" w:rsidR="00EE2838" w:rsidRPr="00DC78D1" w:rsidRDefault="00EE2838" w:rsidP="00234F88">
      <w:pPr>
        <w:widowControl/>
        <w:autoSpaceDN/>
        <w:spacing w:line="288" w:lineRule="auto"/>
        <w:ind w:left="720"/>
        <w:jc w:val="both"/>
        <w:textAlignment w:val="auto"/>
        <w:rPr>
          <w:rFonts w:ascii="Times New Roman" w:eastAsia="Times New Roman" w:hAnsi="Times New Roman" w:cs="Times New Roman"/>
          <w:lang w:val="es-ES" w:eastAsia="es-ES"/>
        </w:rPr>
      </w:pPr>
    </w:p>
    <w:p w14:paraId="137C337B"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Quinta. Compatibilidad e Incompatibilidad con otras subvenciones ayudas, ingresos o recursos para la misma finalidad</w:t>
      </w:r>
    </w:p>
    <w:p w14:paraId="1ECFB91F" w14:textId="4EAB353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 subvención concedida será compatible con otras subvenciones, ingresos o recursos para la misma finalidad, procedentes de cualquiera otra administraci</w:t>
      </w:r>
      <w:r w:rsidR="00AE4574">
        <w:rPr>
          <w:rFonts w:ascii="Century Gothic" w:eastAsia="Times New Roman" w:hAnsi="Century Gothic" w:cs="Times New Roman"/>
          <w:color w:val="000000"/>
          <w:sz w:val="22"/>
          <w:szCs w:val="22"/>
          <w:lang w:val="es-ES" w:eastAsia="es-ES"/>
        </w:rPr>
        <w:t>ón</w:t>
      </w:r>
      <w:r w:rsidRPr="00DC78D1">
        <w:rPr>
          <w:rFonts w:ascii="Century Gothic" w:eastAsia="Times New Roman" w:hAnsi="Century Gothic" w:cs="Times New Roman"/>
          <w:color w:val="000000"/>
          <w:sz w:val="22"/>
          <w:szCs w:val="22"/>
          <w:lang w:val="es-ES" w:eastAsia="es-ES"/>
        </w:rPr>
        <w:t xml:space="preserve"> o ente </w:t>
      </w:r>
      <w:r w:rsidR="00AE4574">
        <w:rPr>
          <w:rFonts w:ascii="Century Gothic" w:eastAsia="Times New Roman" w:hAnsi="Century Gothic" w:cs="Times New Roman"/>
          <w:color w:val="000000"/>
          <w:sz w:val="22"/>
          <w:szCs w:val="22"/>
          <w:lang w:val="es-ES" w:eastAsia="es-ES"/>
        </w:rPr>
        <w:t>p</w:t>
      </w:r>
      <w:r w:rsidRPr="00DC78D1">
        <w:rPr>
          <w:rFonts w:ascii="Century Gothic" w:eastAsia="Times New Roman" w:hAnsi="Century Gothic" w:cs="Times New Roman"/>
          <w:color w:val="000000"/>
          <w:sz w:val="22"/>
          <w:szCs w:val="22"/>
          <w:lang w:val="es-ES" w:eastAsia="es-ES"/>
        </w:rPr>
        <w:t>úblico o privado, nacional,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subvencionada.</w:t>
      </w:r>
    </w:p>
    <w:p w14:paraId="19F0BDC7"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bookmarkStart w:id="5" w:name="_Toc276710400"/>
      <w:bookmarkStart w:id="6" w:name="_Toc278537533"/>
      <w:bookmarkStart w:id="7" w:name="_Toc276710399"/>
      <w:bookmarkStart w:id="8" w:name="_Toc278537532"/>
      <w:bookmarkEnd w:id="5"/>
      <w:bookmarkEnd w:id="6"/>
      <w:bookmarkEnd w:id="7"/>
      <w:bookmarkEnd w:id="8"/>
      <w:r w:rsidRPr="00DC78D1">
        <w:rPr>
          <w:rFonts w:ascii="Century Gothic" w:eastAsia="Times New Roman" w:hAnsi="Century Gothic" w:cs="Times New Roman"/>
          <w:b/>
          <w:bCs/>
          <w:color w:val="000000"/>
          <w:sz w:val="22"/>
          <w:szCs w:val="22"/>
          <w:lang w:val="es-ES" w:eastAsia="es-ES"/>
        </w:rPr>
        <w:t>Sexta. Gastos subvencionables.</w:t>
      </w:r>
    </w:p>
    <w:p w14:paraId="43AD4C97" w14:textId="551FA8D0"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1. Se considerarán gastos subvencionables, aquellos </w:t>
      </w:r>
      <w:r w:rsidR="002F6D68" w:rsidRPr="00DC78D1">
        <w:rPr>
          <w:rFonts w:ascii="Century Gothic" w:eastAsia="Times New Roman" w:hAnsi="Century Gothic" w:cs="Times New Roman"/>
          <w:color w:val="000000"/>
          <w:sz w:val="22"/>
          <w:szCs w:val="22"/>
          <w:lang w:val="es-ES" w:eastAsia="es-ES"/>
        </w:rPr>
        <w:t>que,</w:t>
      </w:r>
      <w:r w:rsidRPr="00DC78D1">
        <w:rPr>
          <w:rFonts w:ascii="Century Gothic" w:eastAsia="Times New Roman" w:hAnsi="Century Gothic" w:cs="Times New Roman"/>
          <w:color w:val="000000"/>
          <w:sz w:val="22"/>
          <w:szCs w:val="22"/>
          <w:lang w:val="es-ES" w:eastAsia="es-ES"/>
        </w:rPr>
        <w:t xml:space="preserve"> siendo correctamente justificados de conformidad con la normativa en vigor, s</w:t>
      </w:r>
      <w:r w:rsidR="002F6D68">
        <w:rPr>
          <w:rFonts w:ascii="Century Gothic" w:eastAsia="Times New Roman" w:hAnsi="Century Gothic" w:cs="Times New Roman"/>
          <w:color w:val="000000"/>
          <w:sz w:val="22"/>
          <w:szCs w:val="22"/>
          <w:lang w:val="es-ES" w:eastAsia="es-ES"/>
        </w:rPr>
        <w:t>ea</w:t>
      </w:r>
      <w:r w:rsidRPr="00DC78D1">
        <w:rPr>
          <w:rFonts w:ascii="Century Gothic" w:eastAsia="Times New Roman" w:hAnsi="Century Gothic" w:cs="Times New Roman"/>
          <w:color w:val="000000"/>
          <w:sz w:val="22"/>
          <w:szCs w:val="22"/>
          <w:lang w:val="es-ES" w:eastAsia="es-ES"/>
        </w:rPr>
        <w:t>n necesarios y respond</w:t>
      </w:r>
      <w:r w:rsidR="002F6D68">
        <w:rPr>
          <w:rFonts w:ascii="Century Gothic" w:eastAsia="Times New Roman" w:hAnsi="Century Gothic" w:cs="Times New Roman"/>
          <w:color w:val="000000"/>
          <w:sz w:val="22"/>
          <w:szCs w:val="22"/>
          <w:lang w:val="es-ES" w:eastAsia="es-ES"/>
        </w:rPr>
        <w:t>a</w:t>
      </w:r>
      <w:r w:rsidRPr="00DC78D1">
        <w:rPr>
          <w:rFonts w:ascii="Century Gothic" w:eastAsia="Times New Roman" w:hAnsi="Century Gothic" w:cs="Times New Roman"/>
          <w:color w:val="000000"/>
          <w:sz w:val="22"/>
          <w:szCs w:val="22"/>
          <w:lang w:val="es-ES" w:eastAsia="es-ES"/>
        </w:rPr>
        <w:t xml:space="preserve">n de manera </w:t>
      </w:r>
      <w:r w:rsidR="00E45BD3">
        <w:rPr>
          <w:rFonts w:ascii="Century Gothic" w:eastAsia="Times New Roman" w:hAnsi="Century Gothic" w:cs="Times New Roman"/>
          <w:color w:val="000000"/>
          <w:sz w:val="22"/>
          <w:szCs w:val="22"/>
          <w:lang w:val="es-ES" w:eastAsia="es-ES"/>
        </w:rPr>
        <w:t xml:space="preserve">no </w:t>
      </w:r>
      <w:r w:rsidRPr="00DC78D1">
        <w:rPr>
          <w:rFonts w:ascii="Century Gothic" w:eastAsia="Times New Roman" w:hAnsi="Century Gothic" w:cs="Times New Roman"/>
          <w:color w:val="000000"/>
          <w:sz w:val="22"/>
          <w:szCs w:val="22"/>
          <w:lang w:val="es-ES" w:eastAsia="es-ES"/>
        </w:rPr>
        <w:lastRenderedPageBreak/>
        <w:t>dubitativa a la naturaleza y al normal desarrollo del proyecto o actividad. En ningún caso el coste de estos gastos podrá ser superior al valor de mercado. El mantenimiento incluye la financiación de los gastos corrientes, derivados de los locales en los que se ubiquen las estructuras de FAGA necesarias para el cumplimiento de los objetivos del convenio como son, entre otros, los siguientes:</w:t>
      </w:r>
    </w:p>
    <w:p w14:paraId="03C9570A"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 El arrendamiento de bienes inmuebles y bienes muebles (equipos informáticos, fotocopiadoras o similares); gastos de suministros (energía, agua, gas, y combustibles); material de oficina; primas de seguros, y gastos de comunicación; así como los gastos derivados de la realización de obras de reparación, adecuación, mantenimiento y conservación en los bienes inmuebles adquiridos, arrendados o cedidos para el ejercicio de las actividades conveniadas, que no tengan el concepto de inventariables por no implicar incremento del valor patrimonial de dichos bienes</w:t>
      </w:r>
    </w:p>
    <w:p w14:paraId="5E1CBE26" w14:textId="6363AFD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b) El funcionamiento incluye los gastos derivados de las actividades necesarias para la realización de los objetivos del convenio y comprende gastos de representación, gastos derivados de la planificación, elaboración de estudios, información, orientación, coordinación y asesoramiento dirigidos a sus entidades asociadas; gastos de implantación de sistemas de evaluación y de control de calidad; gastos de manutención, alojamiento y transporte de personas participantes en las actividades conveniadas, gastos de edición de publicaciones, folletos y carteles así como aquellos derivados de actividades de sensibilización social, gastos de personal, por jornada real de trabajo para los correspondientes grupos profesionales; gastos por contratación de servicios profesionales (asesoría contable, jurídica, laboral, financiera, de comunicación, limpieza, informática y auditoría externa e informe de auditor de la justificación del gasto</w:t>
      </w:r>
      <w:r w:rsidR="00770834">
        <w:rPr>
          <w:rFonts w:ascii="Century Gothic" w:eastAsia="Times New Roman" w:hAnsi="Century Gothic" w:cs="Times New Roman"/>
          <w:color w:val="000000"/>
          <w:sz w:val="22"/>
          <w:szCs w:val="22"/>
          <w:lang w:val="es-ES" w:eastAsia="es-ES"/>
        </w:rPr>
        <w:t>)</w:t>
      </w:r>
      <w:r w:rsidRPr="00DC78D1">
        <w:rPr>
          <w:rFonts w:ascii="Century Gothic" w:eastAsia="Times New Roman" w:hAnsi="Century Gothic" w:cs="Times New Roman"/>
          <w:color w:val="000000"/>
          <w:sz w:val="22"/>
          <w:szCs w:val="22"/>
          <w:lang w:val="es-ES" w:eastAsia="es-ES"/>
        </w:rPr>
        <w:t xml:space="preserve">. </w:t>
      </w:r>
    </w:p>
    <w:p w14:paraId="10EAF226"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2. En ningún caso serán subvencionables: </w:t>
      </w:r>
    </w:p>
    <w:p w14:paraId="205866F6"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a) Los gastos de amortización de bienes inventariables. </w:t>
      </w:r>
    </w:p>
    <w:p w14:paraId="7A72A5F5"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b) Los intereses deudores de las cuentas bancarias; intereses, recargos y sanciones administrativas y penales; los gastos de procedimientos judiciales, previstos en el artículo 31.7 a), b), c) de la Ley 38/2003, de 17 de noviembre, General de Subvenciones. </w:t>
      </w:r>
    </w:p>
    <w:p w14:paraId="1B55A9DB"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c) La adquisición de bienes que incrementen el patrimonio.</w:t>
      </w:r>
    </w:p>
    <w:p w14:paraId="0BDFB8F5" w14:textId="7777777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3. Los gastos subvencionables están sometidos a las siguientes limitaciones: Las retribuciones del personal laboral imputables a la subvención estarán limitadas por las cuantías recogidas para los diferentes Grupos Profesionales establecidos en el Convenio Colectivo Único para el personal laboral de la Administración de la Generalitat.</w:t>
      </w:r>
    </w:p>
    <w:p w14:paraId="60312B31" w14:textId="77777777" w:rsidR="00770834" w:rsidRDefault="00770834"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p>
    <w:p w14:paraId="7747566C" w14:textId="77777777" w:rsidR="00770834" w:rsidRPr="00DC78D1" w:rsidRDefault="00770834"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p>
    <w:p w14:paraId="162EC74A" w14:textId="77777777" w:rsidR="00DC78D1" w:rsidRDefault="00DC78D1" w:rsidP="00164B9C">
      <w:pPr>
        <w:widowControl/>
        <w:autoSpaceDN/>
        <w:spacing w:before="100" w:beforeAutospacing="1" w:after="240" w:line="288" w:lineRule="auto"/>
        <w:textAlignment w:val="auto"/>
        <w:rPr>
          <w:rFonts w:ascii="Century Gothic" w:eastAsia="Times New Roman" w:hAnsi="Century Gothic" w:cs="Times New Roman"/>
          <w:b/>
          <w:bCs/>
          <w:color w:val="000000"/>
          <w:sz w:val="22"/>
          <w:szCs w:val="22"/>
          <w:lang w:val="es-ES" w:eastAsia="es-ES"/>
        </w:rPr>
      </w:pPr>
      <w:r w:rsidRPr="00DC78D1">
        <w:rPr>
          <w:rFonts w:ascii="Century Gothic" w:eastAsia="Times New Roman" w:hAnsi="Century Gothic" w:cs="Times New Roman"/>
          <w:b/>
          <w:bCs/>
          <w:color w:val="000000"/>
          <w:sz w:val="22"/>
          <w:szCs w:val="22"/>
          <w:lang w:val="es-ES" w:eastAsia="es-ES"/>
        </w:rPr>
        <w:t>Séptima. Pago de la subvención</w:t>
      </w:r>
    </w:p>
    <w:p w14:paraId="444B7DB7" w14:textId="7A67C03E" w:rsidR="00164B9C" w:rsidRPr="00164B9C" w:rsidRDefault="00164B9C" w:rsidP="00164B9C">
      <w:pPr>
        <w:pStyle w:val="Textoindependiente"/>
        <w:suppressAutoHyphens/>
        <w:spacing w:before="2"/>
        <w:jc w:val="both"/>
        <w:rPr>
          <w:rFonts w:ascii="Century Gothic" w:hAnsi="Century Gothic" w:cs="Arial"/>
          <w:sz w:val="22"/>
          <w:szCs w:val="22"/>
          <w:lang w:val="es-ES"/>
        </w:rPr>
      </w:pPr>
      <w:r w:rsidRPr="00164B9C">
        <w:rPr>
          <w:rFonts w:ascii="Century Gothic" w:hAnsi="Century Gothic" w:cs="Arial"/>
          <w:sz w:val="22"/>
          <w:szCs w:val="22"/>
          <w:lang w:val="es-ES"/>
        </w:rPr>
        <w:t xml:space="preserve">A la firma de este convenio, se anticipará a </w:t>
      </w:r>
      <w:r>
        <w:rPr>
          <w:rFonts w:ascii="Century Gothic" w:hAnsi="Century Gothic" w:cs="Arial"/>
          <w:sz w:val="22"/>
          <w:szCs w:val="22"/>
          <w:lang w:val="es-ES"/>
        </w:rPr>
        <w:t>FAGA</w:t>
      </w:r>
      <w:r w:rsidRPr="00164B9C">
        <w:rPr>
          <w:rFonts w:ascii="Century Gothic" w:hAnsi="Century Gothic" w:cs="Arial"/>
          <w:sz w:val="22"/>
          <w:szCs w:val="22"/>
          <w:lang w:val="es-ES"/>
        </w:rPr>
        <w:t>, el treinta por ciento (30%) de la cantidad subvencionada para la realización de las acciones vinculadas a este convenio, de conformidad con la previsión establecida en el artículo 171.3.a) de la Ley 1/2015, de 6 de febrero, de la Generalitat, de Hacienda Pública, del Sector Público Instrumental y de Subvenciones de la Comunidad Valenciana.</w:t>
      </w:r>
    </w:p>
    <w:p w14:paraId="1F22BB29" w14:textId="77777777" w:rsidR="00164B9C" w:rsidRPr="00164B9C" w:rsidRDefault="00164B9C" w:rsidP="00164B9C">
      <w:pPr>
        <w:pStyle w:val="Textoindependiente"/>
        <w:suppressAutoHyphens/>
        <w:spacing w:before="2"/>
        <w:jc w:val="both"/>
        <w:rPr>
          <w:rFonts w:ascii="Century Gothic" w:hAnsi="Century Gothic" w:cs="Arial"/>
          <w:sz w:val="22"/>
          <w:szCs w:val="22"/>
          <w:lang w:val="es-ES"/>
        </w:rPr>
      </w:pPr>
      <w:r w:rsidRPr="00164B9C">
        <w:rPr>
          <w:rFonts w:ascii="Century Gothic" w:hAnsi="Century Gothic" w:cs="Arial"/>
          <w:sz w:val="22"/>
          <w:szCs w:val="22"/>
          <w:lang w:val="es-ES"/>
        </w:rPr>
        <w:t xml:space="preserve"> </w:t>
      </w:r>
    </w:p>
    <w:p w14:paraId="1272DA08" w14:textId="77777777" w:rsidR="00164B9C" w:rsidRPr="00164B9C" w:rsidRDefault="00164B9C" w:rsidP="00164B9C">
      <w:pPr>
        <w:pStyle w:val="Textoindependiente"/>
        <w:suppressAutoHyphens/>
        <w:spacing w:before="2"/>
        <w:jc w:val="both"/>
        <w:rPr>
          <w:rFonts w:ascii="Century Gothic" w:hAnsi="Century Gothic" w:cs="Arial"/>
          <w:sz w:val="22"/>
          <w:szCs w:val="22"/>
          <w:lang w:val="es-ES"/>
        </w:rPr>
      </w:pPr>
      <w:r w:rsidRPr="00164B9C">
        <w:rPr>
          <w:rFonts w:ascii="Century Gothic" w:hAnsi="Century Gothic" w:cs="Arial"/>
          <w:sz w:val="22"/>
          <w:szCs w:val="22"/>
          <w:lang w:val="es-ES"/>
        </w:rPr>
        <w:t>El pago de la subvención concedida se efectuará después de la comprobación de los justificantes aportados por la entidad beneficiaria y después del certificado previo, expedido por la persona titular de la dirección general de vivienda, de comprobación y aprobación de los justificantes, y también de la acreditación del cumplimiento de las finalidades que justifican la concesión de la subvención.</w:t>
      </w:r>
    </w:p>
    <w:p w14:paraId="5B2318FB" w14:textId="77777777" w:rsidR="00164B9C" w:rsidRPr="00164B9C" w:rsidRDefault="00164B9C" w:rsidP="00164B9C">
      <w:pPr>
        <w:pStyle w:val="Textoindependiente"/>
        <w:spacing w:before="2"/>
        <w:jc w:val="both"/>
        <w:rPr>
          <w:rFonts w:ascii="Century Gothic" w:hAnsi="Century Gothic" w:cs="Arial"/>
          <w:sz w:val="22"/>
          <w:szCs w:val="22"/>
          <w:lang w:val="es-ES"/>
        </w:rPr>
      </w:pPr>
    </w:p>
    <w:p w14:paraId="3F1B46AF"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Octava. Régimen de garantías</w:t>
      </w:r>
    </w:p>
    <w:p w14:paraId="14737414" w14:textId="7777777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No será exigible la prestación de garantía por parte de la persona beneficiaria de acuerdo con lo dispuesto en el artículo 171.5.f) de la ley 1/2015, de 6 de febrero, por tratarse de una entidad sin ánimo de lucro cuya actividad se encuentra vinculada al desarrollo de proyectos de acción social y no apreciarse riesgo de que incumpla las obligaciones asumidas en virtud de este convenio.</w:t>
      </w:r>
    </w:p>
    <w:p w14:paraId="1E30CA91" w14:textId="29BB6074"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Novena. Plazo y Forma de justificación</w:t>
      </w:r>
    </w:p>
    <w:p w14:paraId="1DE034AA" w14:textId="77777777" w:rsidR="005675AF" w:rsidRDefault="005675AF" w:rsidP="005675AF">
      <w:pPr>
        <w:pStyle w:val="Textoindependiente"/>
        <w:jc w:val="both"/>
        <w:rPr>
          <w:rFonts w:ascii="Arial" w:hAnsi="Arial" w:cs="Arial"/>
          <w:sz w:val="24"/>
          <w:szCs w:val="24"/>
          <w:lang w:val="es-ES"/>
        </w:rPr>
      </w:pPr>
    </w:p>
    <w:p w14:paraId="069E754A" w14:textId="77777777" w:rsidR="005675AF" w:rsidRPr="005675AF" w:rsidRDefault="005675AF" w:rsidP="005675AF">
      <w:pPr>
        <w:pStyle w:val="Textoindependiente"/>
        <w:jc w:val="both"/>
        <w:rPr>
          <w:rFonts w:ascii="Century Gothic" w:hAnsi="Century Gothic" w:cs="Arial"/>
          <w:sz w:val="22"/>
          <w:szCs w:val="22"/>
          <w:lang w:val="es-ES"/>
        </w:rPr>
      </w:pPr>
      <w:r w:rsidRPr="005675AF">
        <w:rPr>
          <w:rFonts w:ascii="Century Gothic" w:hAnsi="Century Gothic" w:cs="Arial"/>
          <w:sz w:val="22"/>
          <w:szCs w:val="22"/>
          <w:lang w:val="es-ES"/>
        </w:rPr>
        <w:t>La justificación de la subvención por FAGA revestirá la forma de cuenta justificativa del gasto realizado y adoptará la modalidad de aportación de justificantes del gasto que contendrá los siguientes documentos:</w:t>
      </w:r>
    </w:p>
    <w:p w14:paraId="67FD41B8" w14:textId="77777777"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 Memoria explicativa y detallada, suscrita por la entidad beneficiaria o su representante legal, indicativa de la actividad desarrollada, del cumplimiento de las condiciones impuestas y de los resultados obtenidos. Se acompañará certificación expedida por el representante legal de la entidad acreditativa de la realización de las actividad</w:t>
      </w:r>
      <w:r>
        <w:rPr>
          <w:rFonts w:ascii="Century Gothic" w:eastAsia="Times New Roman" w:hAnsi="Century Gothic" w:cs="Times New Roman"/>
          <w:color w:val="000000"/>
          <w:sz w:val="22"/>
          <w:szCs w:val="22"/>
          <w:lang w:val="es-ES" w:eastAsia="es-ES"/>
        </w:rPr>
        <w:t>es</w:t>
      </w:r>
      <w:r w:rsidRPr="00DC78D1">
        <w:rPr>
          <w:rFonts w:ascii="Century Gothic" w:eastAsia="Times New Roman" w:hAnsi="Century Gothic" w:cs="Times New Roman"/>
          <w:color w:val="000000"/>
          <w:sz w:val="22"/>
          <w:szCs w:val="22"/>
          <w:lang w:val="es-ES" w:eastAsia="es-ES"/>
        </w:rPr>
        <w:t xml:space="preserve"> y de las obligaciones reconocidas.</w:t>
      </w:r>
    </w:p>
    <w:p w14:paraId="79CF0B54" w14:textId="77777777"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b) Relación suscrita por la entidad beneficiaria o su representante legal expresiva de los gastos debidamente desglosados y detallados en una relación, que revestirá la forma de cuenta justificativa en la que cada factura y su correspondiente justificante de pago se identificarán con el mismo número de orden, y a la que se adjuntarán los originales o copias </w:t>
      </w:r>
      <w:r w:rsidRPr="00DC78D1">
        <w:rPr>
          <w:rFonts w:ascii="Century Gothic" w:eastAsia="Times New Roman" w:hAnsi="Century Gothic" w:cs="Times New Roman"/>
          <w:color w:val="000000"/>
          <w:sz w:val="22"/>
          <w:szCs w:val="22"/>
          <w:lang w:val="es-ES" w:eastAsia="es-ES"/>
        </w:rPr>
        <w:lastRenderedPageBreak/>
        <w:t xml:space="preserve">compulsadas de las facturas, expedidas a nombre de la entidad, donde deberá constar el lugar y la fecha de expedición, n.º de factura, descripción detallada, cantidad y precio unitario, desglosando el IVA, nombre o razón social del expedidor, NIF o CIF de éste, así como los justificantes de haber sido abonadas, con validez jurídico-mercantil, acreditados mediante fotocopia de la transferencia o bien del extracto bancario donde figura el cargo del pago. Las facturas de pequeños importes que se hayan pagado en metálico deberán llevar acompañado el ticket de caja o un justificante de pago. La suma del importe de las facturas justificativas deberá ser de igual cantidad o superior al porcentaje justificado y, en todo caso, al final del ejercicio deberá haber justificado el importe total del presupuesto de gastos de la actividad subvencionada. </w:t>
      </w:r>
    </w:p>
    <w:p w14:paraId="16F28D67" w14:textId="77777777"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c) Declaración responsable de encontrarse al corriente en sus obligaciones tributarias y con la Seguridad Social y de que no tiene pendiente el pago de obligaciones por reintegro de subvenciones acompañada de certificaciones acreditativas de tales circunstancias emitidas por la Tesorería General de la Seguridad Social y la Hacienda competente, si no hubiere autorizado a esta administración a recabar por si tales datos de dichas administraciones públicas a través de las plataformas de interoperabilidad.</w:t>
      </w:r>
    </w:p>
    <w:p w14:paraId="722773DE" w14:textId="77777777" w:rsidR="005675AF" w:rsidRDefault="005675AF" w:rsidP="005675AF">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 xml:space="preserve">d) Declaración suscrita por la entidad beneficiaria, o su representante, relativa a la inexistencia de otras subvenciones o ayudas que hayan obtenido para la misma finalidad o, en su caso, mención expresa de los otros ingresos o ayudas que hayan financiado la actividad, con indicación de importe y procedencia, en su caso. </w:t>
      </w:r>
    </w:p>
    <w:p w14:paraId="1D5FDABA" w14:textId="77777777" w:rsidR="005675AF" w:rsidRDefault="005675AF" w:rsidP="005675AF">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 xml:space="preserve">La justificación se realizará conforme a lo previsto anteriormente, ante el órgano gestor, a través de la sede electrónica de la GVA, en la siguiente dirección: </w:t>
      </w:r>
      <w:hyperlink r:id="rId8" w:history="1">
        <w:r w:rsidRPr="00DC78D1">
          <w:rPr>
            <w:rFonts w:ascii="Century Gothic" w:eastAsia="Times New Roman" w:hAnsi="Century Gothic" w:cs="Times New Roman"/>
            <w:color w:val="000080"/>
            <w:sz w:val="22"/>
            <w:szCs w:val="22"/>
            <w:u w:val="single"/>
            <w:lang w:val="es-ES" w:eastAsia="es-ES"/>
          </w:rPr>
          <w:t>https://</w:t>
        </w:r>
      </w:hyperlink>
      <w:hyperlink r:id="rId9" w:history="1">
        <w:r w:rsidRPr="00DC78D1">
          <w:rPr>
            <w:rFonts w:ascii="Century Gothic" w:eastAsia="Times New Roman" w:hAnsi="Century Gothic" w:cs="Times New Roman"/>
            <w:color w:val="000080"/>
            <w:sz w:val="22"/>
            <w:szCs w:val="22"/>
            <w:u w:val="single"/>
            <w:lang w:val="es-ES" w:eastAsia="es-ES"/>
          </w:rPr>
          <w:t>www.gva.es</w:t>
        </w:r>
      </w:hyperlink>
      <w:r w:rsidRPr="00DC78D1">
        <w:rPr>
          <w:rFonts w:ascii="Century Gothic" w:eastAsia="Times New Roman" w:hAnsi="Century Gothic" w:cs="Times New Roman"/>
          <w:color w:val="000000"/>
          <w:sz w:val="22"/>
          <w:szCs w:val="22"/>
          <w:lang w:val="es-ES" w:eastAsia="es-ES"/>
        </w:rPr>
        <w:t>, de conformidad con lo dispuesto en el artículo 14 de la Ley 39/2015, de 1 de octubre, del Procedimiento Administrativo Común.</w:t>
      </w:r>
    </w:p>
    <w:p w14:paraId="0156CB6B" w14:textId="77777777" w:rsidR="005675AF" w:rsidRPr="00DC78D1" w:rsidRDefault="005675AF" w:rsidP="005675AF">
      <w:pPr>
        <w:widowControl/>
        <w:autoSpaceDN/>
        <w:spacing w:before="100" w:beforeAutospacing="1" w:line="312"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 tramitación telemática requerirá la presentación de solicitudes, escritos y comunicaciones ante el Registro electrónico, que estén firmados electrónicamente mediante una firma electrónica avanzada basada en un certificado reconocido, según lo dispuesto en la Ley 39/2015, de 1 de octubre, así como en el Decreto 220/2014, de 12 de diciembre , del Consell, por el que se aprueba el Reglamento de administración electrónica de la Comunidad Valenciana, emitido por la Agencia de Tecnología y Certificación Electrónica de la Comunitat Valenciana (ACCV). Asimismo, se podrá utilizar cualquier otro sistema de firma electrónica admitido por la sede electrónica de la Generalitat (sede.gva.es/es/sede_certificados).</w:t>
      </w:r>
    </w:p>
    <w:p w14:paraId="1B43B21E" w14:textId="77777777" w:rsidR="005675AF" w:rsidRPr="001651EB" w:rsidRDefault="005675AF" w:rsidP="005675AF">
      <w:pPr>
        <w:pStyle w:val="Textoindependiente"/>
        <w:jc w:val="both"/>
        <w:rPr>
          <w:rFonts w:ascii="Arial" w:hAnsi="Arial" w:cs="Arial"/>
          <w:sz w:val="24"/>
          <w:szCs w:val="24"/>
          <w:lang w:val="es-ES"/>
        </w:rPr>
      </w:pPr>
    </w:p>
    <w:p w14:paraId="0F14E9A4" w14:textId="77777777" w:rsidR="005675AF" w:rsidRPr="005675AF" w:rsidRDefault="005675AF" w:rsidP="005675AF">
      <w:pPr>
        <w:pStyle w:val="Textoindependiente"/>
        <w:jc w:val="both"/>
        <w:rPr>
          <w:rFonts w:ascii="Century Gothic" w:hAnsi="Century Gothic" w:cs="Arial"/>
          <w:sz w:val="22"/>
          <w:szCs w:val="22"/>
          <w:lang w:val="es-ES"/>
        </w:rPr>
      </w:pPr>
      <w:r w:rsidRPr="005675AF">
        <w:rPr>
          <w:rFonts w:ascii="Century Gothic" w:hAnsi="Century Gothic" w:cs="Arial"/>
          <w:sz w:val="22"/>
          <w:szCs w:val="22"/>
          <w:lang w:val="es-ES"/>
        </w:rPr>
        <w:t xml:space="preserve">Se establece como fecha tope de presentación de la documentación justificativa el 1 de diciembre de 2025. Se consideran subvencionables los gastos realizados desde el 1 de enero </w:t>
      </w:r>
      <w:r w:rsidRPr="005675AF">
        <w:rPr>
          <w:rFonts w:ascii="Century Gothic" w:hAnsi="Century Gothic" w:cs="Arial"/>
          <w:sz w:val="22"/>
          <w:szCs w:val="22"/>
          <w:lang w:val="es-ES"/>
        </w:rPr>
        <w:lastRenderedPageBreak/>
        <w:t>de 2025 hasta la fecha final de justificación.</w:t>
      </w:r>
    </w:p>
    <w:p w14:paraId="3053E9A8" w14:textId="77777777" w:rsidR="005675AF" w:rsidRPr="005675AF" w:rsidRDefault="005675AF" w:rsidP="005675AF">
      <w:pPr>
        <w:pStyle w:val="Textoindependiente"/>
        <w:jc w:val="both"/>
        <w:rPr>
          <w:rFonts w:ascii="Century Gothic" w:hAnsi="Century Gothic" w:cs="Arial"/>
          <w:sz w:val="22"/>
          <w:szCs w:val="22"/>
          <w:lang w:val="es-ES"/>
        </w:rPr>
      </w:pPr>
    </w:p>
    <w:p w14:paraId="1E37AAE6" w14:textId="77777777" w:rsidR="005675AF" w:rsidRPr="005675AF" w:rsidRDefault="005675AF" w:rsidP="005675AF">
      <w:pPr>
        <w:pStyle w:val="Textoindependiente"/>
        <w:jc w:val="both"/>
        <w:rPr>
          <w:rFonts w:ascii="Century Gothic" w:hAnsi="Century Gothic" w:cs="Arial"/>
          <w:sz w:val="22"/>
          <w:szCs w:val="22"/>
          <w:lang w:val="es-ES"/>
        </w:rPr>
      </w:pPr>
      <w:r w:rsidRPr="005675AF">
        <w:rPr>
          <w:rFonts w:ascii="Century Gothic" w:hAnsi="Century Gothic" w:cs="Arial"/>
          <w:sz w:val="22"/>
          <w:szCs w:val="22"/>
          <w:lang w:val="es-ES"/>
        </w:rPr>
        <w:t>La no presentación de la justificación del gasto en el plazo fijado dará lugar a la pérdida de la subvención y la revocación consiguiente. En la tramitación del procedimiento se tiene que garantizar en todo caso la audiencia de la entidad interesada.</w:t>
      </w:r>
    </w:p>
    <w:p w14:paraId="58A3FD5D" w14:textId="77777777" w:rsidR="005675AF" w:rsidRPr="005675AF" w:rsidRDefault="005675AF" w:rsidP="005675AF">
      <w:pPr>
        <w:pStyle w:val="Textoindependiente"/>
        <w:jc w:val="both"/>
        <w:rPr>
          <w:rFonts w:ascii="Century Gothic" w:hAnsi="Century Gothic" w:cs="Arial"/>
          <w:sz w:val="22"/>
          <w:szCs w:val="22"/>
          <w:lang w:val="es-ES"/>
        </w:rPr>
      </w:pPr>
    </w:p>
    <w:p w14:paraId="263BC163" w14:textId="77777777" w:rsidR="005675AF" w:rsidRPr="005675AF" w:rsidRDefault="005675AF" w:rsidP="005675AF">
      <w:pPr>
        <w:pStyle w:val="Textoindependiente"/>
        <w:jc w:val="both"/>
        <w:rPr>
          <w:rFonts w:ascii="Century Gothic" w:hAnsi="Century Gothic" w:cs="Arial"/>
          <w:sz w:val="22"/>
          <w:szCs w:val="22"/>
          <w:lang w:val="es-ES"/>
        </w:rPr>
      </w:pPr>
      <w:r w:rsidRPr="005675AF">
        <w:rPr>
          <w:rFonts w:ascii="Century Gothic" w:hAnsi="Century Gothic" w:cs="Arial"/>
          <w:sz w:val="22"/>
          <w:szCs w:val="22"/>
          <w:lang w:val="es-ES"/>
        </w:rPr>
        <w:t>El incumplimiento de la obligación de justificación de la subvención en los términos establecidos en esta cláusula o la justificación insuficiente de esta conlleva aparejado el reintegro en las condiciones previstas en el artículo 37 de la LGS.</w:t>
      </w:r>
    </w:p>
    <w:p w14:paraId="5D76BC51" w14:textId="77777777" w:rsidR="005675AF" w:rsidRPr="005675AF" w:rsidRDefault="005675AF" w:rsidP="005675AF">
      <w:pPr>
        <w:pStyle w:val="Textoindependiente"/>
        <w:jc w:val="both"/>
        <w:rPr>
          <w:rFonts w:ascii="Century Gothic" w:hAnsi="Century Gothic" w:cs="Arial"/>
          <w:sz w:val="22"/>
          <w:szCs w:val="22"/>
          <w:lang w:val="es-ES"/>
        </w:rPr>
      </w:pPr>
    </w:p>
    <w:p w14:paraId="2F2368F6" w14:textId="77777777" w:rsidR="005675AF" w:rsidRPr="005675AF" w:rsidRDefault="005675AF" w:rsidP="005675AF">
      <w:pPr>
        <w:pStyle w:val="Textoindependiente"/>
        <w:jc w:val="both"/>
        <w:rPr>
          <w:rFonts w:ascii="Century Gothic" w:hAnsi="Century Gothic" w:cs="Arial"/>
          <w:sz w:val="22"/>
          <w:szCs w:val="22"/>
          <w:lang w:val="es-ES"/>
        </w:rPr>
      </w:pPr>
      <w:r w:rsidRPr="005675AF">
        <w:rPr>
          <w:rFonts w:ascii="Century Gothic" w:hAnsi="Century Gothic" w:cs="Arial"/>
          <w:sz w:val="22"/>
          <w:szCs w:val="22"/>
          <w:lang w:val="es-ES"/>
        </w:rPr>
        <w:t>El reintegro de la subvención se tiene que realizar de conformidad con el procedimiento establecido en el capítulo II del título II de la LGS y en los preceptos del reglamento que la despliegan.</w:t>
      </w:r>
    </w:p>
    <w:p w14:paraId="7C7E70AB" w14:textId="77777777" w:rsidR="005675AF" w:rsidRPr="005675AF" w:rsidRDefault="005675AF" w:rsidP="005675AF">
      <w:pPr>
        <w:pStyle w:val="Textoindependiente"/>
        <w:spacing w:before="2"/>
        <w:jc w:val="both"/>
        <w:rPr>
          <w:rFonts w:ascii="Century Gothic" w:hAnsi="Century Gothic" w:cs="Arial"/>
          <w:sz w:val="22"/>
          <w:szCs w:val="22"/>
          <w:lang w:val="es-ES"/>
        </w:rPr>
      </w:pPr>
    </w:p>
    <w:p w14:paraId="19B53F05" w14:textId="77777777" w:rsidR="005675AF" w:rsidRPr="005675AF" w:rsidRDefault="005675AF" w:rsidP="005675AF">
      <w:pPr>
        <w:pStyle w:val="Textoindependiente"/>
        <w:spacing w:before="2"/>
        <w:jc w:val="both"/>
        <w:rPr>
          <w:rFonts w:ascii="Century Gothic" w:hAnsi="Century Gothic" w:cs="Arial"/>
          <w:sz w:val="22"/>
          <w:szCs w:val="22"/>
          <w:lang w:val="es-ES"/>
        </w:rPr>
      </w:pPr>
      <w:r w:rsidRPr="005675AF">
        <w:rPr>
          <w:rFonts w:ascii="Century Gothic" w:hAnsi="Century Gothic" w:cs="Arial"/>
          <w:sz w:val="22"/>
          <w:szCs w:val="22"/>
          <w:lang w:val="es-ES"/>
        </w:rPr>
        <w:t>La ayuda concedida se verá reducida en el supuesto de que el importe justificado no logre el coste total de la actuación subvencionada. Igualmente podrá modificarse la ayuda concedida cuando la obtención concurrente de subvenciones otorgadas por otras administraciones o entes públicos o privados supere el coste total de la actuación para realizar. La reducción o modificación de la ayuda concedida exigirá la tramitación del procedimiento contradictorio correspondiente.</w:t>
      </w:r>
    </w:p>
    <w:p w14:paraId="60D9D1B7" w14:textId="7A1F318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 xml:space="preserve">Décima. Obligaciones de </w:t>
      </w:r>
      <w:r w:rsidR="005675AF">
        <w:rPr>
          <w:rFonts w:ascii="Century Gothic" w:eastAsia="Times New Roman" w:hAnsi="Century Gothic" w:cs="Times New Roman"/>
          <w:b/>
          <w:bCs/>
          <w:color w:val="000000"/>
          <w:sz w:val="22"/>
          <w:szCs w:val="22"/>
          <w:lang w:val="es-ES" w:eastAsia="es-ES"/>
        </w:rPr>
        <w:t>las partes</w:t>
      </w:r>
    </w:p>
    <w:p w14:paraId="1F4F4D3F"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FAGA quedará sujeta a las obligaciones establecidas en los artículos 14 y concordantes de Ley 38/2003, de 17 de noviembre, general de subvenciones, y particularmente a:</w:t>
      </w:r>
    </w:p>
    <w:p w14:paraId="5340806D"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 Facilitar cualquier documento, información o inspección que la dirección general competente en materia de emergencia habitacional y función social considere necesario para el control del cumplimiento de los fines previstos.</w:t>
      </w:r>
    </w:p>
    <w:p w14:paraId="6C8BB25B"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 estos efectos, por la citada entidad se conservará y custodiará los documentos originales justificativos de la actuación realizada y la aplicación de los fondos recibidos en tanto puedan ser objeto de las actuaciones de comprobación y control y que podrá serle requerida en cualquier momento al objeto de comprobar el destino de la ayuda.</w:t>
      </w:r>
    </w:p>
    <w:p w14:paraId="46464851"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b) Someterse a cualquier actuación de control financiero que corresponda a la Intervención de la Generalitat, en relación con las ayudas y subvenciones concedidas.</w:t>
      </w:r>
    </w:p>
    <w:p w14:paraId="11511DA0" w14:textId="33D5C8BA"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c) Comunicar la obtención de otras subvenciones o ayudas para la misma finalidad, procedentes de cualquier administración o entes públicos o privados, nacionales o internacionales; así como cualquier incidencia o variación que se produzca en</w:t>
      </w:r>
      <w:r w:rsidR="00AC052C">
        <w:rPr>
          <w:rFonts w:ascii="Century Gothic" w:eastAsia="Times New Roman" w:hAnsi="Century Gothic" w:cs="Times New Roman"/>
          <w:color w:val="000000"/>
          <w:sz w:val="22"/>
          <w:szCs w:val="22"/>
          <w:lang w:val="es-ES" w:eastAsia="es-ES"/>
        </w:rPr>
        <w:t xml:space="preserve"> relación con la subvención concedida.</w:t>
      </w:r>
    </w:p>
    <w:p w14:paraId="28842153" w14:textId="7777777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lastRenderedPageBreak/>
        <w:t>d) Cumplir las obligaciones de transparencia establecidas en la legislación básica, de conformidad con lo dispuesto en la Ley 1/2022, de 13 de abril, de la Generalitat, de Transparencia y Buen Gobierno de la Comunitat Valenciana, debiendo dar la adecuada publicidad a la ayuda.</w:t>
      </w:r>
    </w:p>
    <w:p w14:paraId="591FFE0D" w14:textId="526F50E4" w:rsidR="005675AF" w:rsidRPr="00716C58" w:rsidRDefault="00716C58" w:rsidP="00234F88">
      <w:pPr>
        <w:widowControl/>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Por su parte, la Vicepresidencia Primera y Conselleria de Servicios Sociales, Igualdad y Vivienda financiará a FAGA los gastos derivados y contemplados en el Convenio y proporcionará el apoyo técnico y administrativo necesario.</w:t>
      </w:r>
    </w:p>
    <w:p w14:paraId="2A992665"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bookmarkStart w:id="9" w:name="_Toc276710405"/>
      <w:bookmarkStart w:id="10" w:name="_Toc278537538"/>
      <w:bookmarkStart w:id="11" w:name="_Toc276710404"/>
      <w:bookmarkStart w:id="12" w:name="_Toc278537537"/>
      <w:bookmarkStart w:id="13" w:name="_Toc276710406"/>
      <w:bookmarkStart w:id="14" w:name="_Toc278537539"/>
      <w:bookmarkEnd w:id="9"/>
      <w:bookmarkEnd w:id="10"/>
      <w:bookmarkEnd w:id="11"/>
      <w:bookmarkEnd w:id="12"/>
      <w:bookmarkEnd w:id="13"/>
      <w:bookmarkEnd w:id="14"/>
      <w:r w:rsidRPr="00DC78D1">
        <w:rPr>
          <w:rFonts w:ascii="Century Gothic" w:eastAsia="Times New Roman" w:hAnsi="Century Gothic" w:cs="Times New Roman"/>
          <w:b/>
          <w:bCs/>
          <w:color w:val="000000"/>
          <w:sz w:val="22"/>
          <w:szCs w:val="22"/>
          <w:lang w:val="es-ES" w:eastAsia="es-ES"/>
        </w:rPr>
        <w:t xml:space="preserve">Undécima. Incumplimiento y reintegros. </w:t>
      </w:r>
    </w:p>
    <w:p w14:paraId="5062AC69" w14:textId="50A287A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1. En caso de incumplimiento del convenio por parte de FAGA procederá el reintegro de las cantidades percibidas, así como la exigencia del interés de demora correspondiente desde el momento del pago de la subvención hasta la fecha en que se acuerde la procedencia del reintegro, en los casos establecidos y en la cuantía fijada en los artículos 37 y 38 de la Ley 38/2003, de 17 de noviembre y artículo 172 de la Ley 1/2015, de 6 de febrero. Cuando el cumplimiento </w:t>
      </w:r>
      <w:r w:rsidR="00157622" w:rsidRPr="00DC78D1">
        <w:rPr>
          <w:rFonts w:ascii="Century Gothic" w:eastAsia="Times New Roman" w:hAnsi="Century Gothic" w:cs="Times New Roman"/>
          <w:color w:val="000000"/>
          <w:sz w:val="22"/>
          <w:szCs w:val="22"/>
          <w:lang w:val="es-ES" w:eastAsia="es-ES"/>
        </w:rPr>
        <w:t>por FAGA</w:t>
      </w:r>
      <w:r w:rsidRPr="00DC78D1">
        <w:rPr>
          <w:rFonts w:ascii="Century Gothic" w:eastAsia="Times New Roman" w:hAnsi="Century Gothic" w:cs="Times New Roman"/>
          <w:color w:val="000000"/>
          <w:sz w:val="22"/>
          <w:szCs w:val="22"/>
          <w:lang w:val="es-ES" w:eastAsia="es-ES"/>
        </w:rPr>
        <w:t xml:space="preserve"> se aproxime de modo significativo al cumplimiento total y se acredite por éste una actuación inequívocamente tendente a la satisfacción de sus compromisos, la cantidad a reintegrar deberá responder al principio de proporcionalidad.</w:t>
      </w:r>
    </w:p>
    <w:p w14:paraId="7BD1B19B" w14:textId="19D5557F"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Las posibles infracciones en materia de subvenciones que pudieran ser cometidas por FAGA se graduar</w:t>
      </w:r>
      <w:r w:rsidR="00DA2561">
        <w:rPr>
          <w:rFonts w:ascii="Century Gothic" w:eastAsia="Times New Roman" w:hAnsi="Century Gothic" w:cs="Times New Roman"/>
          <w:color w:val="000000"/>
          <w:sz w:val="22"/>
          <w:szCs w:val="22"/>
          <w:lang w:val="es-ES" w:eastAsia="es-ES"/>
        </w:rPr>
        <w:t>á</w:t>
      </w:r>
      <w:r w:rsidRPr="00DC78D1">
        <w:rPr>
          <w:rFonts w:ascii="Century Gothic" w:eastAsia="Times New Roman" w:hAnsi="Century Gothic" w:cs="Times New Roman"/>
          <w:color w:val="000000"/>
          <w:sz w:val="22"/>
          <w:szCs w:val="22"/>
          <w:lang w:val="es-ES" w:eastAsia="es-ES"/>
        </w:rPr>
        <w:t>n y sancionar</w:t>
      </w:r>
      <w:r w:rsidR="00DA2561">
        <w:rPr>
          <w:rFonts w:ascii="Century Gothic" w:eastAsia="Times New Roman" w:hAnsi="Century Gothic" w:cs="Times New Roman"/>
          <w:color w:val="000000"/>
          <w:sz w:val="22"/>
          <w:szCs w:val="22"/>
          <w:lang w:val="es-ES" w:eastAsia="es-ES"/>
        </w:rPr>
        <w:t>á</w:t>
      </w:r>
      <w:r w:rsidRPr="00DC78D1">
        <w:rPr>
          <w:rFonts w:ascii="Century Gothic" w:eastAsia="Times New Roman" w:hAnsi="Century Gothic" w:cs="Times New Roman"/>
          <w:color w:val="000000"/>
          <w:sz w:val="22"/>
          <w:szCs w:val="22"/>
          <w:lang w:val="es-ES" w:eastAsia="es-ES"/>
        </w:rPr>
        <w:t xml:space="preserve">n de acuerdo con lo establecido en el Título IV, Capítulos I y II de la citada Ley 38/2003, de 17 de noviembre, General de Subvenciones y capítulo IV del Título X, de la Ley 1/2015, de 6 de </w:t>
      </w:r>
      <w:r w:rsidR="00DF7957">
        <w:rPr>
          <w:rFonts w:ascii="Century Gothic" w:eastAsia="Times New Roman" w:hAnsi="Century Gothic" w:cs="Times New Roman"/>
          <w:color w:val="000000"/>
          <w:sz w:val="22"/>
          <w:szCs w:val="22"/>
          <w:lang w:val="es-ES" w:eastAsia="es-ES"/>
        </w:rPr>
        <w:t>f</w:t>
      </w:r>
      <w:r w:rsidRPr="00DC78D1">
        <w:rPr>
          <w:rFonts w:ascii="Century Gothic" w:eastAsia="Times New Roman" w:hAnsi="Century Gothic" w:cs="Times New Roman"/>
          <w:color w:val="000000"/>
          <w:sz w:val="22"/>
          <w:szCs w:val="22"/>
          <w:lang w:val="es-ES" w:eastAsia="es-ES"/>
        </w:rPr>
        <w:t xml:space="preserve">ebrero, de la Generalitat. </w:t>
      </w:r>
    </w:p>
    <w:p w14:paraId="0DAC4BAF" w14:textId="0481701D"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2</w:t>
      </w:r>
      <w:r w:rsidRPr="00E50379">
        <w:rPr>
          <w:rFonts w:ascii="Century Gothic" w:eastAsia="Times New Roman" w:hAnsi="Century Gothic" w:cs="Times New Roman"/>
          <w:color w:val="000000"/>
          <w:sz w:val="22"/>
          <w:szCs w:val="22"/>
          <w:lang w:val="es-ES" w:eastAsia="es-ES"/>
        </w:rPr>
        <w:t>. El procedimiento para el reintegro se regirá por lo dispuesto en los artículos 41 a 43 de la Ley 38/2003, de 17 de noviembre, el Capítulo II del Título III del Real Decreto 887/2006, de 21 de julio</w:t>
      </w:r>
      <w:r w:rsidRPr="002250B6">
        <w:rPr>
          <w:rFonts w:ascii="Century Gothic" w:eastAsia="Times New Roman" w:hAnsi="Century Gothic" w:cs="Times New Roman"/>
          <w:color w:val="000000"/>
          <w:sz w:val="22"/>
          <w:szCs w:val="22"/>
          <w:lang w:val="es-ES" w:eastAsia="es-ES"/>
        </w:rPr>
        <w:t xml:space="preserve">, así como por lo previsto en el artículo 14, </w:t>
      </w:r>
      <w:r w:rsidRPr="005C0201">
        <w:rPr>
          <w:rFonts w:ascii="Century Gothic" w:eastAsia="Times New Roman" w:hAnsi="Century Gothic" w:cs="Times New Roman"/>
          <w:color w:val="000000"/>
          <w:sz w:val="22"/>
          <w:szCs w:val="22"/>
          <w:lang w:val="es-ES" w:eastAsia="es-ES"/>
        </w:rPr>
        <w:t xml:space="preserve">siendo competente para su iniciación y resolución </w:t>
      </w:r>
      <w:r w:rsidR="00A82088">
        <w:rPr>
          <w:rFonts w:ascii="Century Gothic" w:eastAsia="Times New Roman" w:hAnsi="Century Gothic" w:cs="Times New Roman"/>
          <w:color w:val="000000"/>
          <w:sz w:val="22"/>
          <w:szCs w:val="22"/>
          <w:lang w:val="es-ES" w:eastAsia="es-ES"/>
        </w:rPr>
        <w:t>el</w:t>
      </w:r>
      <w:r w:rsidRPr="005C0201">
        <w:rPr>
          <w:rFonts w:ascii="Century Gothic" w:eastAsia="Times New Roman" w:hAnsi="Century Gothic" w:cs="Times New Roman"/>
          <w:color w:val="000000"/>
          <w:sz w:val="22"/>
          <w:szCs w:val="22"/>
          <w:lang w:val="es-ES" w:eastAsia="es-ES"/>
        </w:rPr>
        <w:t xml:space="preserve"> Director General de Vivienda, en virtud de la delegación de competencias efectuada por</w:t>
      </w:r>
      <w:r w:rsidR="00E50379" w:rsidRPr="005C0201">
        <w:rPr>
          <w:rFonts w:ascii="Century Gothic" w:eastAsia="Times New Roman" w:hAnsi="Century Gothic" w:cs="Times New Roman"/>
          <w:color w:val="000000"/>
          <w:sz w:val="22"/>
          <w:szCs w:val="22"/>
          <w:lang w:val="es-ES" w:eastAsia="es-ES"/>
        </w:rPr>
        <w:t xml:space="preserve"> la</w:t>
      </w:r>
      <w:r w:rsidRPr="005C0201">
        <w:rPr>
          <w:rFonts w:ascii="Century Gothic" w:eastAsia="Times New Roman" w:hAnsi="Century Gothic" w:cs="Times New Roman"/>
          <w:color w:val="000000"/>
          <w:sz w:val="22"/>
          <w:szCs w:val="22"/>
          <w:lang w:val="es-ES" w:eastAsia="es-ES"/>
        </w:rPr>
        <w:t xml:space="preserve"> Vicepresident</w:t>
      </w:r>
      <w:r w:rsidR="00E50379" w:rsidRPr="005C0201">
        <w:rPr>
          <w:rFonts w:ascii="Century Gothic" w:eastAsia="Times New Roman" w:hAnsi="Century Gothic" w:cs="Times New Roman"/>
          <w:color w:val="000000"/>
          <w:sz w:val="22"/>
          <w:szCs w:val="22"/>
          <w:lang w:val="es-ES" w:eastAsia="es-ES"/>
        </w:rPr>
        <w:t>a</w:t>
      </w:r>
      <w:r w:rsidRPr="005C0201">
        <w:rPr>
          <w:rFonts w:ascii="Century Gothic" w:eastAsia="Times New Roman" w:hAnsi="Century Gothic" w:cs="Times New Roman"/>
          <w:color w:val="000000"/>
          <w:sz w:val="22"/>
          <w:szCs w:val="22"/>
          <w:lang w:val="es-ES" w:eastAsia="es-ES"/>
        </w:rPr>
        <w:t xml:space="preserve"> y Conseller</w:t>
      </w:r>
      <w:r w:rsidR="00E50379" w:rsidRPr="005C0201">
        <w:rPr>
          <w:rFonts w:ascii="Century Gothic" w:eastAsia="Times New Roman" w:hAnsi="Century Gothic" w:cs="Times New Roman"/>
          <w:color w:val="000000"/>
          <w:sz w:val="22"/>
          <w:szCs w:val="22"/>
          <w:lang w:val="es-ES" w:eastAsia="es-ES"/>
        </w:rPr>
        <w:t xml:space="preserve">a </w:t>
      </w:r>
      <w:r w:rsidRPr="005C0201">
        <w:rPr>
          <w:rFonts w:ascii="Century Gothic" w:eastAsia="Times New Roman" w:hAnsi="Century Gothic" w:cs="Times New Roman"/>
          <w:color w:val="000000"/>
          <w:sz w:val="22"/>
          <w:szCs w:val="22"/>
          <w:lang w:val="es-ES" w:eastAsia="es-ES"/>
        </w:rPr>
        <w:t xml:space="preserve">de </w:t>
      </w:r>
      <w:r w:rsidR="00E50379" w:rsidRPr="005C0201">
        <w:rPr>
          <w:rFonts w:ascii="Century Gothic" w:eastAsia="Times New Roman" w:hAnsi="Century Gothic" w:cs="Times New Roman"/>
          <w:color w:val="000000"/>
          <w:sz w:val="22"/>
          <w:szCs w:val="22"/>
          <w:lang w:val="es-ES" w:eastAsia="es-ES"/>
        </w:rPr>
        <w:t xml:space="preserve">Servicios Sociales, Igualdad y </w:t>
      </w:r>
      <w:r w:rsidRPr="005C0201">
        <w:rPr>
          <w:rFonts w:ascii="Century Gothic" w:eastAsia="Times New Roman" w:hAnsi="Century Gothic" w:cs="Times New Roman"/>
          <w:color w:val="000000"/>
          <w:sz w:val="22"/>
          <w:szCs w:val="22"/>
          <w:lang w:val="es-ES" w:eastAsia="es-ES"/>
        </w:rPr>
        <w:t xml:space="preserve">Vivienda mediante Resolución de fecha </w:t>
      </w:r>
      <w:r w:rsidR="00E50379" w:rsidRPr="005C0201">
        <w:rPr>
          <w:rFonts w:ascii="Century Gothic" w:eastAsia="Times New Roman" w:hAnsi="Century Gothic" w:cs="Times New Roman"/>
          <w:color w:val="000000"/>
          <w:sz w:val="22"/>
          <w:szCs w:val="22"/>
          <w:lang w:val="es-ES" w:eastAsia="es-ES"/>
        </w:rPr>
        <w:t>15</w:t>
      </w:r>
      <w:r w:rsidRPr="005C0201">
        <w:rPr>
          <w:rFonts w:ascii="Century Gothic" w:eastAsia="Times New Roman" w:hAnsi="Century Gothic" w:cs="Times New Roman"/>
          <w:color w:val="000000"/>
          <w:sz w:val="22"/>
          <w:szCs w:val="22"/>
          <w:lang w:val="es-ES" w:eastAsia="es-ES"/>
        </w:rPr>
        <w:t xml:space="preserve"> de </w:t>
      </w:r>
      <w:r w:rsidR="00E50379" w:rsidRPr="005C0201">
        <w:rPr>
          <w:rFonts w:ascii="Century Gothic" w:eastAsia="Times New Roman" w:hAnsi="Century Gothic" w:cs="Times New Roman"/>
          <w:color w:val="000000"/>
          <w:sz w:val="22"/>
          <w:szCs w:val="22"/>
          <w:lang w:val="es-ES" w:eastAsia="es-ES"/>
        </w:rPr>
        <w:t>mayo</w:t>
      </w:r>
      <w:r w:rsidRPr="005C0201">
        <w:rPr>
          <w:rFonts w:ascii="Century Gothic" w:eastAsia="Times New Roman" w:hAnsi="Century Gothic" w:cs="Times New Roman"/>
          <w:color w:val="000000"/>
          <w:sz w:val="22"/>
          <w:szCs w:val="22"/>
          <w:lang w:val="es-ES" w:eastAsia="es-ES"/>
        </w:rPr>
        <w:t xml:space="preserve"> de 20</w:t>
      </w:r>
      <w:r w:rsidR="00E50379" w:rsidRPr="005C0201">
        <w:rPr>
          <w:rFonts w:ascii="Century Gothic" w:eastAsia="Times New Roman" w:hAnsi="Century Gothic" w:cs="Times New Roman"/>
          <w:color w:val="000000"/>
          <w:sz w:val="22"/>
          <w:szCs w:val="22"/>
          <w:lang w:val="es-ES" w:eastAsia="es-ES"/>
        </w:rPr>
        <w:t>24</w:t>
      </w:r>
      <w:r w:rsidRPr="005C0201">
        <w:rPr>
          <w:rFonts w:ascii="Century Gothic" w:eastAsia="Times New Roman" w:hAnsi="Century Gothic" w:cs="Times New Roman"/>
          <w:color w:val="000000"/>
          <w:sz w:val="22"/>
          <w:szCs w:val="22"/>
          <w:lang w:val="es-ES" w:eastAsia="es-ES"/>
        </w:rPr>
        <w:t xml:space="preserve">, resuelvo </w:t>
      </w:r>
      <w:r w:rsidR="00E50379" w:rsidRPr="005C0201">
        <w:rPr>
          <w:rFonts w:ascii="Century Gothic" w:eastAsia="Times New Roman" w:hAnsi="Century Gothic" w:cs="Times New Roman"/>
          <w:color w:val="000000"/>
          <w:sz w:val="22"/>
          <w:szCs w:val="22"/>
          <w:lang w:val="es-ES" w:eastAsia="es-ES"/>
        </w:rPr>
        <w:t>Sexto</w:t>
      </w:r>
      <w:r w:rsidRPr="005C0201">
        <w:rPr>
          <w:rFonts w:ascii="Century Gothic" w:eastAsia="Times New Roman" w:hAnsi="Century Gothic" w:cs="Times New Roman"/>
          <w:color w:val="000000"/>
          <w:sz w:val="22"/>
          <w:szCs w:val="22"/>
          <w:lang w:val="es-ES" w:eastAsia="es-ES"/>
        </w:rPr>
        <w:t>, apartado</w:t>
      </w:r>
      <w:r w:rsidR="00E50379" w:rsidRPr="005C0201">
        <w:rPr>
          <w:rFonts w:ascii="Century Gothic" w:eastAsia="Times New Roman" w:hAnsi="Century Gothic" w:cs="Times New Roman"/>
          <w:color w:val="000000"/>
          <w:sz w:val="22"/>
          <w:szCs w:val="22"/>
          <w:lang w:val="es-ES" w:eastAsia="es-ES"/>
        </w:rPr>
        <w:t xml:space="preserve"> 8</w:t>
      </w:r>
      <w:r w:rsidRPr="005C0201">
        <w:rPr>
          <w:rFonts w:ascii="Century Gothic" w:eastAsia="Times New Roman" w:hAnsi="Century Gothic" w:cs="Times New Roman"/>
          <w:color w:val="000000"/>
          <w:sz w:val="22"/>
          <w:szCs w:val="22"/>
          <w:lang w:val="es-ES" w:eastAsia="es-ES"/>
        </w:rPr>
        <w:t>. Las resoluciones declarativas de incumplimiento y de procedencia del reintegro pondrán fin a la vía administrativa, pudiendo interponerse contra las mismas recurso potestativo de reposición ante la misma autoridad en el plazo de un mes, a contar desde el día siguiente al de la notificación de la</w:t>
      </w:r>
      <w:r w:rsidRPr="00DC78D1">
        <w:rPr>
          <w:rFonts w:ascii="Century Gothic" w:eastAsia="Times New Roman" w:hAnsi="Century Gothic" w:cs="Times New Roman"/>
          <w:color w:val="000000"/>
          <w:sz w:val="22"/>
          <w:szCs w:val="22"/>
          <w:lang w:val="es-ES" w:eastAsia="es-ES"/>
        </w:rPr>
        <w:t xml:space="preserve"> resolución, o bien ser impugnadas directamente ante el orden jurisdiccional contencioso-administrativo, en</w:t>
      </w:r>
      <w:r w:rsidR="00DA2561">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la forma y plazo previstos por la Ley reguladora de dicha jurisdicción</w:t>
      </w:r>
    </w:p>
    <w:p w14:paraId="2209F74A"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lastRenderedPageBreak/>
        <w:t>3. Comportará la pérdida del derecho de cobro de la subvención y reintegro de esta, la comprobación de que la subvención ha sido destinada a la realización de una actividad o al cumplimiento de una finalidad prohibida en el título VI de la Ley 14/2017, de 10 de noviembre, de la Generalitat, de memoria democrática y para la convivencia de la Comunitat Valenciana.</w:t>
      </w:r>
    </w:p>
    <w:p w14:paraId="58EBCBF7"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Duodécima. Comisión de Seguimiento y Control</w:t>
      </w:r>
    </w:p>
    <w:p w14:paraId="68FC9812" w14:textId="2EE17964"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1. Se establece una Comisión de Seguimiento para el seguimiento y control de la adecuada ejecución de las actividades que se derivan del presente convenio, sin perjuicio de las competencias de la Vicepresidencia</w:t>
      </w:r>
      <w:r w:rsidR="00716C58">
        <w:rPr>
          <w:rFonts w:ascii="Century Gothic" w:eastAsia="Times New Roman" w:hAnsi="Century Gothic" w:cs="Times New Roman"/>
          <w:color w:val="000000"/>
          <w:sz w:val="22"/>
          <w:szCs w:val="22"/>
          <w:lang w:val="es-ES" w:eastAsia="es-ES"/>
        </w:rPr>
        <w:t xml:space="preserve"> Primera</w:t>
      </w:r>
      <w:r w:rsidRPr="00DC78D1">
        <w:rPr>
          <w:rFonts w:ascii="Century Gothic" w:eastAsia="Times New Roman" w:hAnsi="Century Gothic" w:cs="Times New Roman"/>
          <w:color w:val="000000"/>
          <w:sz w:val="22"/>
          <w:szCs w:val="22"/>
          <w:lang w:val="es-ES" w:eastAsia="es-ES"/>
        </w:rPr>
        <w:t xml:space="preserve"> y Conselleria de </w:t>
      </w:r>
      <w:r w:rsidR="002250B6">
        <w:rPr>
          <w:rFonts w:ascii="Century Gothic" w:eastAsia="Times New Roman" w:hAnsi="Century Gothic" w:cs="Times New Roman"/>
          <w:color w:val="000000"/>
          <w:sz w:val="22"/>
          <w:szCs w:val="22"/>
          <w:lang w:val="es-ES" w:eastAsia="es-ES"/>
        </w:rPr>
        <w:t xml:space="preserve">Servicios Sociales, Igualdad y </w:t>
      </w:r>
      <w:r w:rsidRPr="00DC78D1">
        <w:rPr>
          <w:rFonts w:ascii="Century Gothic" w:eastAsia="Times New Roman" w:hAnsi="Century Gothic" w:cs="Times New Roman"/>
          <w:color w:val="000000"/>
          <w:sz w:val="22"/>
          <w:szCs w:val="22"/>
          <w:lang w:val="es-ES" w:eastAsia="es-ES"/>
        </w:rPr>
        <w:t>Vivienda en tanto que administración pública que aporta los fondos.</w:t>
      </w:r>
    </w:p>
    <w:p w14:paraId="16307412" w14:textId="0A0774E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2. La Comisión de Seguimiento, deberá reunirse al menos con carácter semestral durante la producción de efectos del Convenio, y estará integrada por dos representantes de la Dirección General de </w:t>
      </w:r>
      <w:r w:rsidR="002250B6">
        <w:rPr>
          <w:rFonts w:ascii="Century Gothic" w:eastAsia="Times New Roman" w:hAnsi="Century Gothic" w:cs="Times New Roman"/>
          <w:color w:val="000000"/>
          <w:sz w:val="22"/>
          <w:szCs w:val="22"/>
          <w:lang w:val="es-ES" w:eastAsia="es-ES"/>
        </w:rPr>
        <w:t>Vivienda</w:t>
      </w:r>
      <w:r w:rsidRPr="00DC78D1">
        <w:rPr>
          <w:rFonts w:ascii="Century Gothic" w:eastAsia="Times New Roman" w:hAnsi="Century Gothic" w:cs="Times New Roman"/>
          <w:color w:val="000000"/>
          <w:sz w:val="22"/>
          <w:szCs w:val="22"/>
          <w:lang w:val="es-ES" w:eastAsia="es-ES"/>
        </w:rPr>
        <w:t xml:space="preserve">, un representante de la Entidad Valenciana de Vivienda y Suelo y dos representantes de FAGA. Como presidente actuará la persona titular de la </w:t>
      </w:r>
      <w:r w:rsidR="002250B6">
        <w:rPr>
          <w:rFonts w:ascii="Century Gothic" w:eastAsia="Times New Roman" w:hAnsi="Century Gothic" w:cs="Times New Roman"/>
          <w:color w:val="000000"/>
          <w:sz w:val="22"/>
          <w:szCs w:val="22"/>
          <w:lang w:val="es-ES" w:eastAsia="es-ES"/>
        </w:rPr>
        <w:t>D</w:t>
      </w:r>
      <w:r w:rsidRPr="00DC78D1">
        <w:rPr>
          <w:rFonts w:ascii="Century Gothic" w:eastAsia="Times New Roman" w:hAnsi="Century Gothic" w:cs="Times New Roman"/>
          <w:color w:val="000000"/>
          <w:sz w:val="22"/>
          <w:szCs w:val="22"/>
          <w:lang w:val="es-ES" w:eastAsia="es-ES"/>
        </w:rPr>
        <w:t xml:space="preserve">irección </w:t>
      </w:r>
      <w:r w:rsidR="002250B6">
        <w:rPr>
          <w:rFonts w:ascii="Century Gothic" w:eastAsia="Times New Roman" w:hAnsi="Century Gothic" w:cs="Times New Roman"/>
          <w:color w:val="000000"/>
          <w:sz w:val="22"/>
          <w:szCs w:val="22"/>
          <w:lang w:val="es-ES" w:eastAsia="es-ES"/>
        </w:rPr>
        <w:t>G</w:t>
      </w:r>
      <w:r w:rsidRPr="00DC78D1">
        <w:rPr>
          <w:rFonts w:ascii="Century Gothic" w:eastAsia="Times New Roman" w:hAnsi="Century Gothic" w:cs="Times New Roman"/>
          <w:color w:val="000000"/>
          <w:sz w:val="22"/>
          <w:szCs w:val="22"/>
          <w:lang w:val="es-ES" w:eastAsia="es-ES"/>
        </w:rPr>
        <w:t xml:space="preserve">eneral de </w:t>
      </w:r>
      <w:r w:rsidR="002250B6">
        <w:rPr>
          <w:rFonts w:ascii="Century Gothic" w:eastAsia="Times New Roman" w:hAnsi="Century Gothic" w:cs="Times New Roman"/>
          <w:color w:val="000000"/>
          <w:sz w:val="22"/>
          <w:szCs w:val="22"/>
          <w:lang w:val="es-ES" w:eastAsia="es-ES"/>
        </w:rPr>
        <w:t>Vivienda</w:t>
      </w:r>
      <w:r w:rsidRPr="00DC78D1">
        <w:rPr>
          <w:rFonts w:ascii="Century Gothic" w:eastAsia="Times New Roman" w:hAnsi="Century Gothic" w:cs="Times New Roman"/>
          <w:color w:val="000000"/>
          <w:sz w:val="22"/>
          <w:szCs w:val="22"/>
          <w:lang w:val="es-ES" w:eastAsia="es-ES"/>
        </w:rPr>
        <w:t xml:space="preserve"> y como </w:t>
      </w:r>
      <w:r w:rsidR="008820D4" w:rsidRPr="00DC78D1">
        <w:rPr>
          <w:rFonts w:ascii="Century Gothic" w:eastAsia="Times New Roman" w:hAnsi="Century Gothic" w:cs="Times New Roman"/>
          <w:color w:val="000000"/>
          <w:sz w:val="22"/>
          <w:szCs w:val="22"/>
          <w:lang w:val="es-ES" w:eastAsia="es-ES"/>
        </w:rPr>
        <w:t>secretario</w:t>
      </w:r>
      <w:r w:rsidRPr="00DC78D1">
        <w:rPr>
          <w:rFonts w:ascii="Century Gothic" w:eastAsia="Times New Roman" w:hAnsi="Century Gothic" w:cs="Times New Roman"/>
          <w:color w:val="000000"/>
          <w:sz w:val="22"/>
          <w:szCs w:val="22"/>
          <w:lang w:val="es-ES" w:eastAsia="es-ES"/>
        </w:rPr>
        <w:t xml:space="preserve"> de esta Comisión la persona designada a tal efecto por parte de la Dirección General de </w:t>
      </w:r>
      <w:r w:rsidR="002250B6">
        <w:rPr>
          <w:rFonts w:ascii="Century Gothic" w:eastAsia="Times New Roman" w:hAnsi="Century Gothic" w:cs="Times New Roman"/>
          <w:color w:val="000000"/>
          <w:sz w:val="22"/>
          <w:szCs w:val="22"/>
          <w:lang w:val="es-ES" w:eastAsia="es-ES"/>
        </w:rPr>
        <w:t>Vivienda</w:t>
      </w:r>
      <w:r w:rsidRPr="00DC78D1">
        <w:rPr>
          <w:rFonts w:ascii="Century Gothic" w:eastAsia="Times New Roman" w:hAnsi="Century Gothic" w:cs="Times New Roman"/>
          <w:color w:val="000000"/>
          <w:sz w:val="22"/>
          <w:szCs w:val="22"/>
          <w:lang w:val="es-ES" w:eastAsia="es-ES"/>
        </w:rPr>
        <w:t>. La composición de la Comisión de Seguimiento procurará atender, en todo caso, al principio de presencia equilibrada de ambos sexos, de conformidad con lo que dispone la Ley orgánica 3/2007, de 22 de marzo, para la igualdad efectiva de mujeres y hombres y la Ley Valenciana 9/2003, para la igualdad entre mujeres y hombres.</w:t>
      </w:r>
    </w:p>
    <w:p w14:paraId="02B1E964" w14:textId="1F40F0AD"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3. Los acuerdos adoptados en el seno de la Comisión serán vinculantes para las partes. Las funciones de la Comisión serán las siguientes: a) Seguimiento de las actividades realizadas en ejecución del presente Convenio. b) Interpretación y resolución de las discrepancias o incidencias que pudieran surgir en la interpretación o ejecución del presente Convenio. El régimen de funcionamiento y toma de acuerdos de la Comisión de Seguimiento y Evaluación se ajustará a lo establecido en la Sección III del Capítulo II del Título Preliminar de la Ley 40/2015, de 1 de octubre, de</w:t>
      </w:r>
      <w:r w:rsidR="002250B6">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Régimen Jurídico del Sector Público</w:t>
      </w:r>
    </w:p>
    <w:p w14:paraId="2483193B" w14:textId="7C67DA3D" w:rsidR="00716C58"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Liberation Serif"/>
          <w:color w:val="000000"/>
          <w:sz w:val="22"/>
          <w:szCs w:val="22"/>
          <w:lang w:val="es-ES" w:eastAsia="es-ES"/>
        </w:rPr>
        <w:t xml:space="preserve">Las actas, acuerdos o informes que, en su caso, emita la Comisión de seguimiento en el desarrollo y ejecución de las funciones que tiene asignadas serán remitidas a la Dirección General de </w:t>
      </w:r>
      <w:r w:rsidR="002250B6">
        <w:rPr>
          <w:rFonts w:ascii="Century Gothic" w:eastAsia="Times New Roman" w:hAnsi="Century Gothic" w:cs="Liberation Serif"/>
          <w:color w:val="000000"/>
          <w:sz w:val="22"/>
          <w:szCs w:val="22"/>
          <w:lang w:val="es-ES" w:eastAsia="es-ES"/>
        </w:rPr>
        <w:t>Vivienda</w:t>
      </w:r>
      <w:r w:rsidRPr="00DC78D1">
        <w:rPr>
          <w:rFonts w:ascii="Century Gothic" w:eastAsia="Times New Roman" w:hAnsi="Century Gothic" w:cs="Liberation Serif"/>
          <w:color w:val="000000"/>
          <w:sz w:val="22"/>
          <w:szCs w:val="22"/>
          <w:lang w:val="es-ES" w:eastAsia="es-ES"/>
        </w:rPr>
        <w:t>.</w:t>
      </w:r>
    </w:p>
    <w:p w14:paraId="6A396362"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Decimotercera. Vigencia del convenio y causas de extinción</w:t>
      </w:r>
    </w:p>
    <w:p w14:paraId="64D72E36" w14:textId="77777777" w:rsidR="00116C96" w:rsidRDefault="00DC78D1"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1.</w:t>
      </w:r>
      <w:r w:rsidR="004520CF">
        <w:rPr>
          <w:rFonts w:ascii="Century Gothic" w:eastAsia="Times New Roman" w:hAnsi="Century Gothic" w:cs="Times New Roman"/>
          <w:color w:val="000000"/>
          <w:sz w:val="22"/>
          <w:szCs w:val="22"/>
          <w:lang w:val="es-ES" w:eastAsia="es-ES"/>
        </w:rPr>
        <w:t xml:space="preserve"> </w:t>
      </w:r>
      <w:r w:rsidR="00116C96" w:rsidRPr="00116C96">
        <w:rPr>
          <w:rFonts w:ascii="Century Gothic" w:eastAsia="Times New Roman" w:hAnsi="Century Gothic" w:cs="Times New Roman"/>
          <w:color w:val="000000"/>
          <w:sz w:val="22"/>
          <w:szCs w:val="22"/>
          <w:lang w:val="es-ES" w:eastAsia="es-ES"/>
        </w:rPr>
        <w:t>Este convenio producirá efectos desde la fecha de la firma del convenio hasta el 31 de diciembre de 2025.</w:t>
      </w:r>
    </w:p>
    <w:p w14:paraId="5670DC6D" w14:textId="4787D9BB" w:rsidR="00116C96" w:rsidRPr="00116C96" w:rsidRDefault="00116C96"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116C96">
        <w:rPr>
          <w:rFonts w:ascii="Century Gothic" w:eastAsia="Times New Roman" w:hAnsi="Century Gothic" w:cs="Times New Roman"/>
          <w:color w:val="000000"/>
          <w:sz w:val="22"/>
          <w:szCs w:val="22"/>
          <w:lang w:val="es-ES" w:eastAsia="es-ES"/>
        </w:rPr>
        <w:lastRenderedPageBreak/>
        <w:t>No obstante, podrán subvencionarse los gastos objeto del convenio realizados desde el 01/01/2025 y la justificación se realizará dentro del plazo establecido en la cláusula quinta.</w:t>
      </w:r>
    </w:p>
    <w:p w14:paraId="203E77E7" w14:textId="41B8C256" w:rsidR="00116C96" w:rsidRPr="00116C96" w:rsidRDefault="00116C96"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116C96">
        <w:rPr>
          <w:rFonts w:ascii="Century Gothic" w:eastAsia="Times New Roman" w:hAnsi="Century Gothic" w:cs="Times New Roman"/>
          <w:color w:val="000000"/>
          <w:sz w:val="22"/>
          <w:szCs w:val="22"/>
          <w:lang w:val="es-ES" w:eastAsia="es-ES"/>
        </w:rPr>
        <w:t>Serán causas de resolución de este convenio las previstas en el artículo 51 de la Ley 40/2015, de 1 de octubre, de régimen jurídico del sector público.</w:t>
      </w:r>
    </w:p>
    <w:p w14:paraId="178A9F0E" w14:textId="77777777" w:rsidR="00116C96" w:rsidRPr="00116C96" w:rsidRDefault="00116C96"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116C96">
        <w:rPr>
          <w:rFonts w:ascii="Century Gothic" w:eastAsia="Times New Roman" w:hAnsi="Century Gothic" w:cs="Times New Roman"/>
          <w:color w:val="000000"/>
          <w:sz w:val="22"/>
          <w:szCs w:val="22"/>
          <w:lang w:val="es-ES" w:eastAsia="es-ES"/>
        </w:rPr>
        <w:t>El cumplimiento y la resolución de este convenio causarán la liquidación, a fin de determinar las obligaciones y los compromisos de cada una de las partes, en los términos establecidos en el artículo 52 de la Ley 40/2015, de 1 de octubre.</w:t>
      </w:r>
    </w:p>
    <w:p w14:paraId="33F723F5"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2. Serán causas de resolución del presente Convenio las siguientes:</w:t>
      </w:r>
    </w:p>
    <w:p w14:paraId="199C79FA" w14:textId="77777777" w:rsidR="00116C96" w:rsidRDefault="00DC78D1" w:rsidP="00116C96">
      <w:pPr>
        <w:widowControl/>
        <w:autoSpaceDN/>
        <w:spacing w:line="288" w:lineRule="auto"/>
        <w:ind w:left="720"/>
        <w:jc w:val="both"/>
        <w:textAlignment w:val="auto"/>
        <w:rPr>
          <w:rFonts w:ascii="Century Gothic" w:eastAsia="Times New Roman" w:hAnsi="Century Gothic" w:cs="Times New Roman"/>
          <w:color w:val="000000"/>
          <w:sz w:val="22"/>
          <w:szCs w:val="22"/>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El transcurso del plazo previsto.</w:t>
      </w:r>
    </w:p>
    <w:p w14:paraId="3398BBDC" w14:textId="65B987D2"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El mutuo acuerdo de las Partes que lo suscriben, manifestado por escrito.</w:t>
      </w:r>
    </w:p>
    <w:p w14:paraId="056BC722" w14:textId="77777777"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La imposibilidad material de continuar con el objeto del convenio.</w:t>
      </w:r>
    </w:p>
    <w:p w14:paraId="629D05AF" w14:textId="3BDE0FF9"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La denuncia de una de las partes, que deberá hacerse con un mínimo de un mes de antelación.</w:t>
      </w:r>
    </w:p>
    <w:p w14:paraId="5D22A543" w14:textId="61BEAA86"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El incumplimiento de cualquiera de las obligaciones asumidas en el presente convenio durante su vigencia.</w:t>
      </w:r>
    </w:p>
    <w:p w14:paraId="5453D423" w14:textId="3583433E" w:rsidR="00116C96"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 xml:space="preserve">En este caso, cualquiera de las partes podrá notificar a la parte incumplidora un requerimiento para que cumpla en un determinado plazo las obligaciones o compromisos que se consideran incumplidos. Este requerimiento será comunicado a su vez, al responsable del mecanismo de seguimiento, vigilancia y control de la ejecución del convenio. Si transcurrido el plazo indicado en el requerimiento persistiera el incumplimiento, </w:t>
      </w:r>
      <w:r w:rsidR="004520CF">
        <w:rPr>
          <w:rFonts w:ascii="Century Gothic" w:eastAsia="Times New Roman" w:hAnsi="Century Gothic" w:cs="Times New Roman"/>
          <w:color w:val="000000"/>
          <w:sz w:val="22"/>
          <w:szCs w:val="22"/>
          <w:lang w:val="es-ES" w:eastAsia="es-ES"/>
        </w:rPr>
        <w:t>l</w:t>
      </w:r>
      <w:r w:rsidRPr="00DC78D1">
        <w:rPr>
          <w:rFonts w:ascii="Century Gothic" w:eastAsia="Times New Roman" w:hAnsi="Century Gothic" w:cs="Times New Roman"/>
          <w:color w:val="000000"/>
          <w:sz w:val="22"/>
          <w:szCs w:val="22"/>
          <w:lang w:val="es-ES" w:eastAsia="es-ES"/>
        </w:rPr>
        <w:t>a parte que lo dirigió notificará a la otra parte firmante la concurrencia de la causa de resolución y se entenderá resuelto el convenio.</w:t>
      </w:r>
    </w:p>
    <w:p w14:paraId="7BCB204C" w14:textId="082A282C"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En caso de resolución del convenio, las partes, a propuesta de la Comisión de Seguimiento y Control, establecerán los mecanismos que permitan el seguimiento de las actividades iniciadas, o su finalización ordenada y adecuada preservando los derechos de las personas que puedan resultar afectadas y estableciendo un plazo improrrogable para su finalización.</w:t>
      </w:r>
    </w:p>
    <w:p w14:paraId="1A7A1873"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Y ello sin perjuicio de que se inicien las actuaciones administrativas oportunas para la minoración o reintegro de la subvención concedida, en su caso, por las actividades no realizadas.</w:t>
      </w:r>
    </w:p>
    <w:p w14:paraId="3F833211" w14:textId="0BC35C2D"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Deci</w:t>
      </w:r>
      <w:r w:rsidR="00947255">
        <w:rPr>
          <w:rFonts w:ascii="Century Gothic" w:eastAsia="Times New Roman" w:hAnsi="Century Gothic" w:cs="Times New Roman"/>
          <w:b/>
          <w:bCs/>
          <w:color w:val="000000"/>
          <w:sz w:val="22"/>
          <w:szCs w:val="22"/>
          <w:lang w:val="es-ES" w:eastAsia="es-ES"/>
        </w:rPr>
        <w:t>m</w:t>
      </w:r>
      <w:r w:rsidRPr="00DC78D1">
        <w:rPr>
          <w:rFonts w:ascii="Century Gothic" w:eastAsia="Times New Roman" w:hAnsi="Century Gothic" w:cs="Times New Roman"/>
          <w:b/>
          <w:bCs/>
          <w:color w:val="000000"/>
          <w:sz w:val="22"/>
          <w:szCs w:val="22"/>
          <w:lang w:val="es-ES" w:eastAsia="es-ES"/>
        </w:rPr>
        <w:t>ocuarta. Protección de datos de carácter personal</w:t>
      </w:r>
    </w:p>
    <w:p w14:paraId="27247FE8"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Las partes se obligan a mantener la confidencialidad sobre los asuntos de los que tengan conocimiento por razón de esta colaboración, y no las podrán difundir sin la autorización expresa y por escrito de la otra parte. </w:t>
      </w:r>
    </w:p>
    <w:p w14:paraId="79B5A585"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lastRenderedPageBreak/>
        <w:t>Ambas partes se comprometen a utilizar toda la información a la que tengan acceso con ocasión o en ejecución de este acuerdo, únicamente en el marco de este Convenio. Por lo tanto, la revelación de la información confidencial, por parte de cualquiera de las partes, podrá dar lugar a las responsabilidades correspondientes.</w:t>
      </w:r>
    </w:p>
    <w:p w14:paraId="1C8A9DB5"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Arial"/>
          <w:color w:val="000000"/>
          <w:sz w:val="22"/>
          <w:szCs w:val="22"/>
          <w:lang w:val="es-ES" w:eastAsia="es-ES"/>
        </w:rPr>
        <w:t>Las comunicaciones que se puedan realizar entre las partes, en relación con datos de carácter personal o especialmente protegidos, actuaran de acuerdo con la Ley Orgánica 3/2018, de 5 de diciembre, de Protección de Datos Personales y garantía de los derechos digitales, así como de conformidad con lo establecido en el Reglamento 2016/679 relativo a la protección de datos de las personas físicas General de Protección de Datos (RGPD).</w:t>
      </w:r>
    </w:p>
    <w:p w14:paraId="45556152" w14:textId="4E0F5749"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Lo anteriormente expuesto se entiende sin perjuicio de las obligaciones legales que, en materia de transparencia, sean de aplicación a la </w:t>
      </w:r>
      <w:r w:rsidR="000D2BD2">
        <w:rPr>
          <w:rFonts w:ascii="Century Gothic" w:eastAsia="Times New Roman" w:hAnsi="Century Gothic" w:cs="Times New Roman"/>
          <w:color w:val="000000"/>
          <w:sz w:val="22"/>
          <w:szCs w:val="22"/>
          <w:lang w:val="es-ES" w:eastAsia="es-ES"/>
        </w:rPr>
        <w:t xml:space="preserve">Vicepresidencia Primera y </w:t>
      </w:r>
      <w:r w:rsidRPr="00DC78D1">
        <w:rPr>
          <w:rFonts w:ascii="Century Gothic" w:eastAsia="Times New Roman" w:hAnsi="Century Gothic" w:cs="Times New Roman"/>
          <w:color w:val="000000"/>
          <w:sz w:val="22"/>
          <w:szCs w:val="22"/>
          <w:lang w:val="es-ES" w:eastAsia="es-ES"/>
        </w:rPr>
        <w:t xml:space="preserve">Conselleria de </w:t>
      </w:r>
      <w:r w:rsidR="004520CF">
        <w:rPr>
          <w:rFonts w:ascii="Century Gothic" w:eastAsia="Times New Roman" w:hAnsi="Century Gothic" w:cs="Times New Roman"/>
          <w:color w:val="000000"/>
          <w:sz w:val="22"/>
          <w:szCs w:val="22"/>
          <w:lang w:val="es-ES" w:eastAsia="es-ES"/>
        </w:rPr>
        <w:t xml:space="preserve">Servicios Sociales, Igualdad y </w:t>
      </w:r>
      <w:r w:rsidRPr="00DC78D1">
        <w:rPr>
          <w:rFonts w:ascii="Century Gothic" w:eastAsia="Times New Roman" w:hAnsi="Century Gothic" w:cs="Times New Roman"/>
          <w:color w:val="000000"/>
          <w:sz w:val="22"/>
          <w:szCs w:val="22"/>
          <w:lang w:val="es-ES" w:eastAsia="es-ES"/>
        </w:rPr>
        <w:t>Vivienda.</w:t>
      </w:r>
    </w:p>
    <w:p w14:paraId="038C8FC8"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Arial"/>
          <w:color w:val="000000"/>
          <w:sz w:val="22"/>
          <w:szCs w:val="22"/>
          <w:lang w:val="es-ES" w:eastAsia="es-ES"/>
        </w:rPr>
        <w:t>Si en la ejecución de este convenio es necesario el tratamiento de datos de carácter personal incluidos en un fichero de titularidad de EVHA, FAGA se compromete a:</w:t>
      </w:r>
    </w:p>
    <w:p w14:paraId="42748F66"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Arial"/>
          <w:color w:val="000000"/>
          <w:sz w:val="22"/>
          <w:szCs w:val="22"/>
          <w:lang w:val="es-ES" w:eastAsia="es-ES"/>
        </w:rPr>
        <w:t>a) Hacer el tratamiento de acuerdo con las instrucciones específicas de EVHA.</w:t>
      </w:r>
    </w:p>
    <w:p w14:paraId="0CAE082F"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b) No aplicarlas ni utilizarlas con una finalidad diferente de la prevista en el propio convenio, ni comunicarlas a otras personas, ni siquiera para conservarlas.</w:t>
      </w:r>
    </w:p>
    <w:p w14:paraId="02E03BF8" w14:textId="608B642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c) Implementar las medidas de seguridad que correspondan, atendiendo a las</w:t>
      </w:r>
      <w:r w:rsidR="004520CF">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características de los datos personales objeto de tratamiento;</w:t>
      </w:r>
    </w:p>
    <w:p w14:paraId="38269222"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Decimoquinta.</w:t>
      </w:r>
      <w:r w:rsidRPr="00DC78D1">
        <w:rPr>
          <w:rFonts w:ascii="Century Gothic" w:eastAsia="Times New Roman" w:hAnsi="Century Gothic" w:cs="Times New Roman"/>
          <w:b/>
          <w:bCs/>
          <w:sz w:val="22"/>
          <w:szCs w:val="22"/>
          <w:lang w:val="es-ES" w:eastAsia="es-ES"/>
        </w:rPr>
        <w:t xml:space="preserve"> Transparencia.</w:t>
      </w:r>
    </w:p>
    <w:p w14:paraId="3AC0F659" w14:textId="3453325F"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sz w:val="22"/>
          <w:szCs w:val="22"/>
          <w:lang w:val="es-ES" w:eastAsia="es-ES"/>
        </w:rPr>
        <w:t>El presente convenio será objeto de publicación en el portal de transparencia de la Generalitat</w:t>
      </w:r>
      <w:r w:rsidR="006C6050">
        <w:rPr>
          <w:rFonts w:ascii="Century Gothic" w:eastAsia="Times New Roman" w:hAnsi="Century Gothic" w:cs="Times New Roman"/>
          <w:sz w:val="22"/>
          <w:szCs w:val="22"/>
          <w:lang w:val="es-ES" w:eastAsia="es-ES"/>
        </w:rPr>
        <w:t xml:space="preserve"> </w:t>
      </w:r>
      <w:r w:rsidR="00E24D53" w:rsidRPr="006C6050">
        <w:rPr>
          <w:rFonts w:ascii="Century Gothic" w:eastAsia="Times New Roman" w:hAnsi="Century Gothic" w:cs="Times New Roman"/>
          <w:i/>
          <w:iCs/>
          <w:sz w:val="22"/>
          <w:szCs w:val="22"/>
          <w:lang w:val="es-ES" w:eastAsia="es-ES"/>
        </w:rPr>
        <w:t xml:space="preserve">GVA </w:t>
      </w:r>
      <w:r w:rsidRPr="006C6050">
        <w:rPr>
          <w:rFonts w:ascii="Century Gothic" w:eastAsia="Times New Roman" w:hAnsi="Century Gothic" w:cs="Times New Roman"/>
          <w:i/>
          <w:iCs/>
          <w:sz w:val="22"/>
          <w:szCs w:val="22"/>
          <w:lang w:val="es-ES" w:eastAsia="es-ES"/>
        </w:rPr>
        <w:t>Oberta</w:t>
      </w:r>
      <w:r w:rsidRPr="00DC78D1">
        <w:rPr>
          <w:rFonts w:ascii="Century Gothic" w:eastAsia="Times New Roman" w:hAnsi="Century Gothic" w:cs="Times New Roman"/>
          <w:sz w:val="22"/>
          <w:szCs w:val="22"/>
          <w:lang w:val="es-ES" w:eastAsia="es-ES"/>
        </w:rPr>
        <w:t xml:space="preserve"> de conformidad con lo dispuesto en el artículo 9.1c. de la Ley 1/2022, de 13 de abril, de la Generalitat, de Transparencia y Buen Gobierno de la Comunitat Valenciana.</w:t>
      </w:r>
    </w:p>
    <w:p w14:paraId="75A578DF"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 xml:space="preserve">Decimosexta. Notificación a la Comisión Europea. </w:t>
      </w:r>
    </w:p>
    <w:p w14:paraId="681B00BD" w14:textId="26E3249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Se ha remitido a la dirección general con competencias en materia de financiación y fondos europeos de la Conselleria de Hacienda</w:t>
      </w:r>
      <w:r w:rsidR="00C32902">
        <w:rPr>
          <w:rFonts w:ascii="Century Gothic" w:eastAsia="Times New Roman" w:hAnsi="Century Gothic" w:cs="Times New Roman"/>
          <w:color w:val="000000"/>
          <w:sz w:val="22"/>
          <w:szCs w:val="22"/>
          <w:lang w:val="es-ES" w:eastAsia="es-ES"/>
        </w:rPr>
        <w:t>, Economía y Administración Pública,</w:t>
      </w:r>
      <w:r w:rsidRPr="00DC78D1">
        <w:rPr>
          <w:rFonts w:ascii="Century Gothic" w:eastAsia="Times New Roman" w:hAnsi="Century Gothic" w:cs="Times New Roman"/>
          <w:color w:val="000000"/>
          <w:sz w:val="22"/>
          <w:szCs w:val="22"/>
          <w:lang w:val="es-ES" w:eastAsia="es-ES"/>
        </w:rPr>
        <w:t xml:space="preserve"> la ficha informativa de ayudas no sujetas al artículo 107.1 del Tratado de Funcionamiento de la Unión Europea y la lista de comprobación para proyectos aplicada al caso concreto de la transferencia objeto de la resolución que se propone, dado que se considera que no se precisa de su notificación a la Comisión Europea por no ser incompatible con el mercado </w:t>
      </w:r>
      <w:r w:rsidRPr="00DC78D1">
        <w:rPr>
          <w:rFonts w:ascii="Century Gothic" w:eastAsia="Times New Roman" w:hAnsi="Century Gothic" w:cs="Times New Roman"/>
          <w:color w:val="000000"/>
          <w:sz w:val="22"/>
          <w:szCs w:val="22"/>
          <w:lang w:val="es-ES" w:eastAsia="es-ES"/>
        </w:rPr>
        <w:lastRenderedPageBreak/>
        <w:t>interior, al tratarse de una contribución pública cuyo efecto se limita a compensar la gestión de los servicios en el ámbito de la Comunidad Valenciana sin que afecte a los intercambios comerciales entre Estados Miembros.</w:t>
      </w:r>
    </w:p>
    <w:p w14:paraId="4664C768"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Decimoséptima. Naturaleza, Régimen Jurídico y jurisdicción</w:t>
      </w:r>
    </w:p>
    <w:p w14:paraId="2342C0EB" w14:textId="7A6D46CF"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A este convenio le resulta de aplicación la Ley 38/2003, de 17 de noviembre, General de Subvenciones y su reglamento de desarrollo, aprobado por el Real Decreto 887/2006, de 21 de julio, la Ley 1/2015, de 6 de Febrero, de </w:t>
      </w:r>
      <w:r w:rsidR="00A6045F">
        <w:rPr>
          <w:rFonts w:ascii="Century Gothic" w:eastAsia="Times New Roman" w:hAnsi="Century Gothic" w:cs="Times New Roman"/>
          <w:color w:val="000000"/>
          <w:sz w:val="22"/>
          <w:szCs w:val="22"/>
          <w:lang w:val="es-ES" w:eastAsia="es-ES"/>
        </w:rPr>
        <w:t>H</w:t>
      </w:r>
      <w:r w:rsidRPr="00DC78D1">
        <w:rPr>
          <w:rFonts w:ascii="Century Gothic" w:eastAsia="Times New Roman" w:hAnsi="Century Gothic" w:cs="Times New Roman"/>
          <w:color w:val="000000"/>
          <w:sz w:val="22"/>
          <w:szCs w:val="22"/>
          <w:lang w:val="es-ES" w:eastAsia="es-ES"/>
        </w:rPr>
        <w:t>acienda Pública, del sector público Instrumental y de Subvenciones, artículo 168.</w:t>
      </w:r>
      <w:r w:rsidR="00A6045F">
        <w:rPr>
          <w:rFonts w:ascii="Century Gothic" w:eastAsia="Times New Roman" w:hAnsi="Century Gothic" w:cs="Times New Roman"/>
          <w:color w:val="000000"/>
          <w:sz w:val="22"/>
          <w:szCs w:val="22"/>
          <w:lang w:val="es-ES" w:eastAsia="es-ES"/>
        </w:rPr>
        <w:t>1 a</w:t>
      </w:r>
      <w:r w:rsidRPr="00DC78D1">
        <w:rPr>
          <w:rFonts w:ascii="Century Gothic" w:eastAsia="Times New Roman" w:hAnsi="Century Gothic" w:cs="Times New Roman"/>
          <w:color w:val="000000"/>
          <w:sz w:val="22"/>
          <w:szCs w:val="22"/>
          <w:lang w:val="es-ES" w:eastAsia="es-ES"/>
        </w:rPr>
        <w:t>), la Ley 39/2015, de 1 de octubre, del Procedimiento administrativo común de las administraciones públicas y demás normas de derecho administrativo y, en su defecto, las normas de derecho privado.</w:t>
      </w:r>
    </w:p>
    <w:p w14:paraId="4FBC3587"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bookmarkStart w:id="15" w:name="_Toc275950736"/>
      <w:bookmarkStart w:id="16" w:name="_Toc278537547"/>
      <w:bookmarkStart w:id="17" w:name="_Toc276710414"/>
      <w:bookmarkStart w:id="18" w:name="_Toc276710413"/>
      <w:bookmarkStart w:id="19" w:name="_Toc278537546"/>
      <w:bookmarkStart w:id="20" w:name="_Toc276710412"/>
      <w:bookmarkStart w:id="21" w:name="_Toc278537545"/>
      <w:bookmarkStart w:id="22" w:name="_Toc276710411"/>
      <w:bookmarkStart w:id="23" w:name="_Toc278537544"/>
      <w:bookmarkStart w:id="24" w:name="_Toc276710410"/>
      <w:bookmarkStart w:id="25" w:name="_Toc278537543"/>
      <w:bookmarkStart w:id="26" w:name="_Toc276710409"/>
      <w:bookmarkStart w:id="27" w:name="_Toc278537542"/>
      <w:bookmarkStart w:id="28" w:name="_Toc276710408"/>
      <w:bookmarkStart w:id="29" w:name="_Toc278537541"/>
      <w:bookmarkStart w:id="30" w:name="_Toc276710407"/>
      <w:bookmarkStart w:id="31" w:name="_Toc27853754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DC78D1">
        <w:rPr>
          <w:rFonts w:ascii="Century Gothic" w:eastAsia="Times New Roman" w:hAnsi="Century Gothic" w:cs="Times New Roman"/>
          <w:color w:val="000000"/>
          <w:sz w:val="22"/>
          <w:szCs w:val="22"/>
          <w:lang w:val="es-ES" w:eastAsia="es-ES"/>
        </w:rPr>
        <w:t>Dada la naturaleza administrativa de este Convenio, las cuestiones litigiosas que pudieran derivarse del mismo serán sometidas a la jurisdicción contencioso-administrativa.</w:t>
      </w:r>
    </w:p>
    <w:p w14:paraId="1354CBE5" w14:textId="027BC25C" w:rsidR="000D2BD2" w:rsidRDefault="000D2BD2" w:rsidP="000D2BD2">
      <w:pPr>
        <w:spacing w:before="252" w:after="140" w:line="244" w:lineRule="auto"/>
        <w:ind w:right="144"/>
        <w:jc w:val="both"/>
        <w:textAlignment w:val="auto"/>
        <w:rPr>
          <w:rFonts w:ascii="Century Gothic" w:eastAsia="Liberation Serif" w:hAnsi="Century Gothic" w:cs="Arial"/>
          <w:w w:val="105"/>
          <w:sz w:val="22"/>
          <w:szCs w:val="22"/>
          <w:lang w:val="es-ES" w:eastAsia="zh-CN" w:bidi="hi-IN"/>
        </w:rPr>
      </w:pPr>
      <w:r w:rsidRPr="000D2BD2">
        <w:rPr>
          <w:rFonts w:ascii="Century Gothic" w:eastAsia="Liberation Serif" w:hAnsi="Century Gothic" w:cs="Arial"/>
          <w:w w:val="105"/>
          <w:sz w:val="22"/>
          <w:szCs w:val="22"/>
          <w:lang w:val="es-ES" w:eastAsia="zh-CN" w:bidi="hi-IN"/>
        </w:rPr>
        <w:t>Y para que conste a los efectos oportunos, como prueba en conformidad con todo el anterior, firman los comparecientes, en el lugar y la fecha que se indican.</w:t>
      </w:r>
    </w:p>
    <w:p w14:paraId="303AB779" w14:textId="77777777" w:rsidR="000D2BD2" w:rsidRDefault="000D2BD2" w:rsidP="000D2BD2">
      <w:pPr>
        <w:spacing w:before="252" w:after="140" w:line="244" w:lineRule="auto"/>
        <w:ind w:right="144"/>
        <w:jc w:val="both"/>
        <w:textAlignment w:val="auto"/>
        <w:rPr>
          <w:rFonts w:ascii="Century Gothic" w:eastAsia="Liberation Serif" w:hAnsi="Century Gothic" w:cs="Arial"/>
          <w:w w:val="105"/>
          <w:sz w:val="22"/>
          <w:szCs w:val="22"/>
          <w:lang w:val="es-ES" w:eastAsia="zh-CN" w:bidi="hi-IN"/>
        </w:rPr>
      </w:pP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5338"/>
      </w:tblGrid>
      <w:tr w:rsidR="00F10E35" w14:paraId="2090F843" w14:textId="77777777" w:rsidTr="000D2BD2">
        <w:trPr>
          <w:trHeight w:val="1169"/>
        </w:trPr>
        <w:tc>
          <w:tcPr>
            <w:tcW w:w="4868" w:type="dxa"/>
          </w:tcPr>
          <w:p w14:paraId="32EE76CA" w14:textId="3079123A" w:rsidR="00291815" w:rsidRDefault="00291815" w:rsidP="00234F88">
            <w:pPr>
              <w:widowControl/>
              <w:autoSpaceDN/>
              <w:jc w:val="center"/>
              <w:textAlignment w:val="auto"/>
              <w:rPr>
                <w:rFonts w:ascii="Century Gothic" w:eastAsia="Times New Roman" w:hAnsi="Century Gothic" w:cs="Times New Roman"/>
                <w:color w:val="000000"/>
                <w:sz w:val="22"/>
                <w:szCs w:val="22"/>
                <w:lang w:val="es-ES" w:eastAsia="es-ES"/>
              </w:rPr>
            </w:pPr>
            <w:r>
              <w:rPr>
                <w:rFonts w:ascii="Century Gothic" w:eastAsia="Times New Roman" w:hAnsi="Century Gothic" w:cs="Times New Roman"/>
                <w:color w:val="000000"/>
                <w:sz w:val="22"/>
                <w:szCs w:val="22"/>
                <w:lang w:val="es-ES" w:eastAsia="es-ES"/>
              </w:rPr>
              <w:t xml:space="preserve">La </w:t>
            </w:r>
            <w:r w:rsidR="00F10E35" w:rsidRPr="00DC78D1">
              <w:rPr>
                <w:rFonts w:ascii="Century Gothic" w:eastAsia="Times New Roman" w:hAnsi="Century Gothic" w:cs="Times New Roman"/>
                <w:color w:val="000000"/>
                <w:sz w:val="22"/>
                <w:szCs w:val="22"/>
                <w:lang w:val="es-ES" w:eastAsia="es-ES"/>
              </w:rPr>
              <w:t>vicepresident</w:t>
            </w:r>
            <w:r>
              <w:rPr>
                <w:rFonts w:ascii="Century Gothic" w:eastAsia="Times New Roman" w:hAnsi="Century Gothic" w:cs="Times New Roman"/>
                <w:color w:val="000000"/>
                <w:sz w:val="22"/>
                <w:szCs w:val="22"/>
                <w:lang w:val="es-ES" w:eastAsia="es-ES"/>
              </w:rPr>
              <w:t>a</w:t>
            </w:r>
            <w:r w:rsidR="000D2BD2">
              <w:rPr>
                <w:rFonts w:ascii="Century Gothic" w:eastAsia="Times New Roman" w:hAnsi="Century Gothic" w:cs="Times New Roman"/>
                <w:color w:val="000000"/>
                <w:sz w:val="22"/>
                <w:szCs w:val="22"/>
                <w:lang w:val="es-ES" w:eastAsia="es-ES"/>
              </w:rPr>
              <w:t xml:space="preserve"> primera</w:t>
            </w:r>
            <w:r w:rsidR="00F10E35" w:rsidRPr="00DC78D1">
              <w:rPr>
                <w:rFonts w:ascii="Century Gothic" w:eastAsia="Times New Roman" w:hAnsi="Century Gothic" w:cs="Times New Roman"/>
                <w:color w:val="000000"/>
                <w:sz w:val="22"/>
                <w:szCs w:val="22"/>
                <w:lang w:val="es-ES" w:eastAsia="es-ES"/>
              </w:rPr>
              <w:t xml:space="preserve"> y conseller</w:t>
            </w:r>
            <w:r>
              <w:rPr>
                <w:rFonts w:ascii="Century Gothic" w:eastAsia="Times New Roman" w:hAnsi="Century Gothic" w:cs="Times New Roman"/>
                <w:color w:val="000000"/>
                <w:sz w:val="22"/>
                <w:szCs w:val="22"/>
                <w:lang w:val="es-ES" w:eastAsia="es-ES"/>
              </w:rPr>
              <w:t>a</w:t>
            </w:r>
          </w:p>
          <w:p w14:paraId="19770CAD" w14:textId="63E1FC62" w:rsidR="00F10E35" w:rsidRPr="00DC78D1" w:rsidRDefault="00F10E35" w:rsidP="00234F88">
            <w:pPr>
              <w:widowControl/>
              <w:autoSpaceDN/>
              <w:jc w:val="center"/>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de</w:t>
            </w:r>
            <w:r w:rsidR="00291815">
              <w:rPr>
                <w:rFonts w:ascii="Century Gothic" w:eastAsia="Times New Roman" w:hAnsi="Century Gothic" w:cs="Times New Roman"/>
                <w:color w:val="000000"/>
                <w:sz w:val="22"/>
                <w:szCs w:val="22"/>
                <w:lang w:val="es-ES" w:eastAsia="es-ES"/>
              </w:rPr>
              <w:t xml:space="preserve"> Servicios Sociales, Igualdad y </w:t>
            </w:r>
            <w:r w:rsidRPr="00DC78D1">
              <w:rPr>
                <w:rFonts w:ascii="Century Gothic" w:eastAsia="Times New Roman" w:hAnsi="Century Gothic" w:cs="Times New Roman"/>
                <w:color w:val="000000"/>
                <w:sz w:val="22"/>
                <w:szCs w:val="22"/>
                <w:lang w:val="es-ES" w:eastAsia="es-ES"/>
              </w:rPr>
              <w:t>Vivienda</w:t>
            </w:r>
          </w:p>
          <w:p w14:paraId="3055AA7B" w14:textId="77777777" w:rsidR="00F10E35" w:rsidRDefault="00F10E35" w:rsidP="00234F88">
            <w:pPr>
              <w:widowControl/>
              <w:autoSpaceDN/>
              <w:jc w:val="center"/>
              <w:textAlignment w:val="auto"/>
              <w:rPr>
                <w:rFonts w:ascii="Times New Roman" w:eastAsia="Times New Roman" w:hAnsi="Times New Roman" w:cs="Times New Roman"/>
                <w:lang w:val="es-ES" w:eastAsia="es-ES"/>
              </w:rPr>
            </w:pPr>
          </w:p>
        </w:tc>
        <w:tc>
          <w:tcPr>
            <w:tcW w:w="5338" w:type="dxa"/>
          </w:tcPr>
          <w:p w14:paraId="641A0AD3" w14:textId="1AFC522C" w:rsidR="00F10E35" w:rsidRPr="00DC78D1" w:rsidRDefault="000D2BD2" w:rsidP="000D2BD2">
            <w:pPr>
              <w:widowControl/>
              <w:autoSpaceDN/>
              <w:jc w:val="both"/>
              <w:textAlignment w:val="auto"/>
              <w:rPr>
                <w:rFonts w:ascii="Times New Roman" w:eastAsia="Times New Roman" w:hAnsi="Times New Roman" w:cs="Times New Roman"/>
                <w:lang w:val="es-ES" w:eastAsia="es-ES"/>
              </w:rPr>
            </w:pPr>
            <w:r>
              <w:rPr>
                <w:rFonts w:ascii="Century Gothic" w:eastAsia="Times New Roman" w:hAnsi="Century Gothic" w:cs="Times New Roman"/>
                <w:color w:val="000000"/>
                <w:sz w:val="22"/>
                <w:szCs w:val="22"/>
                <w:lang w:val="es-ES" w:eastAsia="es-ES"/>
              </w:rPr>
              <w:t xml:space="preserve">Vicepresidente de la </w:t>
            </w:r>
            <w:r w:rsidR="00F10E35" w:rsidRPr="00DC78D1">
              <w:rPr>
                <w:rFonts w:ascii="Century Gothic" w:eastAsia="Times New Roman" w:hAnsi="Century Gothic" w:cs="Times New Roman"/>
                <w:color w:val="000000"/>
                <w:sz w:val="22"/>
                <w:szCs w:val="22"/>
                <w:lang w:val="es-ES" w:eastAsia="es-ES"/>
              </w:rPr>
              <w:t>Federación Autonómica de Asociaciones Gitanas de la Comunitat Valenciana</w:t>
            </w:r>
          </w:p>
          <w:p w14:paraId="617A014E" w14:textId="77777777" w:rsidR="00F10E35" w:rsidRDefault="00F10E35" w:rsidP="00234F88">
            <w:pPr>
              <w:widowControl/>
              <w:autoSpaceDN/>
              <w:textAlignment w:val="auto"/>
              <w:rPr>
                <w:rFonts w:ascii="Times New Roman" w:eastAsia="Times New Roman" w:hAnsi="Times New Roman" w:cs="Times New Roman"/>
                <w:lang w:val="es-ES" w:eastAsia="es-ES"/>
              </w:rPr>
            </w:pPr>
          </w:p>
        </w:tc>
      </w:tr>
    </w:tbl>
    <w:p w14:paraId="6D81C2D5" w14:textId="77777777" w:rsidR="00F10E35" w:rsidRDefault="00F10E35" w:rsidP="00234F88">
      <w:pPr>
        <w:widowControl/>
        <w:autoSpaceDN/>
        <w:spacing w:before="100" w:beforeAutospacing="1" w:line="288" w:lineRule="auto"/>
        <w:textAlignment w:val="auto"/>
        <w:rPr>
          <w:rFonts w:ascii="Times New Roman" w:eastAsia="Times New Roman" w:hAnsi="Times New Roman" w:cs="Times New Roman"/>
          <w:lang w:val="es-ES" w:eastAsia="es-ES"/>
        </w:rPr>
      </w:pPr>
    </w:p>
    <w:p w14:paraId="54385ABA" w14:textId="77777777" w:rsidR="00903491" w:rsidRDefault="00903491" w:rsidP="00234F88">
      <w:pPr>
        <w:widowControl/>
        <w:autoSpaceDN/>
        <w:spacing w:before="100" w:beforeAutospacing="1" w:line="288" w:lineRule="auto"/>
        <w:textAlignment w:val="auto"/>
        <w:rPr>
          <w:rFonts w:ascii="Times New Roman" w:eastAsia="Times New Roman" w:hAnsi="Times New Roman" w:cs="Times New Roman"/>
          <w:lang w:val="es-ES" w:eastAsia="es-ES"/>
        </w:rPr>
      </w:pPr>
    </w:p>
    <w:p w14:paraId="7EA4EAD0" w14:textId="77777777" w:rsidR="00291815" w:rsidRPr="00DC78D1" w:rsidRDefault="00291815" w:rsidP="000D2BD2">
      <w:pPr>
        <w:widowControl/>
        <w:autoSpaceDN/>
        <w:spacing w:before="100" w:beforeAutospacing="1" w:line="288" w:lineRule="auto"/>
        <w:textAlignment w:val="auto"/>
        <w:rPr>
          <w:rFonts w:ascii="Times New Roman" w:eastAsia="Times New Roman" w:hAnsi="Times New Roman" w:cs="Times New Roman"/>
          <w:lang w:val="es-ES" w:eastAsia="es-ES"/>
        </w:rPr>
      </w:pPr>
    </w:p>
    <w:sectPr w:rsidR="00291815" w:rsidRPr="00DC78D1" w:rsidSect="00144FF4">
      <w:headerReference w:type="default" r:id="rId10"/>
      <w:footerReference w:type="default" r:id="rId11"/>
      <w:headerReference w:type="first" r:id="rId12"/>
      <w:pgSz w:w="11906" w:h="16838"/>
      <w:pgMar w:top="1440" w:right="1080" w:bottom="1440" w:left="1080" w:header="719" w:footer="9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F7C8B" w14:textId="77777777" w:rsidR="006A54F6" w:rsidRDefault="006A54F6">
      <w:r>
        <w:separator/>
      </w:r>
    </w:p>
  </w:endnote>
  <w:endnote w:type="continuationSeparator" w:id="0">
    <w:p w14:paraId="56A810F2" w14:textId="77777777" w:rsidR="006A54F6" w:rsidRDefault="006A5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366E7" w14:textId="2B0B7FCD" w:rsidR="00930E7B" w:rsidRPr="00930E7B" w:rsidRDefault="00930E7B">
    <w:pPr>
      <w:tabs>
        <w:tab w:val="center" w:pos="4550"/>
        <w:tab w:val="left" w:pos="5818"/>
      </w:tabs>
      <w:ind w:right="260"/>
      <w:jc w:val="right"/>
      <w:rPr>
        <w:color w:val="222A35" w:themeColor="text2" w:themeShade="80"/>
        <w:sz w:val="18"/>
        <w:szCs w:val="18"/>
      </w:rPr>
    </w:pPr>
    <w:r w:rsidRPr="00930E7B">
      <w:rPr>
        <w:color w:val="323E4F" w:themeColor="text2" w:themeShade="BF"/>
        <w:sz w:val="18"/>
        <w:szCs w:val="18"/>
        <w:lang w:val="es-ES"/>
      </w:rPr>
      <w:t xml:space="preserve">de </w:t>
    </w:r>
    <w:r w:rsidRPr="00930E7B">
      <w:rPr>
        <w:color w:val="323E4F" w:themeColor="text2" w:themeShade="BF"/>
        <w:sz w:val="18"/>
        <w:szCs w:val="18"/>
      </w:rPr>
      <w:fldChar w:fldCharType="begin"/>
    </w:r>
    <w:r w:rsidRPr="00930E7B">
      <w:rPr>
        <w:color w:val="323E4F" w:themeColor="text2" w:themeShade="BF"/>
        <w:sz w:val="18"/>
        <w:szCs w:val="18"/>
      </w:rPr>
      <w:instrText>NUMPAGES  \* Arabic  \* MERGEFORMAT</w:instrText>
    </w:r>
    <w:r w:rsidRPr="00930E7B">
      <w:rPr>
        <w:color w:val="323E4F" w:themeColor="text2" w:themeShade="BF"/>
        <w:sz w:val="18"/>
        <w:szCs w:val="18"/>
      </w:rPr>
      <w:fldChar w:fldCharType="separate"/>
    </w:r>
    <w:r w:rsidRPr="00930E7B">
      <w:rPr>
        <w:color w:val="323E4F" w:themeColor="text2" w:themeShade="BF"/>
        <w:sz w:val="18"/>
        <w:szCs w:val="18"/>
        <w:lang w:val="es-ES"/>
      </w:rPr>
      <w:t>1</w:t>
    </w:r>
    <w:r w:rsidRPr="00930E7B">
      <w:rPr>
        <w:color w:val="323E4F" w:themeColor="text2" w:themeShade="BF"/>
        <w:sz w:val="18"/>
        <w:szCs w:val="18"/>
      </w:rPr>
      <w:fldChar w:fldCharType="end"/>
    </w:r>
  </w:p>
  <w:p w14:paraId="26A0F055" w14:textId="77777777" w:rsidR="00930E7B" w:rsidRDefault="00930E7B" w:rsidP="00930E7B">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63625" w14:textId="77777777" w:rsidR="006A54F6" w:rsidRDefault="006A54F6">
      <w:r>
        <w:rPr>
          <w:color w:val="000000"/>
        </w:rPr>
        <w:separator/>
      </w:r>
    </w:p>
  </w:footnote>
  <w:footnote w:type="continuationSeparator" w:id="0">
    <w:p w14:paraId="377EFB4F" w14:textId="77777777" w:rsidR="006A54F6" w:rsidRDefault="006A5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363D" w14:textId="08F76495" w:rsidR="00803369" w:rsidRDefault="00234F88">
    <w:pPr>
      <w:pStyle w:val="Encabezado"/>
    </w:pPr>
    <w:r w:rsidRPr="001B390C">
      <w:rPr>
        <w:rFonts w:ascii="Times New Roman" w:eastAsia="Times New Roman" w:hAnsi="Times New Roman" w:cs="Times New Roman"/>
        <w:noProof/>
        <w:lang w:val="es-ES" w:eastAsia="es-ES"/>
      </w:rPr>
      <w:drawing>
        <wp:anchor distT="0" distB="0" distL="114300" distR="114300" simplePos="0" relativeHeight="251659264" behindDoc="0" locked="0" layoutInCell="1" allowOverlap="1" wp14:anchorId="15DA6862" wp14:editId="25B1BA66">
          <wp:simplePos x="0" y="0"/>
          <wp:positionH relativeFrom="column">
            <wp:posOffset>-327660</wp:posOffset>
          </wp:positionH>
          <wp:positionV relativeFrom="paragraph">
            <wp:posOffset>-206375</wp:posOffset>
          </wp:positionV>
          <wp:extent cx="2362200" cy="1217930"/>
          <wp:effectExtent l="0" t="0" r="0" b="0"/>
          <wp:wrapSquare wrapText="bothSides"/>
          <wp:docPr id="2"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2200" cy="1217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4FF4">
      <w:ptab w:relativeTo="margin" w:alignment="center" w:leader="none"/>
    </w:r>
    <w:r w:rsidR="00144FF4">
      <w:ptab w:relativeTo="margin" w:alignment="right" w:leader="none"/>
    </w:r>
    <w:r w:rsidR="00930E7B" w:rsidRPr="00930E7B">
      <w:rPr>
        <w:noProof/>
      </w:rPr>
      <w:drawing>
        <wp:inline distT="0" distB="0" distL="0" distR="0" wp14:anchorId="2B6EA99B" wp14:editId="2F6B2766">
          <wp:extent cx="1153709" cy="560705"/>
          <wp:effectExtent l="0" t="0" r="889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82218" cy="574560"/>
                  </a:xfrm>
                  <a:prstGeom prst="rect">
                    <a:avLst/>
                  </a:prstGeom>
                </pic:spPr>
              </pic:pic>
            </a:graphicData>
          </a:graphic>
        </wp:inline>
      </w:drawing>
    </w:r>
  </w:p>
  <w:p w14:paraId="0C2450E8" w14:textId="77777777" w:rsidR="00930E7B" w:rsidRDefault="00930E7B">
    <w:pPr>
      <w:pStyle w:val="Encabezado"/>
    </w:pPr>
  </w:p>
  <w:p w14:paraId="0F9C2408" w14:textId="77777777" w:rsidR="00930E7B" w:rsidRDefault="00930E7B">
    <w:pPr>
      <w:pStyle w:val="Encabezado"/>
    </w:pPr>
  </w:p>
  <w:p w14:paraId="70D93121" w14:textId="77777777" w:rsidR="00903491" w:rsidRDefault="009034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54511" w14:textId="0DC4A259" w:rsidR="00803369" w:rsidRDefault="00803369" w:rsidP="00342774">
    <w:pPr>
      <w:pStyle w:val="Encabezado"/>
      <w:ind w:left="4536" w:right="851"/>
      <w:rPr>
        <w:rFonts w:ascii="Roboto" w:hAnsi="Roboto" w:cs="Times New Roman"/>
        <w:color w:val="C00000"/>
        <w:sz w:val="16"/>
        <w:szCs w:val="16"/>
        <w:lang w:eastAsia="es-ES_tradnl"/>
      </w:rPr>
    </w:pPr>
  </w:p>
  <w:tbl>
    <w:tblPr>
      <w:tblStyle w:val="Tablaconcuadrcula"/>
      <w:tblW w:w="0" w:type="auto"/>
      <w:tblLook w:val="04A0" w:firstRow="1" w:lastRow="0" w:firstColumn="1" w:lastColumn="0" w:noHBand="0" w:noVBand="1"/>
    </w:tblPr>
    <w:tblGrid>
      <w:gridCol w:w="9736"/>
    </w:tblGrid>
    <w:tr w:rsidR="00DC78D1" w14:paraId="3ABD39D7" w14:textId="77777777" w:rsidTr="00DC78D1">
      <w:trPr>
        <w:trHeight w:val="2401"/>
      </w:trPr>
      <w:tc>
        <w:tcPr>
          <w:tcW w:w="9736" w:type="dxa"/>
        </w:tcPr>
        <w:tbl>
          <w:tblPr>
            <w:tblStyle w:val="Tablaconcuadrcula"/>
            <w:tblW w:w="0" w:type="auto"/>
            <w:tblLook w:val="04A0" w:firstRow="1" w:lastRow="0" w:firstColumn="1" w:lastColumn="0" w:noHBand="0" w:noVBand="1"/>
          </w:tblPr>
          <w:tblGrid>
            <w:gridCol w:w="4460"/>
            <w:gridCol w:w="2230"/>
            <w:gridCol w:w="2820"/>
          </w:tblGrid>
          <w:tr w:rsidR="00144FF4" w14:paraId="1A81ADE7" w14:textId="77777777" w:rsidTr="00144FF4">
            <w:trPr>
              <w:trHeight w:val="1537"/>
            </w:trPr>
            <w:tc>
              <w:tcPr>
                <w:tcW w:w="4460" w:type="dxa"/>
                <w:tcBorders>
                  <w:top w:val="nil"/>
                  <w:left w:val="nil"/>
                  <w:bottom w:val="nil"/>
                  <w:right w:val="nil"/>
                </w:tcBorders>
              </w:tcPr>
              <w:p w14:paraId="7B94F342" w14:textId="0969FDC3" w:rsidR="00DC78D1" w:rsidRDefault="00144FF4">
                <w:bookmarkStart w:id="32" w:name="_Hlk149811995"/>
                <w:r>
                  <w:rPr>
                    <w:noProof/>
                  </w:rPr>
                  <w:drawing>
                    <wp:inline distT="0" distB="0" distL="0" distR="0" wp14:anchorId="367CF0BE" wp14:editId="0488A68C">
                      <wp:extent cx="2694940" cy="139001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4940" cy="1390015"/>
                              </a:xfrm>
                              <a:prstGeom prst="rect">
                                <a:avLst/>
                              </a:prstGeom>
                              <a:noFill/>
                            </pic:spPr>
                          </pic:pic>
                        </a:graphicData>
                      </a:graphic>
                    </wp:inline>
                  </w:drawing>
                </w:r>
              </w:p>
            </w:tc>
            <w:tc>
              <w:tcPr>
                <w:tcW w:w="2230" w:type="dxa"/>
                <w:tcBorders>
                  <w:top w:val="nil"/>
                  <w:left w:val="nil"/>
                  <w:bottom w:val="nil"/>
                  <w:right w:val="nil"/>
                </w:tcBorders>
              </w:tcPr>
              <w:p w14:paraId="21FFE125" w14:textId="77777777" w:rsidR="00DC78D1" w:rsidRDefault="00DC78D1"/>
              <w:p w14:paraId="1C45361F" w14:textId="0F086B9C" w:rsidR="00DC78D1" w:rsidRDefault="00DC78D1">
                <w:r w:rsidRPr="00DC78D1">
                  <w:rPr>
                    <w:noProof/>
                  </w:rPr>
                  <w:drawing>
                    <wp:inline distT="0" distB="0" distL="0" distR="0" wp14:anchorId="5114EF53" wp14:editId="2B2E3113">
                      <wp:extent cx="590763" cy="49932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590763" cy="499323"/>
                              </a:xfrm>
                              <a:prstGeom prst="rect">
                                <a:avLst/>
                              </a:prstGeom>
                            </pic:spPr>
                          </pic:pic>
                        </a:graphicData>
                      </a:graphic>
                    </wp:inline>
                  </w:drawing>
                </w:r>
              </w:p>
            </w:tc>
            <w:tc>
              <w:tcPr>
                <w:tcW w:w="2820" w:type="dxa"/>
                <w:tcBorders>
                  <w:top w:val="nil"/>
                  <w:left w:val="nil"/>
                  <w:bottom w:val="nil"/>
                  <w:right w:val="nil"/>
                </w:tcBorders>
              </w:tcPr>
              <w:p w14:paraId="51A9B100" w14:textId="77777777" w:rsidR="00DC78D1" w:rsidRDefault="00DC78D1"/>
              <w:p w14:paraId="263A0294" w14:textId="60955C38" w:rsidR="00DC78D1" w:rsidRDefault="00144FF4">
                <w:r w:rsidRPr="00144FF4">
                  <w:rPr>
                    <w:noProof/>
                  </w:rPr>
                  <w:drawing>
                    <wp:inline distT="0" distB="0" distL="0" distR="0" wp14:anchorId="5CFFB7F8" wp14:editId="23206D32">
                      <wp:extent cx="1497437" cy="837560"/>
                      <wp:effectExtent l="0" t="0" r="762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533636" cy="857807"/>
                              </a:xfrm>
                              <a:prstGeom prst="rect">
                                <a:avLst/>
                              </a:prstGeom>
                            </pic:spPr>
                          </pic:pic>
                        </a:graphicData>
                      </a:graphic>
                    </wp:inline>
                  </w:drawing>
                </w:r>
              </w:p>
            </w:tc>
          </w:tr>
        </w:tbl>
        <w:p w14:paraId="333CB374" w14:textId="77777777" w:rsidR="00DC78D1" w:rsidRDefault="00DC78D1"/>
      </w:tc>
    </w:tr>
    <w:bookmarkEnd w:id="32"/>
  </w:tbl>
  <w:p w14:paraId="1FF7833B" w14:textId="7C7139CF" w:rsidR="00803369" w:rsidRDefault="00803369" w:rsidP="00DC78D1">
    <w:pPr>
      <w:pStyle w:val="Standard"/>
      <w:rPr>
        <w:rFonts w:ascii="Roboto" w:hAnsi="Roboto" w:cs="Times New Roman"/>
        <w:bCs/>
        <w:color w:val="C00000"/>
        <w:sz w:val="16"/>
        <w:szCs w:val="16"/>
        <w:lang w:eastAsia="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E26F8"/>
    <w:multiLevelType w:val="multilevel"/>
    <w:tmpl w:val="73D8A91C"/>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74066C6E"/>
    <w:multiLevelType w:val="hybridMultilevel"/>
    <w:tmpl w:val="0562EB10"/>
    <w:lvl w:ilvl="0" w:tplc="0C4639C0">
      <w:start w:val="4"/>
      <w:numFmt w:val="bullet"/>
      <w:lvlText w:val="-"/>
      <w:lvlJc w:val="left"/>
      <w:pPr>
        <w:ind w:left="1080" w:hanging="360"/>
      </w:pPr>
      <w:rPr>
        <w:rFonts w:ascii="Century Gothic" w:eastAsia="Times New Roman" w:hAnsi="Century Gothic" w:cs="Times New Roman" w:hint="default"/>
        <w:sz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7D724F56"/>
    <w:multiLevelType w:val="hybridMultilevel"/>
    <w:tmpl w:val="FE4668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39658423">
    <w:abstractNumId w:val="0"/>
  </w:num>
  <w:num w:numId="2" w16cid:durableId="65690386">
    <w:abstractNumId w:val="1"/>
  </w:num>
  <w:num w:numId="3" w16cid:durableId="1513646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03C"/>
    <w:rsid w:val="000153BC"/>
    <w:rsid w:val="0003331A"/>
    <w:rsid w:val="00086A7C"/>
    <w:rsid w:val="000A0685"/>
    <w:rsid w:val="000A673B"/>
    <w:rsid w:val="000C5C1F"/>
    <w:rsid w:val="000D2BD2"/>
    <w:rsid w:val="00115025"/>
    <w:rsid w:val="00116C96"/>
    <w:rsid w:val="00141FAA"/>
    <w:rsid w:val="00144FF4"/>
    <w:rsid w:val="00157622"/>
    <w:rsid w:val="00163336"/>
    <w:rsid w:val="00164B9C"/>
    <w:rsid w:val="001A1888"/>
    <w:rsid w:val="00207EFD"/>
    <w:rsid w:val="002250B6"/>
    <w:rsid w:val="00234F88"/>
    <w:rsid w:val="00246187"/>
    <w:rsid w:val="00247A95"/>
    <w:rsid w:val="00266BB4"/>
    <w:rsid w:val="00291815"/>
    <w:rsid w:val="002A056C"/>
    <w:rsid w:val="002A1CD5"/>
    <w:rsid w:val="002B2348"/>
    <w:rsid w:val="002B603C"/>
    <w:rsid w:val="002F6D68"/>
    <w:rsid w:val="0031041C"/>
    <w:rsid w:val="00317840"/>
    <w:rsid w:val="00337858"/>
    <w:rsid w:val="00342774"/>
    <w:rsid w:val="003458D0"/>
    <w:rsid w:val="00361988"/>
    <w:rsid w:val="00362E84"/>
    <w:rsid w:val="003909DB"/>
    <w:rsid w:val="003A6E8D"/>
    <w:rsid w:val="003C46CB"/>
    <w:rsid w:val="003D2B83"/>
    <w:rsid w:val="00414F5F"/>
    <w:rsid w:val="004172A8"/>
    <w:rsid w:val="004262BF"/>
    <w:rsid w:val="00426466"/>
    <w:rsid w:val="004520CF"/>
    <w:rsid w:val="00466E5C"/>
    <w:rsid w:val="00477196"/>
    <w:rsid w:val="00481BC3"/>
    <w:rsid w:val="00497415"/>
    <w:rsid w:val="004D5A02"/>
    <w:rsid w:val="004E1CBD"/>
    <w:rsid w:val="004E26D9"/>
    <w:rsid w:val="004E59FF"/>
    <w:rsid w:val="004F233A"/>
    <w:rsid w:val="004F6927"/>
    <w:rsid w:val="005014F5"/>
    <w:rsid w:val="00511820"/>
    <w:rsid w:val="00551EB0"/>
    <w:rsid w:val="005675AF"/>
    <w:rsid w:val="005842A1"/>
    <w:rsid w:val="005B49E0"/>
    <w:rsid w:val="005C0201"/>
    <w:rsid w:val="005C1CE7"/>
    <w:rsid w:val="005C77C0"/>
    <w:rsid w:val="005D3014"/>
    <w:rsid w:val="005E0929"/>
    <w:rsid w:val="00613490"/>
    <w:rsid w:val="006462EA"/>
    <w:rsid w:val="006744CC"/>
    <w:rsid w:val="006806BD"/>
    <w:rsid w:val="006A54F6"/>
    <w:rsid w:val="006B08AC"/>
    <w:rsid w:val="006C273A"/>
    <w:rsid w:val="006C6050"/>
    <w:rsid w:val="006D3302"/>
    <w:rsid w:val="006D4B58"/>
    <w:rsid w:val="007005FC"/>
    <w:rsid w:val="00716C58"/>
    <w:rsid w:val="00727B11"/>
    <w:rsid w:val="007348AD"/>
    <w:rsid w:val="007427D9"/>
    <w:rsid w:val="00770834"/>
    <w:rsid w:val="007B3A73"/>
    <w:rsid w:val="007D2E68"/>
    <w:rsid w:val="0080040C"/>
    <w:rsid w:val="008012E7"/>
    <w:rsid w:val="00803369"/>
    <w:rsid w:val="00847F96"/>
    <w:rsid w:val="0085178F"/>
    <w:rsid w:val="008610A2"/>
    <w:rsid w:val="008820D4"/>
    <w:rsid w:val="00890F06"/>
    <w:rsid w:val="0089187B"/>
    <w:rsid w:val="00893D8B"/>
    <w:rsid w:val="008E43A2"/>
    <w:rsid w:val="008F400D"/>
    <w:rsid w:val="00903491"/>
    <w:rsid w:val="00910724"/>
    <w:rsid w:val="00913425"/>
    <w:rsid w:val="00925759"/>
    <w:rsid w:val="00930E7B"/>
    <w:rsid w:val="009401ED"/>
    <w:rsid w:val="00947255"/>
    <w:rsid w:val="009D45BD"/>
    <w:rsid w:val="00A10B30"/>
    <w:rsid w:val="00A50897"/>
    <w:rsid w:val="00A530C5"/>
    <w:rsid w:val="00A6045F"/>
    <w:rsid w:val="00A82088"/>
    <w:rsid w:val="00AC052C"/>
    <w:rsid w:val="00AE4574"/>
    <w:rsid w:val="00B00D97"/>
    <w:rsid w:val="00B131FC"/>
    <w:rsid w:val="00B424E3"/>
    <w:rsid w:val="00B47229"/>
    <w:rsid w:val="00B778EF"/>
    <w:rsid w:val="00B94207"/>
    <w:rsid w:val="00BA656A"/>
    <w:rsid w:val="00BF7164"/>
    <w:rsid w:val="00C01F0B"/>
    <w:rsid w:val="00C03840"/>
    <w:rsid w:val="00C11E9D"/>
    <w:rsid w:val="00C32902"/>
    <w:rsid w:val="00C42755"/>
    <w:rsid w:val="00C94D4F"/>
    <w:rsid w:val="00CD3D6F"/>
    <w:rsid w:val="00CF5354"/>
    <w:rsid w:val="00D405ED"/>
    <w:rsid w:val="00D61A0D"/>
    <w:rsid w:val="00D90D46"/>
    <w:rsid w:val="00DA2561"/>
    <w:rsid w:val="00DC4FBB"/>
    <w:rsid w:val="00DC78D1"/>
    <w:rsid w:val="00DF7957"/>
    <w:rsid w:val="00E07232"/>
    <w:rsid w:val="00E24D53"/>
    <w:rsid w:val="00E45BD3"/>
    <w:rsid w:val="00E46187"/>
    <w:rsid w:val="00E50379"/>
    <w:rsid w:val="00EB24A6"/>
    <w:rsid w:val="00EB5F54"/>
    <w:rsid w:val="00EC1891"/>
    <w:rsid w:val="00ED1B52"/>
    <w:rsid w:val="00ED49EA"/>
    <w:rsid w:val="00EE2838"/>
    <w:rsid w:val="00F10E35"/>
    <w:rsid w:val="00F366DC"/>
    <w:rsid w:val="00F467F1"/>
    <w:rsid w:val="00F650B0"/>
    <w:rsid w:val="00F65D5C"/>
    <w:rsid w:val="00F72D1F"/>
    <w:rsid w:val="00F90939"/>
    <w:rsid w:val="00FC0313"/>
    <w:rsid w:val="00FE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578CF"/>
  <w15:docId w15:val="{ECE07878-F591-4BC2-8DB2-0E5126C21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FC0313"/>
    <w:rPr>
      <w:color w:val="0563C1" w:themeColor="hyperlink"/>
      <w:u w:val="single"/>
    </w:rPr>
  </w:style>
  <w:style w:type="character" w:styleId="Mencinsinresolver">
    <w:name w:val="Unresolved Mention"/>
    <w:basedOn w:val="Fuentedeprrafopredeter"/>
    <w:uiPriority w:val="99"/>
    <w:semiHidden/>
    <w:unhideWhenUsed/>
    <w:rsid w:val="00FC0313"/>
    <w:rPr>
      <w:color w:val="605E5C"/>
      <w:shd w:val="clear" w:color="auto" w:fill="E1DFDD"/>
    </w:rPr>
  </w:style>
  <w:style w:type="paragraph" w:customStyle="1" w:styleId="western">
    <w:name w:val="western"/>
    <w:basedOn w:val="Normal"/>
    <w:rsid w:val="00C03840"/>
    <w:pPr>
      <w:widowControl/>
      <w:suppressAutoHyphens w:val="0"/>
      <w:autoSpaceDN/>
      <w:spacing w:before="100" w:beforeAutospacing="1" w:after="142" w:line="276" w:lineRule="auto"/>
      <w:ind w:firstLine="284"/>
      <w:jc w:val="both"/>
      <w:textAlignment w:val="auto"/>
    </w:pPr>
    <w:rPr>
      <w:rFonts w:ascii="Roboto" w:eastAsia="Times New Roman" w:hAnsi="Roboto" w:cs="Times New Roman"/>
      <w:sz w:val="22"/>
      <w:szCs w:val="22"/>
      <w:lang w:val="es-ES" w:eastAsia="es-ES"/>
    </w:rPr>
  </w:style>
  <w:style w:type="table" w:styleId="Tablaconcuadrcula">
    <w:name w:val="Table Grid"/>
    <w:basedOn w:val="Tablanormal"/>
    <w:uiPriority w:val="39"/>
    <w:rsid w:val="00B131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20CF"/>
    <w:pPr>
      <w:ind w:left="720"/>
      <w:contextualSpacing/>
    </w:pPr>
  </w:style>
  <w:style w:type="character" w:styleId="Refdecomentario">
    <w:name w:val="annotation reference"/>
    <w:basedOn w:val="Fuentedeprrafopredeter"/>
    <w:uiPriority w:val="99"/>
    <w:semiHidden/>
    <w:unhideWhenUsed/>
    <w:rsid w:val="004172A8"/>
    <w:rPr>
      <w:sz w:val="16"/>
      <w:szCs w:val="16"/>
    </w:rPr>
  </w:style>
  <w:style w:type="paragraph" w:styleId="Textocomentario">
    <w:name w:val="annotation text"/>
    <w:basedOn w:val="Normal"/>
    <w:link w:val="TextocomentarioCar"/>
    <w:uiPriority w:val="99"/>
    <w:unhideWhenUsed/>
    <w:rsid w:val="004172A8"/>
    <w:rPr>
      <w:sz w:val="20"/>
      <w:szCs w:val="20"/>
    </w:rPr>
  </w:style>
  <w:style w:type="character" w:customStyle="1" w:styleId="TextocomentarioCar">
    <w:name w:val="Texto comentario Car"/>
    <w:basedOn w:val="Fuentedeprrafopredeter"/>
    <w:link w:val="Textocomentario"/>
    <w:uiPriority w:val="99"/>
    <w:rsid w:val="004172A8"/>
    <w:rPr>
      <w:sz w:val="20"/>
      <w:szCs w:val="20"/>
    </w:rPr>
  </w:style>
  <w:style w:type="paragraph" w:styleId="Asuntodelcomentario">
    <w:name w:val="annotation subject"/>
    <w:basedOn w:val="Textocomentario"/>
    <w:next w:val="Textocomentario"/>
    <w:link w:val="AsuntodelcomentarioCar"/>
    <w:uiPriority w:val="99"/>
    <w:semiHidden/>
    <w:unhideWhenUsed/>
    <w:rsid w:val="004172A8"/>
    <w:rPr>
      <w:b/>
      <w:bCs/>
    </w:rPr>
  </w:style>
  <w:style w:type="character" w:customStyle="1" w:styleId="AsuntodelcomentarioCar">
    <w:name w:val="Asunto del comentario Car"/>
    <w:basedOn w:val="TextocomentarioCar"/>
    <w:link w:val="Asuntodelcomentario"/>
    <w:uiPriority w:val="99"/>
    <w:semiHidden/>
    <w:rsid w:val="004172A8"/>
    <w:rPr>
      <w:b/>
      <w:bCs/>
      <w:sz w:val="20"/>
      <w:szCs w:val="20"/>
    </w:rPr>
  </w:style>
  <w:style w:type="paragraph" w:styleId="Textoindependiente">
    <w:name w:val="Body Text"/>
    <w:basedOn w:val="Normal"/>
    <w:link w:val="TextoindependienteCar"/>
    <w:uiPriority w:val="1"/>
    <w:qFormat/>
    <w:rsid w:val="00164B9C"/>
    <w:pPr>
      <w:suppressAutoHyphens w:val="0"/>
      <w:autoSpaceDE w:val="0"/>
      <w:textAlignment w:val="auto"/>
    </w:pPr>
    <w:rPr>
      <w:rFonts w:ascii="Arial MT" w:eastAsia="Arial MT" w:hAnsi="Arial MT" w:cs="Arial MT"/>
      <w:sz w:val="20"/>
      <w:szCs w:val="20"/>
      <w:lang w:val="ca-ES"/>
    </w:rPr>
  </w:style>
  <w:style w:type="character" w:customStyle="1" w:styleId="TextoindependienteCar">
    <w:name w:val="Texto independiente Car"/>
    <w:basedOn w:val="Fuentedeprrafopredeter"/>
    <w:link w:val="Textoindependiente"/>
    <w:uiPriority w:val="1"/>
    <w:rsid w:val="00164B9C"/>
    <w:rPr>
      <w:rFonts w:ascii="Arial MT" w:eastAsia="Arial MT" w:hAnsi="Arial MT" w:cs="Arial MT"/>
      <w:sz w:val="20"/>
      <w:szCs w:val="2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831">
      <w:bodyDiv w:val="1"/>
      <w:marLeft w:val="0"/>
      <w:marRight w:val="0"/>
      <w:marTop w:val="0"/>
      <w:marBottom w:val="0"/>
      <w:divBdr>
        <w:top w:val="none" w:sz="0" w:space="0" w:color="auto"/>
        <w:left w:val="none" w:sz="0" w:space="0" w:color="auto"/>
        <w:bottom w:val="none" w:sz="0" w:space="0" w:color="auto"/>
        <w:right w:val="none" w:sz="0" w:space="0" w:color="auto"/>
      </w:divBdr>
    </w:div>
    <w:div w:id="417950229">
      <w:bodyDiv w:val="1"/>
      <w:marLeft w:val="0"/>
      <w:marRight w:val="0"/>
      <w:marTop w:val="0"/>
      <w:marBottom w:val="0"/>
      <w:divBdr>
        <w:top w:val="none" w:sz="0" w:space="0" w:color="auto"/>
        <w:left w:val="none" w:sz="0" w:space="0" w:color="auto"/>
        <w:bottom w:val="none" w:sz="0" w:space="0" w:color="auto"/>
        <w:right w:val="none" w:sz="0" w:space="0" w:color="auto"/>
      </w:divBdr>
    </w:div>
    <w:div w:id="593517399">
      <w:bodyDiv w:val="1"/>
      <w:marLeft w:val="0"/>
      <w:marRight w:val="0"/>
      <w:marTop w:val="0"/>
      <w:marBottom w:val="0"/>
      <w:divBdr>
        <w:top w:val="none" w:sz="0" w:space="0" w:color="auto"/>
        <w:left w:val="none" w:sz="0" w:space="0" w:color="auto"/>
        <w:bottom w:val="none" w:sz="0" w:space="0" w:color="auto"/>
        <w:right w:val="none" w:sz="0" w:space="0" w:color="auto"/>
      </w:divBdr>
      <w:divsChild>
        <w:div w:id="1614440790">
          <w:marLeft w:val="0"/>
          <w:marRight w:val="0"/>
          <w:marTop w:val="0"/>
          <w:marBottom w:val="0"/>
          <w:divBdr>
            <w:top w:val="none" w:sz="0" w:space="0" w:color="auto"/>
            <w:left w:val="none" w:sz="0" w:space="0" w:color="auto"/>
            <w:bottom w:val="none" w:sz="0" w:space="0" w:color="auto"/>
            <w:right w:val="none" w:sz="0" w:space="0" w:color="auto"/>
          </w:divBdr>
        </w:div>
      </w:divsChild>
    </w:div>
    <w:div w:id="844125406">
      <w:bodyDiv w:val="1"/>
      <w:marLeft w:val="0"/>
      <w:marRight w:val="0"/>
      <w:marTop w:val="0"/>
      <w:marBottom w:val="0"/>
      <w:divBdr>
        <w:top w:val="none" w:sz="0" w:space="0" w:color="auto"/>
        <w:left w:val="none" w:sz="0" w:space="0" w:color="auto"/>
        <w:bottom w:val="none" w:sz="0" w:space="0" w:color="auto"/>
        <w:right w:val="none" w:sz="0" w:space="0" w:color="auto"/>
      </w:divBdr>
    </w:div>
    <w:div w:id="1007244364">
      <w:bodyDiv w:val="1"/>
      <w:marLeft w:val="0"/>
      <w:marRight w:val="0"/>
      <w:marTop w:val="0"/>
      <w:marBottom w:val="0"/>
      <w:divBdr>
        <w:top w:val="none" w:sz="0" w:space="0" w:color="auto"/>
        <w:left w:val="none" w:sz="0" w:space="0" w:color="auto"/>
        <w:bottom w:val="none" w:sz="0" w:space="0" w:color="auto"/>
        <w:right w:val="none" w:sz="0" w:space="0" w:color="auto"/>
      </w:divBdr>
    </w:div>
    <w:div w:id="1147167250">
      <w:bodyDiv w:val="1"/>
      <w:marLeft w:val="0"/>
      <w:marRight w:val="0"/>
      <w:marTop w:val="0"/>
      <w:marBottom w:val="0"/>
      <w:divBdr>
        <w:top w:val="none" w:sz="0" w:space="0" w:color="auto"/>
        <w:left w:val="none" w:sz="0" w:space="0" w:color="auto"/>
        <w:bottom w:val="none" w:sz="0" w:space="0" w:color="auto"/>
        <w:right w:val="none" w:sz="0" w:space="0" w:color="auto"/>
      </w:divBdr>
    </w:div>
    <w:div w:id="1334912835">
      <w:bodyDiv w:val="1"/>
      <w:marLeft w:val="0"/>
      <w:marRight w:val="0"/>
      <w:marTop w:val="0"/>
      <w:marBottom w:val="0"/>
      <w:divBdr>
        <w:top w:val="none" w:sz="0" w:space="0" w:color="auto"/>
        <w:left w:val="none" w:sz="0" w:space="0" w:color="auto"/>
        <w:bottom w:val="none" w:sz="0" w:space="0" w:color="auto"/>
        <w:right w:val="none" w:sz="0" w:space="0" w:color="auto"/>
      </w:divBdr>
    </w:div>
    <w:div w:id="1365473095">
      <w:bodyDiv w:val="1"/>
      <w:marLeft w:val="0"/>
      <w:marRight w:val="0"/>
      <w:marTop w:val="0"/>
      <w:marBottom w:val="0"/>
      <w:divBdr>
        <w:top w:val="none" w:sz="0" w:space="0" w:color="auto"/>
        <w:left w:val="none" w:sz="0" w:space="0" w:color="auto"/>
        <w:bottom w:val="none" w:sz="0" w:space="0" w:color="auto"/>
        <w:right w:val="none" w:sz="0" w:space="0" w:color="auto"/>
      </w:divBdr>
    </w:div>
    <w:div w:id="1370492254">
      <w:bodyDiv w:val="1"/>
      <w:marLeft w:val="0"/>
      <w:marRight w:val="0"/>
      <w:marTop w:val="0"/>
      <w:marBottom w:val="0"/>
      <w:divBdr>
        <w:top w:val="none" w:sz="0" w:space="0" w:color="auto"/>
        <w:left w:val="none" w:sz="0" w:space="0" w:color="auto"/>
        <w:bottom w:val="none" w:sz="0" w:space="0" w:color="auto"/>
        <w:right w:val="none" w:sz="0" w:space="0" w:color="auto"/>
      </w:divBdr>
    </w:div>
    <w:div w:id="1481464169">
      <w:bodyDiv w:val="1"/>
      <w:marLeft w:val="0"/>
      <w:marRight w:val="0"/>
      <w:marTop w:val="0"/>
      <w:marBottom w:val="0"/>
      <w:divBdr>
        <w:top w:val="none" w:sz="0" w:space="0" w:color="auto"/>
        <w:left w:val="none" w:sz="0" w:space="0" w:color="auto"/>
        <w:bottom w:val="none" w:sz="0" w:space="0" w:color="auto"/>
        <w:right w:val="none" w:sz="0" w:space="0" w:color="auto"/>
      </w:divBdr>
    </w:div>
    <w:div w:id="1592662243">
      <w:bodyDiv w:val="1"/>
      <w:marLeft w:val="0"/>
      <w:marRight w:val="0"/>
      <w:marTop w:val="0"/>
      <w:marBottom w:val="0"/>
      <w:divBdr>
        <w:top w:val="none" w:sz="0" w:space="0" w:color="auto"/>
        <w:left w:val="none" w:sz="0" w:space="0" w:color="auto"/>
        <w:bottom w:val="none" w:sz="0" w:space="0" w:color="auto"/>
        <w:right w:val="none" w:sz="0" w:space="0" w:color="auto"/>
      </w:divBdr>
    </w:div>
    <w:div w:id="1676953562">
      <w:bodyDiv w:val="1"/>
      <w:marLeft w:val="0"/>
      <w:marRight w:val="0"/>
      <w:marTop w:val="0"/>
      <w:marBottom w:val="0"/>
      <w:divBdr>
        <w:top w:val="none" w:sz="0" w:space="0" w:color="auto"/>
        <w:left w:val="none" w:sz="0" w:space="0" w:color="auto"/>
        <w:bottom w:val="none" w:sz="0" w:space="0" w:color="auto"/>
        <w:right w:val="none" w:sz="0" w:space="0" w:color="auto"/>
      </w:divBdr>
    </w:div>
    <w:div w:id="1678576918">
      <w:bodyDiv w:val="1"/>
      <w:marLeft w:val="0"/>
      <w:marRight w:val="0"/>
      <w:marTop w:val="0"/>
      <w:marBottom w:val="0"/>
      <w:divBdr>
        <w:top w:val="none" w:sz="0" w:space="0" w:color="auto"/>
        <w:left w:val="none" w:sz="0" w:space="0" w:color="auto"/>
        <w:bottom w:val="none" w:sz="0" w:space="0" w:color="auto"/>
        <w:right w:val="none" w:sz="0" w:space="0" w:color="auto"/>
      </w:divBdr>
    </w:div>
    <w:div w:id="176746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v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9A1D8-65E9-49C2-8A3F-52586A80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14</Pages>
  <Words>4978</Words>
  <Characters>27382</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RODRIGUEZ ALEDON, NATALIA</dc:creator>
  <cp:lastModifiedBy>HORCAS PADILLA, MAXIMINA</cp:lastModifiedBy>
  <cp:revision>28</cp:revision>
  <cp:lastPrinted>2024-10-22T11:24:00Z</cp:lastPrinted>
  <dcterms:created xsi:type="dcterms:W3CDTF">2024-07-17T09:11:00Z</dcterms:created>
  <dcterms:modified xsi:type="dcterms:W3CDTF">2025-06-17T11:41:00Z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