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33C8FDE" w14:textId="77777777" w:rsidR="006738B4" w:rsidRDefault="006738B4">
      <w:pPr>
        <w:spacing w:line="360" w:lineRule="auto"/>
        <w:rPr>
          <w:rFonts w:ascii="Arial" w:eastAsia="Arial" w:hAnsi="Arial" w:cs="Arial"/>
          <w:b/>
          <w:bCs/>
        </w:rPr>
      </w:pPr>
    </w:p>
    <w:p w14:paraId="733C8FDF" w14:textId="4ED23F91" w:rsidR="006738B4" w:rsidRDefault="00D12E26" w:rsidP="000E299A">
      <w:pPr>
        <w:ind w:firstLine="720"/>
        <w:jc w:val="both"/>
        <w:rPr>
          <w:rFonts w:ascii="Arial" w:hAnsi="Arial" w:cs="Arial"/>
          <w:shd w:val="clear" w:color="auto" w:fill="FFFFFF"/>
        </w:rPr>
      </w:pPr>
      <w:r>
        <w:rPr>
          <w:rFonts w:ascii="Arial" w:eastAsia="Arial" w:hAnsi="Arial" w:cs="Arial"/>
          <w:bCs/>
        </w:rPr>
        <w:t xml:space="preserve">RESOLUCIÓN </w:t>
      </w:r>
      <w:r w:rsidRPr="000E299A">
        <w:rPr>
          <w:rFonts w:ascii="Arial" w:hAnsi="Arial" w:cs="Arial"/>
          <w:shd w:val="clear" w:color="auto" w:fill="FFFFFF"/>
        </w:rPr>
        <w:fldChar w:fldCharType="begin"/>
      </w:r>
      <w:r w:rsidRPr="000E299A">
        <w:rPr>
          <w:rFonts w:ascii="Arial" w:hAnsi="Arial" w:cs="Arial"/>
          <w:shd w:val="clear" w:color="auto" w:fill="FFFFFF"/>
        </w:rPr>
        <w:instrText xml:space="preserve">MERGEFIELD  {"name":"extra_numeroResolucion","tagId":"8095d0ab-4154-4fda-afa9-b35aff908e6a","path":"extra_numeroResolucion","type":3,"complexType":0,"dataType":"Texto"}  \* MERGEFORMAT </w:instrText>
      </w:r>
      <w:r w:rsidRPr="000E299A">
        <w:rPr>
          <w:rFonts w:ascii="Arial" w:hAnsi="Arial" w:cs="Arial"/>
          <w:shd w:val="clear" w:color="auto" w:fill="FFFFFF"/>
        </w:rPr>
        <w:fldChar w:fldCharType="separate"/>
      </w:r>
      <w:r w:rsidRPr="000E299A">
        <w:rPr>
          <w:rFonts w:ascii="Arial" w:hAnsi="Arial" w:cs="Arial"/>
          <w:shd w:val="clear" w:color="auto" w:fill="FFFFFF"/>
        </w:rPr>
        <w:t>«extra_numeroResolucion»</w:t>
      </w:r>
      <w:r w:rsidRPr="000E299A">
        <w:rPr>
          <w:rFonts w:ascii="Arial" w:hAnsi="Arial" w:cs="Arial"/>
          <w:shd w:val="clear" w:color="auto" w:fill="FFFFFF"/>
        </w:rPr>
        <w:fldChar w:fldCharType="end"/>
      </w:r>
      <w:r w:rsidRPr="000E299A">
        <w:rPr>
          <w:rFonts w:ascii="Arial" w:hAnsi="Arial" w:cs="Arial"/>
          <w:shd w:val="clear" w:color="auto" w:fill="FFFFFF"/>
        </w:rPr>
        <w:t xml:space="preserve">, de </w:t>
      </w:r>
      <w:r w:rsidRPr="000E299A">
        <w:rPr>
          <w:rFonts w:ascii="Arial" w:hAnsi="Arial" w:cs="Arial"/>
          <w:shd w:val="clear" w:color="auto" w:fill="FFFFFF"/>
        </w:rPr>
        <w:fldChar w:fldCharType="begin"/>
      </w:r>
      <w:r w:rsidRPr="000E299A">
        <w:rPr>
          <w:rFonts w:ascii="Arial" w:hAnsi="Arial" w:cs="Arial"/>
          <w:shd w:val="clear" w:color="auto" w:fill="FFFFFF"/>
        </w:rPr>
        <w:instrText xml:space="preserve">MERGEFIELD  {"name":"extra_diaResolucion","tagId":"5fecf813-a468-469a-afb7-ba5bf8631bb2","path":"extra_diaResolucion","type":3,"complexType":0,"dataType":"Texto"}  \* MERGEFORMAT </w:instrText>
      </w:r>
      <w:r w:rsidRPr="000E299A">
        <w:rPr>
          <w:rFonts w:ascii="Arial" w:hAnsi="Arial" w:cs="Arial"/>
          <w:shd w:val="clear" w:color="auto" w:fill="FFFFFF"/>
        </w:rPr>
        <w:fldChar w:fldCharType="separate"/>
      </w:r>
      <w:r w:rsidRPr="000E299A">
        <w:rPr>
          <w:rFonts w:ascii="Arial" w:hAnsi="Arial" w:cs="Arial"/>
          <w:shd w:val="clear" w:color="auto" w:fill="FFFFFF"/>
        </w:rPr>
        <w:t>«extra_diaResolucion»</w:t>
      </w:r>
      <w:r w:rsidRPr="000E299A">
        <w:rPr>
          <w:rFonts w:ascii="Arial" w:hAnsi="Arial" w:cs="Arial"/>
          <w:shd w:val="clear" w:color="auto" w:fill="FFFFFF"/>
        </w:rPr>
        <w:fldChar w:fldCharType="end"/>
      </w:r>
      <w:r w:rsidRPr="000E299A">
        <w:rPr>
          <w:rFonts w:ascii="Arial" w:hAnsi="Arial" w:cs="Arial"/>
          <w:shd w:val="clear" w:color="auto" w:fill="FFFFFF"/>
        </w:rPr>
        <w:t xml:space="preserve"> de </w:t>
      </w:r>
      <w:r w:rsidRPr="000E299A">
        <w:rPr>
          <w:rFonts w:ascii="Arial" w:hAnsi="Arial" w:cs="Arial"/>
          <w:shd w:val="clear" w:color="auto" w:fill="FFFFFF"/>
        </w:rPr>
        <w:fldChar w:fldCharType="begin"/>
      </w:r>
      <w:r w:rsidRPr="000E299A">
        <w:rPr>
          <w:rFonts w:ascii="Arial" w:hAnsi="Arial" w:cs="Arial"/>
          <w:shd w:val="clear" w:color="auto" w:fill="FFFFFF"/>
        </w:rPr>
        <w:instrText xml:space="preserve">MERGEFIELD  {"name":"extra_mesResolucion","tagId":"bb930e28-4366-4998-b518-56f2a5512c72","path":"extra_mesResolucion","type":3,"complexType":0,"dataType":"Texto"}  \* MERGEFORMAT </w:instrText>
      </w:r>
      <w:r w:rsidRPr="000E299A">
        <w:rPr>
          <w:rFonts w:ascii="Arial" w:hAnsi="Arial" w:cs="Arial"/>
          <w:shd w:val="clear" w:color="auto" w:fill="FFFFFF"/>
        </w:rPr>
        <w:fldChar w:fldCharType="separate"/>
      </w:r>
      <w:r w:rsidRPr="000E299A">
        <w:rPr>
          <w:rFonts w:ascii="Arial" w:hAnsi="Arial" w:cs="Arial"/>
          <w:shd w:val="clear" w:color="auto" w:fill="FFFFFF"/>
        </w:rPr>
        <w:t>«extra_mesResolucion»</w:t>
      </w:r>
      <w:r w:rsidRPr="000E299A">
        <w:rPr>
          <w:rFonts w:ascii="Arial" w:hAnsi="Arial" w:cs="Arial"/>
          <w:shd w:val="clear" w:color="auto" w:fill="FFFFFF"/>
        </w:rPr>
        <w:fldChar w:fldCharType="end"/>
      </w:r>
      <w:r w:rsidRPr="000E299A">
        <w:rPr>
          <w:rFonts w:ascii="Arial" w:hAnsi="Arial" w:cs="Arial"/>
          <w:shd w:val="clear" w:color="auto" w:fill="FFFFFF"/>
        </w:rPr>
        <w:t xml:space="preserve">, de la Directora General de Medio Ambiente , por la que se autoriza el gasto para la </w:t>
      </w:r>
      <w:bookmarkStart w:id="0" w:name="_GoBack"/>
      <w:r w:rsidRPr="000E299A">
        <w:rPr>
          <w:rFonts w:ascii="Arial" w:hAnsi="Arial" w:cs="Arial"/>
          <w:shd w:val="clear" w:color="auto" w:fill="FFFFFF"/>
        </w:rPr>
        <w:t xml:space="preserve">concesión al Ayuntamiento de Puente la Reina/Gares, de una subvención para trabajos de </w:t>
      </w:r>
      <w:proofErr w:type="spellStart"/>
      <w:r w:rsidRPr="000E299A">
        <w:rPr>
          <w:rFonts w:ascii="Arial" w:hAnsi="Arial" w:cs="Arial"/>
          <w:shd w:val="clear" w:color="auto" w:fill="FFFFFF"/>
        </w:rPr>
        <w:t>desamiantado</w:t>
      </w:r>
      <w:proofErr w:type="spellEnd"/>
      <w:r w:rsidRPr="000E299A">
        <w:rPr>
          <w:rFonts w:ascii="Arial" w:hAnsi="Arial" w:cs="Arial"/>
          <w:shd w:val="clear" w:color="auto" w:fill="FFFFFF"/>
        </w:rPr>
        <w:t xml:space="preserve"> y renovación de la cubierta del almacén de Grana </w:t>
      </w:r>
      <w:bookmarkEnd w:id="0"/>
      <w:r w:rsidRPr="000E299A">
        <w:rPr>
          <w:rFonts w:ascii="Arial" w:hAnsi="Arial" w:cs="Arial"/>
          <w:shd w:val="clear" w:color="auto" w:fill="FFFFFF"/>
        </w:rPr>
        <w:t>y aprobación del Convenio de subvención directa</w:t>
      </w:r>
    </w:p>
    <w:p w14:paraId="72DD8D17" w14:textId="77777777" w:rsidR="000E299A" w:rsidRDefault="000E299A" w:rsidP="000E299A">
      <w:pPr>
        <w:ind w:firstLine="720"/>
        <w:jc w:val="both"/>
        <w:rPr>
          <w:rFonts w:ascii="Arial" w:eastAsia="Arial" w:hAnsi="Arial" w:cs="Arial"/>
          <w:bCs/>
        </w:rPr>
      </w:pPr>
    </w:p>
    <w:p w14:paraId="733C8FE0" w14:textId="77777777" w:rsidR="006738B4" w:rsidRDefault="006738B4">
      <w:pPr>
        <w:jc w:val="both"/>
        <w:rPr>
          <w:rFonts w:ascii="Arial" w:eastAsia="Arial" w:hAnsi="Arial" w:cs="Arial"/>
          <w:b/>
          <w:bCs/>
        </w:rPr>
      </w:pPr>
    </w:p>
    <w:tbl>
      <w:tblPr>
        <w:tblW w:w="9385" w:type="dxa"/>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shd w:val="solid" w:color="auto" w:fill="auto"/>
        <w:tblLook w:val="04A0" w:firstRow="1" w:lastRow="0" w:firstColumn="1" w:lastColumn="0" w:noHBand="0" w:noVBand="1"/>
      </w:tblPr>
      <w:tblGrid>
        <w:gridCol w:w="2297"/>
        <w:gridCol w:w="7088"/>
      </w:tblGrid>
      <w:tr w:rsidR="006738B4" w14:paraId="733C8FE3" w14:textId="77777777">
        <w:trPr>
          <w:trHeight w:val="279"/>
        </w:trPr>
        <w:tc>
          <w:tcPr>
            <w:tcW w:w="2297" w:type="dxa"/>
            <w:shd w:val="solid" w:color="EAEAEA" w:fill="auto"/>
            <w:tcMar>
              <w:top w:w="57" w:type="dxa"/>
              <w:left w:w="108" w:type="dxa"/>
              <w:bottom w:w="57" w:type="dxa"/>
              <w:right w:w="108" w:type="dxa"/>
            </w:tcMar>
          </w:tcPr>
          <w:p w14:paraId="733C8FE1" w14:textId="77777777" w:rsidR="006738B4" w:rsidRDefault="00D12E26">
            <w:pPr>
              <w:rPr>
                <w:rFonts w:ascii="Arial" w:eastAsia="Arial" w:hAnsi="Arial" w:cs="Arial"/>
              </w:rPr>
            </w:pPr>
            <w:r>
              <w:rPr>
                <w:rFonts w:ascii="Arial" w:eastAsia="Arial" w:hAnsi="Arial" w:cs="Arial"/>
              </w:rPr>
              <w:t>REFERENCIA:</w:t>
            </w:r>
          </w:p>
        </w:tc>
        <w:tc>
          <w:tcPr>
            <w:tcW w:w="7088" w:type="dxa"/>
            <w:shd w:val="solid" w:color="EAEAEA" w:fill="auto"/>
          </w:tcPr>
          <w:p w14:paraId="733C8FE2" w14:textId="77777777" w:rsidR="006738B4" w:rsidRDefault="00D12E26">
            <w:pPr>
              <w:rPr>
                <w:rFonts w:ascii="Arial" w:eastAsia="Arial" w:hAnsi="Arial" w:cs="Arial"/>
              </w:rPr>
            </w:pPr>
            <w:r>
              <w:rPr>
                <w:rFonts w:ascii="Arial" w:eastAsia="Arial" w:hAnsi="Arial" w:cs="Arial"/>
                <w:b/>
              </w:rPr>
              <w:t xml:space="preserve">Número del expediente: </w:t>
            </w:r>
            <w:r>
              <w:rPr>
                <w:rFonts w:ascii="Arial" w:eastAsia="Arial" w:hAnsi="Arial"/>
                <w:b/>
              </w:rPr>
              <w:t>0011-5375-2025-000000</w:t>
            </w:r>
          </w:p>
        </w:tc>
      </w:tr>
      <w:tr w:rsidR="006738B4" w14:paraId="733C8FEC" w14:textId="77777777">
        <w:trPr>
          <w:trHeight w:val="945"/>
        </w:trPr>
        <w:tc>
          <w:tcPr>
            <w:tcW w:w="2297" w:type="dxa"/>
            <w:shd w:val="solid" w:color="EAEAEA" w:fill="auto"/>
            <w:tcMar>
              <w:top w:w="57" w:type="dxa"/>
              <w:left w:w="108" w:type="dxa"/>
              <w:bottom w:w="57" w:type="dxa"/>
              <w:right w:w="108" w:type="dxa"/>
            </w:tcMar>
          </w:tcPr>
          <w:p w14:paraId="733C8FE4" w14:textId="77777777" w:rsidR="006738B4" w:rsidRDefault="00D12E26">
            <w:pPr>
              <w:rPr>
                <w:rFonts w:ascii="Arial" w:eastAsia="Arial" w:hAnsi="Arial" w:cs="Arial"/>
              </w:rPr>
            </w:pPr>
            <w:r>
              <w:rPr>
                <w:rFonts w:ascii="Arial" w:eastAsia="Arial" w:hAnsi="Arial" w:cs="Arial"/>
              </w:rPr>
              <w:t xml:space="preserve">UNIDAD GESTORA: </w:t>
            </w:r>
          </w:p>
        </w:tc>
        <w:tc>
          <w:tcPr>
            <w:tcW w:w="7088" w:type="dxa"/>
            <w:shd w:val="solid" w:color="EAEAEA" w:fill="auto"/>
          </w:tcPr>
          <w:p w14:paraId="733C8FE5" w14:textId="77777777" w:rsidR="006738B4" w:rsidRDefault="00D12E26">
            <w:pPr>
              <w:rPr>
                <w:rFonts w:ascii="Arial" w:eastAsia="Arial" w:hAnsi="Arial" w:cs="Arial"/>
              </w:rPr>
            </w:pPr>
            <w:r>
              <w:rPr>
                <w:rFonts w:ascii="Arial" w:eastAsia="Arial" w:hAnsi="Arial" w:cs="Arial"/>
              </w:rPr>
              <w:t>Departamento de Desarrollo Rural y Medio Ambiente</w:t>
            </w:r>
          </w:p>
          <w:p w14:paraId="733C8FE6" w14:textId="77777777" w:rsidR="006738B4" w:rsidRDefault="00D12E26">
            <w:pPr>
              <w:jc w:val="both"/>
              <w:rPr>
                <w:rFonts w:ascii="Arial" w:eastAsia="Arial" w:hAnsi="Arial" w:cs="Arial"/>
              </w:rPr>
            </w:pPr>
            <w:r>
              <w:rPr>
                <w:rFonts w:ascii="Arial" w:eastAsia="Arial" w:hAnsi="Arial" w:cs="Arial"/>
              </w:rPr>
              <w:t>Dirección General de Medio Ambiente</w:t>
            </w:r>
          </w:p>
          <w:p w14:paraId="733C8FE7" w14:textId="77777777" w:rsidR="006738B4" w:rsidRDefault="00D12E26">
            <w:pPr>
              <w:jc w:val="both"/>
              <w:rPr>
                <w:rFonts w:ascii="Arial" w:eastAsia="Arial" w:hAnsi="Arial"/>
              </w:rPr>
            </w:pPr>
            <w:r>
              <w:rPr>
                <w:rFonts w:ascii="Arial" w:eastAsia="Arial" w:hAnsi="Arial"/>
              </w:rPr>
              <w:t>Servicio de Economía Circular e Innovación</w:t>
            </w:r>
          </w:p>
          <w:p w14:paraId="733C8FE8" w14:textId="77777777" w:rsidR="006738B4" w:rsidRDefault="00D12E26">
            <w:pPr>
              <w:jc w:val="both"/>
              <w:rPr>
                <w:rFonts w:ascii="Arial" w:eastAsia="Arial" w:hAnsi="Arial" w:cs="Arial"/>
              </w:rPr>
            </w:pPr>
            <w:r>
              <w:rPr>
                <w:rFonts w:ascii="Arial" w:eastAsia="Arial" w:hAnsi="Arial"/>
              </w:rPr>
              <w:t>Sección de Residuos</w:t>
            </w:r>
          </w:p>
          <w:p w14:paraId="733C8FE9" w14:textId="77777777" w:rsidR="006738B4" w:rsidRDefault="00D12E26">
            <w:pPr>
              <w:rPr>
                <w:rFonts w:ascii="Arial" w:eastAsia="Arial" w:hAnsi="Arial" w:cs="Arial"/>
              </w:rPr>
            </w:pPr>
            <w:r>
              <w:rPr>
                <w:rFonts w:ascii="Arial" w:eastAsia="Arial" w:hAnsi="Arial" w:cs="Arial"/>
              </w:rPr>
              <w:t>Teléfono: 848-421490</w:t>
            </w:r>
          </w:p>
          <w:p w14:paraId="733C8FEA" w14:textId="77777777" w:rsidR="006738B4" w:rsidRDefault="00D12E26">
            <w:pPr>
              <w:rPr>
                <w:rFonts w:ascii="Arial" w:eastAsia="Arial" w:hAnsi="Arial" w:cs="Arial"/>
              </w:rPr>
            </w:pPr>
            <w:r>
              <w:rPr>
                <w:rFonts w:ascii="Arial" w:eastAsia="Arial" w:hAnsi="Arial" w:cs="Arial"/>
              </w:rPr>
              <w:t>Dirección: C/ González Tablas, 9 - 31005 Pamplona</w:t>
            </w:r>
          </w:p>
          <w:p w14:paraId="733C8FEB" w14:textId="77777777" w:rsidR="006738B4" w:rsidRDefault="00D12E26">
            <w:pPr>
              <w:rPr>
                <w:rFonts w:ascii="Arial" w:eastAsia="Arial" w:hAnsi="Arial" w:cs="Arial"/>
              </w:rPr>
            </w:pPr>
            <w:r>
              <w:rPr>
                <w:rFonts w:ascii="Arial" w:eastAsia="Arial" w:hAnsi="Arial" w:cs="Arial"/>
              </w:rPr>
              <w:t>Correo electrónico: residuos@navarra.es</w:t>
            </w:r>
          </w:p>
        </w:tc>
      </w:tr>
    </w:tbl>
    <w:p w14:paraId="733C8FED" w14:textId="77777777" w:rsidR="006738B4" w:rsidRDefault="006738B4">
      <w:pPr>
        <w:jc w:val="both"/>
        <w:rPr>
          <w:rFonts w:ascii="Arial" w:eastAsia="Arial" w:hAnsi="Arial" w:cs="Arial"/>
          <w:b/>
          <w:bCs/>
        </w:rPr>
      </w:pPr>
    </w:p>
    <w:p w14:paraId="3F887529" w14:textId="3696BE1B" w:rsidR="00D12E26" w:rsidRPr="00976920" w:rsidRDefault="00D12E26" w:rsidP="000E299A">
      <w:pPr>
        <w:pStyle w:val="Textoindependiente2"/>
        <w:spacing w:after="240" w:line="240" w:lineRule="auto"/>
        <w:ind w:firstLine="720"/>
        <w:jc w:val="both"/>
        <w:rPr>
          <w:rFonts w:ascii="Arial" w:hAnsi="Arial" w:cs="Arial"/>
          <w:shd w:val="clear" w:color="auto" w:fill="FFFFFF"/>
        </w:rPr>
      </w:pPr>
      <w:r w:rsidRPr="00976920">
        <w:rPr>
          <w:rFonts w:ascii="Arial" w:hAnsi="Arial" w:cs="Arial"/>
          <w:shd w:val="clear" w:color="auto" w:fill="FFFFFF"/>
        </w:rPr>
        <w:t>La Ley Foral 11/2005, de 9 de noviembre de Subvenciones, dispone en su artículo 17.2 la posibilidad de otorgar directamente las subvenciones previstas nominativamente en la Ley Foral de Presupuestos Generales de Navarra, por el importe aprobado por el Parlamento, debiendo señalarse la finalidad perseguida y la consignación a favor de un beneficiario concreto. Asimismo, el artículo 25 del mismo texto legal dispone que los actos administrativos en que se instrumenten las subvenciones que se concedan conforme a lo dispuesto en las letras a) y c) del artículo 17.2 establecerán las bases reguladoras de las mismas, de conformidad con las previsiones contenidas en esta Ley Foral, salvo en lo que se refiere al principio de concurrencia.</w:t>
      </w:r>
    </w:p>
    <w:p w14:paraId="71036DC0" w14:textId="77777777" w:rsidR="00D12E26" w:rsidRPr="00976920" w:rsidRDefault="00D12E26" w:rsidP="000E299A">
      <w:pPr>
        <w:pStyle w:val="Textoindependiente2"/>
        <w:spacing w:after="240" w:line="240" w:lineRule="auto"/>
        <w:ind w:firstLine="720"/>
        <w:jc w:val="both"/>
        <w:rPr>
          <w:rFonts w:ascii="Arial" w:hAnsi="Arial" w:cs="Arial"/>
        </w:rPr>
      </w:pPr>
      <w:r>
        <w:rPr>
          <w:rFonts w:ascii="Arial" w:hAnsi="Arial" w:cs="Arial"/>
        </w:rPr>
        <w:t xml:space="preserve">La </w:t>
      </w:r>
      <w:r w:rsidRPr="00870BC7">
        <w:rPr>
          <w:rFonts w:ascii="Arial" w:hAnsi="Arial" w:cs="Arial"/>
        </w:rPr>
        <w:t>L</w:t>
      </w:r>
      <w:r>
        <w:rPr>
          <w:rFonts w:ascii="Arial" w:hAnsi="Arial" w:cs="Arial"/>
        </w:rPr>
        <w:t>ey</w:t>
      </w:r>
      <w:r w:rsidRPr="00870BC7">
        <w:rPr>
          <w:rFonts w:ascii="Arial" w:hAnsi="Arial" w:cs="Arial"/>
        </w:rPr>
        <w:t xml:space="preserve"> F</w:t>
      </w:r>
      <w:r>
        <w:rPr>
          <w:rFonts w:ascii="Arial" w:hAnsi="Arial" w:cs="Arial"/>
        </w:rPr>
        <w:t>oral</w:t>
      </w:r>
      <w:r w:rsidRPr="00870BC7">
        <w:rPr>
          <w:rFonts w:ascii="Arial" w:hAnsi="Arial" w:cs="Arial"/>
        </w:rPr>
        <w:t xml:space="preserve"> </w:t>
      </w:r>
      <w:r>
        <w:rPr>
          <w:rFonts w:ascii="Arial" w:hAnsi="Arial" w:cs="Arial"/>
        </w:rPr>
        <w:t>19/2024</w:t>
      </w:r>
      <w:r w:rsidRPr="00870BC7">
        <w:rPr>
          <w:rFonts w:ascii="Arial" w:hAnsi="Arial" w:cs="Arial"/>
        </w:rPr>
        <w:t xml:space="preserve">, de </w:t>
      </w:r>
      <w:r>
        <w:rPr>
          <w:rFonts w:ascii="Arial" w:hAnsi="Arial" w:cs="Arial"/>
        </w:rPr>
        <w:t>26 de diciembre</w:t>
      </w:r>
      <w:r w:rsidRPr="00870BC7">
        <w:rPr>
          <w:rFonts w:ascii="Arial" w:hAnsi="Arial" w:cs="Arial"/>
        </w:rPr>
        <w:t>, de Presupuestos Generales de Navarra para el año 202</w:t>
      </w:r>
      <w:r>
        <w:rPr>
          <w:rFonts w:ascii="Arial" w:hAnsi="Arial" w:cs="Arial"/>
        </w:rPr>
        <w:t xml:space="preserve">5, </w:t>
      </w:r>
      <w:r w:rsidRPr="00976920">
        <w:rPr>
          <w:rFonts w:ascii="Arial" w:hAnsi="Arial" w:cs="Arial"/>
          <w:shd w:val="clear" w:color="auto" w:fill="FFFFFF"/>
        </w:rPr>
        <w:t>(en adelante LFPGN-2025)</w:t>
      </w:r>
      <w:r>
        <w:rPr>
          <w:rFonts w:ascii="Arial" w:hAnsi="Arial" w:cs="Arial"/>
        </w:rPr>
        <w:t xml:space="preserve">, contempla la partida presupuestaria: </w:t>
      </w:r>
      <w:r w:rsidRPr="00976920">
        <w:rPr>
          <w:rFonts w:ascii="Arial" w:hAnsi="Arial" w:cs="Arial"/>
          <w:shd w:val="clear" w:color="auto" w:fill="FFFFFF"/>
        </w:rPr>
        <w:t>740001 74100 7609 456211 “</w:t>
      </w:r>
      <w:proofErr w:type="spellStart"/>
      <w:r w:rsidRPr="00976920">
        <w:rPr>
          <w:rFonts w:ascii="Arial" w:hAnsi="Arial" w:cs="Arial"/>
          <w:shd w:val="clear" w:color="auto" w:fill="FFFFFF"/>
        </w:rPr>
        <w:t>Transf</w:t>
      </w:r>
      <w:proofErr w:type="spellEnd"/>
      <w:r w:rsidRPr="00976920">
        <w:rPr>
          <w:rFonts w:ascii="Arial" w:hAnsi="Arial" w:cs="Arial"/>
          <w:shd w:val="clear" w:color="auto" w:fill="FFFFFF"/>
        </w:rPr>
        <w:t xml:space="preserve">. Ayto. Puente la </w:t>
      </w:r>
      <w:r w:rsidRPr="00976920">
        <w:rPr>
          <w:rFonts w:ascii="Arial" w:hAnsi="Arial" w:cs="Arial"/>
        </w:rPr>
        <w:t xml:space="preserve">Reina Gares </w:t>
      </w:r>
      <w:proofErr w:type="spellStart"/>
      <w:r w:rsidRPr="00976920">
        <w:rPr>
          <w:rFonts w:ascii="Arial" w:hAnsi="Arial" w:cs="Arial"/>
        </w:rPr>
        <w:t>desamiantado</w:t>
      </w:r>
      <w:proofErr w:type="spellEnd"/>
      <w:r w:rsidRPr="00976920">
        <w:rPr>
          <w:rFonts w:ascii="Arial" w:hAnsi="Arial" w:cs="Arial"/>
        </w:rPr>
        <w:t xml:space="preserve"> y renovación de la cubierta del almacén de Grana” </w:t>
      </w:r>
      <w:r>
        <w:rPr>
          <w:rFonts w:ascii="Arial" w:hAnsi="Arial" w:cs="Arial"/>
        </w:rPr>
        <w:t>con</w:t>
      </w:r>
      <w:r w:rsidRPr="00976920">
        <w:rPr>
          <w:rFonts w:ascii="Arial" w:hAnsi="Arial" w:cs="Arial"/>
        </w:rPr>
        <w:t xml:space="preserve"> un importe </w:t>
      </w:r>
      <w:r>
        <w:rPr>
          <w:rFonts w:ascii="Arial" w:hAnsi="Arial" w:cs="Arial"/>
        </w:rPr>
        <w:t>máximo</w:t>
      </w:r>
      <w:r w:rsidRPr="00976920">
        <w:rPr>
          <w:rFonts w:ascii="Arial" w:hAnsi="Arial" w:cs="Arial"/>
        </w:rPr>
        <w:t xml:space="preserve"> de sesenta y seis mil euros (66.000,00 €).</w:t>
      </w:r>
    </w:p>
    <w:p w14:paraId="2B964002" w14:textId="77777777" w:rsidR="00D12E26" w:rsidRDefault="00D12E26" w:rsidP="000E299A">
      <w:pPr>
        <w:pStyle w:val="Textoindependiente2"/>
        <w:spacing w:after="240" w:line="240" w:lineRule="auto"/>
        <w:ind w:firstLine="720"/>
        <w:jc w:val="both"/>
        <w:rPr>
          <w:rFonts w:ascii="Arial" w:hAnsi="Arial" w:cs="Arial"/>
          <w:shd w:val="clear" w:color="auto" w:fill="FFFFFF"/>
        </w:rPr>
      </w:pPr>
      <w:r w:rsidRPr="008E7D4D">
        <w:rPr>
          <w:rFonts w:ascii="Arial" w:hAnsi="Arial" w:cs="Arial"/>
          <w:shd w:val="clear" w:color="auto" w:fill="FFFFFF"/>
        </w:rPr>
        <w:t>La elaboración y desarrollo de un plan director de eliminación del amianto en Navarra se encuentra alineada con la Resolución del Parlamento Europeo 2012/2065 de 14 de marzo de 2013, sobre los riesgos para la salud en el lugar de trabajo relacionados con el amianto y perspectivas de eliminación de todo el amianto existente en la Unión Europea (UE) y el Dictamen del Comité Económico y Social Europeo del año 2014 sobre erradicar el amianto en la Unión Europea (UE).</w:t>
      </w:r>
    </w:p>
    <w:p w14:paraId="3E225DE0" w14:textId="77777777" w:rsidR="00D12E26" w:rsidRDefault="00D12E26" w:rsidP="000E299A">
      <w:pPr>
        <w:pStyle w:val="Textoindependiente2"/>
        <w:spacing w:after="240" w:line="240" w:lineRule="auto"/>
        <w:ind w:firstLine="720"/>
        <w:jc w:val="both"/>
        <w:rPr>
          <w:rFonts w:ascii="Arial" w:hAnsi="Arial" w:cs="Arial"/>
          <w:shd w:val="clear" w:color="auto" w:fill="FFFFFF"/>
        </w:rPr>
      </w:pPr>
      <w:r>
        <w:rPr>
          <w:rFonts w:ascii="Arial" w:hAnsi="Arial" w:cs="Arial"/>
          <w:shd w:val="clear" w:color="auto" w:fill="FFFFFF"/>
        </w:rPr>
        <w:t>E</w:t>
      </w:r>
      <w:r w:rsidRPr="008E7D4D">
        <w:rPr>
          <w:rFonts w:ascii="Arial" w:hAnsi="Arial" w:cs="Arial"/>
          <w:shd w:val="clear" w:color="auto" w:fill="FFFFFF"/>
        </w:rPr>
        <w:t>l 14 de septiembre de 2017 el Parlamento de Navarra apr</w:t>
      </w:r>
      <w:r>
        <w:rPr>
          <w:rFonts w:ascii="Arial" w:hAnsi="Arial" w:cs="Arial"/>
          <w:shd w:val="clear" w:color="auto" w:fill="FFFFFF"/>
        </w:rPr>
        <w:t>ueba</w:t>
      </w:r>
      <w:r w:rsidRPr="008E7D4D">
        <w:rPr>
          <w:rFonts w:ascii="Arial" w:hAnsi="Arial" w:cs="Arial"/>
          <w:shd w:val="clear" w:color="auto" w:fill="FFFFFF"/>
        </w:rPr>
        <w:t xml:space="preserve"> una moción en la que se insta</w:t>
      </w:r>
      <w:r>
        <w:rPr>
          <w:rFonts w:ascii="Arial" w:hAnsi="Arial" w:cs="Arial"/>
          <w:shd w:val="clear" w:color="auto" w:fill="FFFFFF"/>
        </w:rPr>
        <w:t xml:space="preserve"> </w:t>
      </w:r>
      <w:r w:rsidRPr="008E7D4D">
        <w:rPr>
          <w:rFonts w:ascii="Arial" w:hAnsi="Arial" w:cs="Arial"/>
          <w:shd w:val="clear" w:color="auto" w:fill="FFFFFF"/>
        </w:rPr>
        <w:t xml:space="preserve">al Gobierno de Navarra a presentar un Plan Director del proceso a desarrollar para la eliminación del amianto en Navarra. </w:t>
      </w:r>
      <w:r>
        <w:rPr>
          <w:rFonts w:ascii="Arial" w:hAnsi="Arial" w:cs="Arial"/>
          <w:shd w:val="clear" w:color="auto" w:fill="FFFFFF"/>
        </w:rPr>
        <w:t>D</w:t>
      </w:r>
      <w:r w:rsidRPr="008E7D4D">
        <w:rPr>
          <w:rFonts w:ascii="Arial" w:hAnsi="Arial" w:cs="Arial"/>
          <w:shd w:val="clear" w:color="auto" w:fill="FFFFFF"/>
        </w:rPr>
        <w:t xml:space="preserve">ando cumplimiento a este mandato, en sesión de gobierno de 27 de marzo de 2019, el Gobierno de Navarra aprueba el </w:t>
      </w:r>
      <w:r w:rsidRPr="008E7D4D">
        <w:rPr>
          <w:rFonts w:ascii="Arial" w:hAnsi="Arial" w:cs="Arial"/>
          <w:b/>
          <w:i/>
          <w:shd w:val="clear" w:color="auto" w:fill="FFFFFF"/>
        </w:rPr>
        <w:t>Plan Director de Eliminación del Amianto en Navarra</w:t>
      </w:r>
      <w:r w:rsidRPr="008E7D4D">
        <w:rPr>
          <w:rFonts w:ascii="Arial" w:hAnsi="Arial" w:cs="Arial"/>
          <w:shd w:val="clear" w:color="auto" w:fill="FFFFFF"/>
        </w:rPr>
        <w:t>, coordinado por el Instituto de Salud Pública y Laboral.</w:t>
      </w:r>
    </w:p>
    <w:p w14:paraId="47782959" w14:textId="77777777" w:rsidR="00D12E26" w:rsidRDefault="00D12E26" w:rsidP="000E299A">
      <w:pPr>
        <w:pStyle w:val="Textoindependiente2"/>
        <w:spacing w:after="240" w:line="240" w:lineRule="auto"/>
        <w:ind w:firstLine="363"/>
        <w:jc w:val="both"/>
        <w:rPr>
          <w:rFonts w:ascii="Arial" w:hAnsi="Arial" w:cs="Arial"/>
          <w:shd w:val="clear" w:color="auto" w:fill="FFFFFF"/>
        </w:rPr>
      </w:pPr>
      <w:r>
        <w:rPr>
          <w:rFonts w:ascii="Arial" w:hAnsi="Arial" w:cs="Arial"/>
          <w:shd w:val="clear" w:color="auto" w:fill="FFFFFF"/>
        </w:rPr>
        <w:t>L</w:t>
      </w:r>
      <w:r w:rsidRPr="008E7D4D">
        <w:rPr>
          <w:rFonts w:ascii="Arial" w:hAnsi="Arial" w:cs="Arial"/>
          <w:shd w:val="clear" w:color="auto" w:fill="FFFFFF"/>
        </w:rPr>
        <w:t>a retirada de los materiales con amianto (MCA) se contempla como la medida preventivamente más recomendable en los casos en los que el material se encuentre en mal estado de conservación y sea accesible manualmente o pueda liberar fibras al ambiente</w:t>
      </w:r>
      <w:r>
        <w:rPr>
          <w:rFonts w:ascii="Arial" w:hAnsi="Arial" w:cs="Arial"/>
          <w:shd w:val="clear" w:color="auto" w:fill="FFFFFF"/>
        </w:rPr>
        <w:t xml:space="preserve">, siendo imprescindible desarrollarla con </w:t>
      </w:r>
      <w:r w:rsidRPr="008E7D4D">
        <w:rPr>
          <w:rFonts w:ascii="Arial" w:hAnsi="Arial" w:cs="Arial"/>
          <w:shd w:val="clear" w:color="auto" w:fill="FFFFFF"/>
        </w:rPr>
        <w:t>medidas de prevención y protección específicas</w:t>
      </w:r>
      <w:r>
        <w:rPr>
          <w:rFonts w:ascii="Arial" w:hAnsi="Arial" w:cs="Arial"/>
          <w:shd w:val="clear" w:color="auto" w:fill="FFFFFF"/>
        </w:rPr>
        <w:t>,</w:t>
      </w:r>
      <w:r w:rsidRPr="008E7D4D">
        <w:rPr>
          <w:rFonts w:ascii="Arial" w:hAnsi="Arial" w:cs="Arial"/>
          <w:shd w:val="clear" w:color="auto" w:fill="FFFFFF"/>
        </w:rPr>
        <w:t xml:space="preserve"> por empresas inscritas en el RERA y según su correspondiente plan de trabajo aprobado por la Autoridad Laboral. </w:t>
      </w:r>
    </w:p>
    <w:p w14:paraId="67D72667" w14:textId="77777777" w:rsidR="00D12E26" w:rsidRDefault="00D12E26" w:rsidP="000E299A">
      <w:pPr>
        <w:pStyle w:val="Textoindependiente2"/>
        <w:spacing w:after="240" w:line="240" w:lineRule="auto"/>
        <w:ind w:firstLine="363"/>
        <w:jc w:val="both"/>
        <w:rPr>
          <w:rFonts w:ascii="Arial" w:hAnsi="Arial" w:cs="Arial"/>
          <w:shd w:val="clear" w:color="auto" w:fill="FFFFFF"/>
        </w:rPr>
      </w:pPr>
      <w:r>
        <w:rPr>
          <w:rFonts w:ascii="Arial" w:hAnsi="Arial" w:cs="Arial"/>
          <w:shd w:val="clear" w:color="auto" w:fill="FFFFFF"/>
        </w:rPr>
        <w:lastRenderedPageBreak/>
        <w:t>L</w:t>
      </w:r>
      <w:r w:rsidRPr="00976920">
        <w:rPr>
          <w:rFonts w:ascii="Arial" w:hAnsi="Arial" w:cs="Arial"/>
          <w:shd w:val="clear" w:color="auto" w:fill="FFFFFF"/>
        </w:rPr>
        <w:t xml:space="preserve">a </w:t>
      </w:r>
      <w:r>
        <w:rPr>
          <w:rFonts w:ascii="Arial" w:hAnsi="Arial" w:cs="Arial"/>
          <w:shd w:val="clear" w:color="auto" w:fill="FFFFFF"/>
        </w:rPr>
        <w:t xml:space="preserve">retirada y </w:t>
      </w:r>
      <w:r w:rsidRPr="00976920">
        <w:rPr>
          <w:rFonts w:ascii="Arial" w:hAnsi="Arial" w:cs="Arial"/>
          <w:shd w:val="clear" w:color="auto" w:fill="FFFFFF"/>
        </w:rPr>
        <w:t xml:space="preserve">sustitución de la cubierta </w:t>
      </w:r>
      <w:r>
        <w:rPr>
          <w:rFonts w:ascii="Arial" w:hAnsi="Arial" w:cs="Arial"/>
          <w:shd w:val="clear" w:color="auto" w:fill="FFFFFF"/>
        </w:rPr>
        <w:t xml:space="preserve">del almacén de Grana </w:t>
      </w:r>
      <w:r w:rsidRPr="00976920">
        <w:rPr>
          <w:rFonts w:ascii="Arial" w:hAnsi="Arial" w:cs="Arial"/>
          <w:shd w:val="clear" w:color="auto" w:fill="FFFFFF"/>
        </w:rPr>
        <w:t>está motivada por el gran deterioro del material de co</w:t>
      </w:r>
      <w:r>
        <w:rPr>
          <w:rFonts w:ascii="Arial" w:hAnsi="Arial" w:cs="Arial"/>
          <w:shd w:val="clear" w:color="auto" w:fill="FFFFFF"/>
        </w:rPr>
        <w:t>bertura uralita-fibrocemento</w:t>
      </w:r>
      <w:r w:rsidRPr="00976920">
        <w:rPr>
          <w:rFonts w:ascii="Arial" w:hAnsi="Arial" w:cs="Arial"/>
          <w:shd w:val="clear" w:color="auto" w:fill="FFFFFF"/>
        </w:rPr>
        <w:t xml:space="preserve">, </w:t>
      </w:r>
      <w:r>
        <w:rPr>
          <w:rFonts w:ascii="Arial" w:hAnsi="Arial" w:cs="Arial"/>
          <w:shd w:val="clear" w:color="auto" w:fill="FFFFFF"/>
        </w:rPr>
        <w:t xml:space="preserve">que presenta </w:t>
      </w:r>
      <w:r w:rsidRPr="00976920">
        <w:rPr>
          <w:rFonts w:ascii="Arial" w:hAnsi="Arial" w:cs="Arial"/>
          <w:shd w:val="clear" w:color="auto" w:fill="FFFFFF"/>
        </w:rPr>
        <w:t>fisuras, grietas y roturas</w:t>
      </w:r>
      <w:r>
        <w:rPr>
          <w:rFonts w:ascii="Arial" w:hAnsi="Arial" w:cs="Arial"/>
          <w:shd w:val="clear" w:color="auto" w:fill="FFFFFF"/>
        </w:rPr>
        <w:t xml:space="preserve">, que conllevan </w:t>
      </w:r>
      <w:r w:rsidRPr="00976920">
        <w:rPr>
          <w:rFonts w:ascii="Arial" w:hAnsi="Arial" w:cs="Arial"/>
          <w:shd w:val="clear" w:color="auto" w:fill="FFFFFF"/>
        </w:rPr>
        <w:t xml:space="preserve">un grave peligro para </w:t>
      </w:r>
      <w:r>
        <w:rPr>
          <w:rFonts w:ascii="Arial" w:hAnsi="Arial" w:cs="Arial"/>
          <w:shd w:val="clear" w:color="auto" w:fill="FFFFFF"/>
        </w:rPr>
        <w:t>la</w:t>
      </w:r>
      <w:r w:rsidRPr="00976920">
        <w:rPr>
          <w:rFonts w:ascii="Arial" w:hAnsi="Arial" w:cs="Arial"/>
          <w:shd w:val="clear" w:color="auto" w:fill="FFFFFF"/>
        </w:rPr>
        <w:t xml:space="preserve"> salud</w:t>
      </w:r>
      <w:r>
        <w:rPr>
          <w:rFonts w:ascii="Arial" w:hAnsi="Arial" w:cs="Arial"/>
          <w:shd w:val="clear" w:color="auto" w:fill="FFFFFF"/>
        </w:rPr>
        <w:t xml:space="preserve"> de los trabajadores de la brigada municipal que desempeñan sus tareas en el mismo</w:t>
      </w:r>
      <w:r w:rsidRPr="00976920">
        <w:rPr>
          <w:rFonts w:ascii="Arial" w:hAnsi="Arial" w:cs="Arial"/>
          <w:shd w:val="clear" w:color="auto" w:fill="FFFFFF"/>
        </w:rPr>
        <w:t>, así como un grave daño medioambiental</w:t>
      </w:r>
      <w:r>
        <w:rPr>
          <w:rFonts w:ascii="Arial" w:hAnsi="Arial" w:cs="Arial"/>
          <w:shd w:val="clear" w:color="auto" w:fill="FFFFFF"/>
        </w:rPr>
        <w:t xml:space="preserve">, </w:t>
      </w:r>
      <w:r w:rsidRPr="00976920">
        <w:rPr>
          <w:rFonts w:ascii="Arial" w:hAnsi="Arial" w:cs="Arial"/>
          <w:shd w:val="clear" w:color="auto" w:fill="FFFFFF"/>
        </w:rPr>
        <w:t>por la posibilidad de fibras de amianto en suspensión.</w:t>
      </w:r>
      <w:r>
        <w:rPr>
          <w:rFonts w:ascii="Arial" w:hAnsi="Arial" w:cs="Arial"/>
          <w:shd w:val="clear" w:color="auto" w:fill="FFFFFF"/>
        </w:rPr>
        <w:t xml:space="preserve"> C</w:t>
      </w:r>
      <w:r w:rsidRPr="00976920">
        <w:rPr>
          <w:rFonts w:ascii="Arial" w:hAnsi="Arial" w:cs="Arial"/>
          <w:shd w:val="clear" w:color="auto" w:fill="FFFFFF"/>
        </w:rPr>
        <w:t xml:space="preserve">on el fin de proceder a las referidas tareas de </w:t>
      </w:r>
      <w:proofErr w:type="spellStart"/>
      <w:r w:rsidRPr="00976920">
        <w:rPr>
          <w:rFonts w:ascii="Arial" w:hAnsi="Arial" w:cs="Arial"/>
          <w:shd w:val="clear" w:color="auto" w:fill="FFFFFF"/>
        </w:rPr>
        <w:t>desamiantado</w:t>
      </w:r>
      <w:proofErr w:type="spellEnd"/>
      <w:r w:rsidRPr="00976920">
        <w:rPr>
          <w:rFonts w:ascii="Arial" w:hAnsi="Arial" w:cs="Arial"/>
          <w:shd w:val="clear" w:color="auto" w:fill="FFFFFF"/>
        </w:rPr>
        <w:t xml:space="preserve"> y renov</w:t>
      </w:r>
      <w:r>
        <w:rPr>
          <w:rFonts w:ascii="Arial" w:hAnsi="Arial" w:cs="Arial"/>
          <w:shd w:val="clear" w:color="auto" w:fill="FFFFFF"/>
        </w:rPr>
        <w:t xml:space="preserve">ación de la mencionada cubierta, </w:t>
      </w:r>
      <w:r w:rsidRPr="00976920">
        <w:rPr>
          <w:rFonts w:ascii="Arial" w:hAnsi="Arial" w:cs="Arial"/>
          <w:shd w:val="clear" w:color="auto" w:fill="FFFFFF"/>
        </w:rPr>
        <w:t>el Ayuntamiento de Puente la Reina/Gares</w:t>
      </w:r>
      <w:r>
        <w:rPr>
          <w:rFonts w:ascii="Arial" w:hAnsi="Arial" w:cs="Arial"/>
          <w:shd w:val="clear" w:color="auto" w:fill="FFFFFF"/>
        </w:rPr>
        <w:t xml:space="preserve"> encargó el pertinente Proyecto en el que se describen las actuaciones a realizar consistentes en la: </w:t>
      </w:r>
    </w:p>
    <w:p w14:paraId="43E92CE9" w14:textId="77777777" w:rsidR="00D12E26" w:rsidRDefault="00D12E26" w:rsidP="000E299A">
      <w:pPr>
        <w:pStyle w:val="Textoindependiente2"/>
        <w:numPr>
          <w:ilvl w:val="0"/>
          <w:numId w:val="1"/>
        </w:numPr>
        <w:spacing w:line="240" w:lineRule="auto"/>
        <w:ind w:hanging="357"/>
        <w:jc w:val="both"/>
        <w:rPr>
          <w:rFonts w:ascii="Arial" w:hAnsi="Arial" w:cs="Arial"/>
          <w:shd w:val="clear" w:color="auto" w:fill="FFFFFF"/>
        </w:rPr>
      </w:pPr>
      <w:r w:rsidRPr="00976920">
        <w:rPr>
          <w:rFonts w:ascii="Arial" w:hAnsi="Arial" w:cs="Arial"/>
        </w:rPr>
        <w:t>Retirada y gestión de uralita por empresa especializada que será la encargada de:</w:t>
      </w:r>
    </w:p>
    <w:p w14:paraId="636CCB45" w14:textId="77777777" w:rsidR="00D12E26" w:rsidRPr="008E7D4D" w:rsidRDefault="00D12E26" w:rsidP="000E299A">
      <w:pPr>
        <w:pStyle w:val="Textoindependiente2"/>
        <w:numPr>
          <w:ilvl w:val="1"/>
          <w:numId w:val="1"/>
        </w:numPr>
        <w:spacing w:line="240" w:lineRule="auto"/>
        <w:ind w:hanging="357"/>
        <w:jc w:val="both"/>
        <w:rPr>
          <w:rFonts w:ascii="Arial" w:hAnsi="Arial" w:cs="Arial"/>
          <w:shd w:val="clear" w:color="auto" w:fill="FFFFFF"/>
        </w:rPr>
      </w:pPr>
      <w:r w:rsidRPr="008E7D4D">
        <w:rPr>
          <w:rFonts w:ascii="Arial" w:hAnsi="Arial" w:cs="Arial"/>
        </w:rPr>
        <w:t>Asesoramiento inicial</w:t>
      </w:r>
    </w:p>
    <w:p w14:paraId="5FBF1418" w14:textId="77777777" w:rsidR="00D12E26" w:rsidRPr="00976920" w:rsidRDefault="00D12E26" w:rsidP="000E299A">
      <w:pPr>
        <w:pStyle w:val="Textoindependiente2"/>
        <w:numPr>
          <w:ilvl w:val="1"/>
          <w:numId w:val="1"/>
        </w:numPr>
        <w:spacing w:line="240" w:lineRule="auto"/>
        <w:ind w:hanging="357"/>
        <w:jc w:val="both"/>
        <w:rPr>
          <w:rFonts w:ascii="Arial" w:hAnsi="Arial" w:cs="Arial"/>
        </w:rPr>
      </w:pPr>
      <w:r w:rsidRPr="00976920">
        <w:rPr>
          <w:rFonts w:ascii="Arial" w:hAnsi="Arial" w:cs="Arial"/>
        </w:rPr>
        <w:t>Retirada</w:t>
      </w:r>
    </w:p>
    <w:p w14:paraId="4072CA7D" w14:textId="77777777" w:rsidR="00D12E26" w:rsidRPr="00976920" w:rsidRDefault="00D12E26" w:rsidP="000E299A">
      <w:pPr>
        <w:pStyle w:val="Textoindependiente2"/>
        <w:numPr>
          <w:ilvl w:val="1"/>
          <w:numId w:val="1"/>
        </w:numPr>
        <w:spacing w:line="240" w:lineRule="auto"/>
        <w:ind w:hanging="357"/>
        <w:jc w:val="both"/>
        <w:rPr>
          <w:rFonts w:ascii="Arial" w:hAnsi="Arial" w:cs="Arial"/>
        </w:rPr>
      </w:pPr>
      <w:r w:rsidRPr="00976920">
        <w:rPr>
          <w:rFonts w:ascii="Arial" w:hAnsi="Arial" w:cs="Arial"/>
        </w:rPr>
        <w:t>Acondicionamiento y traslado</w:t>
      </w:r>
    </w:p>
    <w:p w14:paraId="275EA011" w14:textId="77777777" w:rsidR="000E299A" w:rsidRDefault="00D12E26" w:rsidP="000E299A">
      <w:pPr>
        <w:pStyle w:val="Textoindependiente2"/>
        <w:numPr>
          <w:ilvl w:val="1"/>
          <w:numId w:val="1"/>
        </w:numPr>
        <w:spacing w:line="240" w:lineRule="auto"/>
        <w:ind w:hanging="357"/>
        <w:jc w:val="both"/>
        <w:rPr>
          <w:rFonts w:ascii="Arial" w:hAnsi="Arial" w:cs="Arial"/>
        </w:rPr>
      </w:pPr>
      <w:r w:rsidRPr="00976920">
        <w:rPr>
          <w:rFonts w:ascii="Arial" w:hAnsi="Arial" w:cs="Arial"/>
        </w:rPr>
        <w:t>Eliminación en vertederos controlados para amianto y materiales que lo contengan.</w:t>
      </w:r>
    </w:p>
    <w:p w14:paraId="35887D12" w14:textId="05A85F59" w:rsidR="00D12E26" w:rsidRPr="000E299A" w:rsidRDefault="00D12E26" w:rsidP="000E299A">
      <w:pPr>
        <w:pStyle w:val="Textoindependiente2"/>
        <w:numPr>
          <w:ilvl w:val="0"/>
          <w:numId w:val="1"/>
        </w:numPr>
        <w:spacing w:after="240" w:line="240" w:lineRule="auto"/>
        <w:jc w:val="both"/>
        <w:rPr>
          <w:rFonts w:ascii="Arial" w:hAnsi="Arial" w:cs="Arial"/>
        </w:rPr>
      </w:pPr>
      <w:r w:rsidRPr="000E299A">
        <w:rPr>
          <w:rFonts w:ascii="Arial" w:hAnsi="Arial" w:cs="Arial"/>
        </w:rPr>
        <w:t xml:space="preserve"> Colocación de panel sándwich metálico de 30 mm de espesor y 1.150 mm de ancho.</w:t>
      </w:r>
    </w:p>
    <w:p w14:paraId="5032DA54" w14:textId="77777777" w:rsidR="00D12E26" w:rsidRPr="00C32971" w:rsidRDefault="00D12E26" w:rsidP="000E299A">
      <w:pPr>
        <w:pStyle w:val="Textoindependiente2"/>
        <w:spacing w:after="240" w:line="240" w:lineRule="auto"/>
        <w:ind w:firstLine="720"/>
        <w:jc w:val="both"/>
        <w:rPr>
          <w:rFonts w:ascii="Arial" w:hAnsi="Arial" w:cs="Arial"/>
          <w:shd w:val="clear" w:color="auto" w:fill="FFFFFF"/>
        </w:rPr>
      </w:pPr>
      <w:r>
        <w:rPr>
          <w:rFonts w:ascii="Arial" w:hAnsi="Arial" w:cs="Arial"/>
          <w:shd w:val="clear" w:color="auto" w:fill="FFFFFF"/>
        </w:rPr>
        <w:t xml:space="preserve">Con la finalidad de regular </w:t>
      </w:r>
      <w:r w:rsidRPr="00C32971">
        <w:rPr>
          <w:rFonts w:ascii="Arial" w:hAnsi="Arial" w:cs="Arial"/>
          <w:shd w:val="clear" w:color="auto" w:fill="FFFFFF"/>
        </w:rPr>
        <w:t>la concesión y canalización de la subvención nominativa recogida en la LFPGN-2025</w:t>
      </w:r>
      <w:r>
        <w:rPr>
          <w:rFonts w:ascii="Arial" w:hAnsi="Arial" w:cs="Arial"/>
          <w:shd w:val="clear" w:color="auto" w:fill="FFFFFF"/>
        </w:rPr>
        <w:t xml:space="preserve">: </w:t>
      </w:r>
      <w:r w:rsidRPr="00C32971">
        <w:rPr>
          <w:rFonts w:ascii="Arial" w:hAnsi="Arial" w:cs="Arial"/>
          <w:shd w:val="clear" w:color="auto" w:fill="FFFFFF"/>
        </w:rPr>
        <w:t>740001 74100 7609 456211 “</w:t>
      </w:r>
      <w:proofErr w:type="spellStart"/>
      <w:r w:rsidRPr="00C32971">
        <w:rPr>
          <w:rFonts w:ascii="Arial" w:hAnsi="Arial" w:cs="Arial"/>
          <w:shd w:val="clear" w:color="auto" w:fill="FFFFFF"/>
        </w:rPr>
        <w:t>Transf</w:t>
      </w:r>
      <w:proofErr w:type="spellEnd"/>
      <w:r w:rsidRPr="00C32971">
        <w:rPr>
          <w:rFonts w:ascii="Arial" w:hAnsi="Arial" w:cs="Arial"/>
          <w:shd w:val="clear" w:color="auto" w:fill="FFFFFF"/>
        </w:rPr>
        <w:t xml:space="preserve">. Ayto. Puente la Reina Gares </w:t>
      </w:r>
      <w:proofErr w:type="spellStart"/>
      <w:r w:rsidRPr="00C32971">
        <w:rPr>
          <w:rFonts w:ascii="Arial" w:hAnsi="Arial" w:cs="Arial"/>
          <w:shd w:val="clear" w:color="auto" w:fill="FFFFFF"/>
        </w:rPr>
        <w:t>desamiantado</w:t>
      </w:r>
      <w:proofErr w:type="spellEnd"/>
      <w:r w:rsidRPr="00C32971">
        <w:rPr>
          <w:rFonts w:ascii="Arial" w:hAnsi="Arial" w:cs="Arial"/>
          <w:shd w:val="clear" w:color="auto" w:fill="FFFFFF"/>
        </w:rPr>
        <w:t xml:space="preserve"> y renovación de la cubierta del almacén de Grana”</w:t>
      </w:r>
      <w:r>
        <w:rPr>
          <w:rFonts w:ascii="Arial" w:hAnsi="Arial" w:cs="Arial"/>
          <w:shd w:val="clear" w:color="auto" w:fill="FFFFFF"/>
        </w:rPr>
        <w:t xml:space="preserve">, se celebra </w:t>
      </w:r>
      <w:r w:rsidRPr="008E7D4D">
        <w:rPr>
          <w:rFonts w:ascii="Arial" w:hAnsi="Arial" w:cs="Arial"/>
          <w:shd w:val="clear" w:color="auto" w:fill="FFFFFF"/>
        </w:rPr>
        <w:t xml:space="preserve">este convenio </w:t>
      </w:r>
      <w:r>
        <w:rPr>
          <w:rFonts w:ascii="Arial" w:hAnsi="Arial" w:cs="Arial"/>
          <w:shd w:val="clear" w:color="auto" w:fill="FFFFFF"/>
        </w:rPr>
        <w:t>entre el Departamento de Desarrollo Rural y Medio Ambiente y el Ayuntamiento de Puente la Reina/Gares</w:t>
      </w:r>
      <w:r w:rsidRPr="00C32971">
        <w:rPr>
          <w:rFonts w:ascii="Arial" w:hAnsi="Arial" w:cs="Arial"/>
          <w:shd w:val="clear" w:color="auto" w:fill="FFFFFF"/>
        </w:rPr>
        <w:t>.</w:t>
      </w:r>
      <w:r>
        <w:rPr>
          <w:rFonts w:ascii="Arial" w:hAnsi="Arial" w:cs="Arial"/>
          <w:shd w:val="clear" w:color="auto" w:fill="FFFFFF"/>
        </w:rPr>
        <w:t xml:space="preserve"> Con</w:t>
      </w:r>
      <w:r w:rsidRPr="008E7D4D">
        <w:rPr>
          <w:rFonts w:ascii="Arial" w:hAnsi="Arial" w:cs="Arial"/>
          <w:shd w:val="clear" w:color="auto" w:fill="FFFFFF"/>
        </w:rPr>
        <w:t xml:space="preserve"> </w:t>
      </w:r>
      <w:r>
        <w:rPr>
          <w:rFonts w:ascii="Arial" w:hAnsi="Arial" w:cs="Arial"/>
          <w:shd w:val="clear" w:color="auto" w:fill="FFFFFF"/>
        </w:rPr>
        <w:t xml:space="preserve">el mismo, </w:t>
      </w:r>
      <w:r w:rsidRPr="008E7D4D">
        <w:rPr>
          <w:rFonts w:ascii="Arial" w:hAnsi="Arial" w:cs="Arial"/>
          <w:shd w:val="clear" w:color="auto" w:fill="FFFFFF"/>
        </w:rPr>
        <w:t>se pretende contribuir al cumplimiento de los objetivos previstos en materia de residuos de conformidad con lo establecido en la Ley Foral 14/2018, de 18 de junio, de Residuos y su Fiscalidad, así como al desarrollo de las medidas de recogida separada y correcta gestión para residuos de fibrocemento, establecidas en el Plan de Residuos de Navarra 2017-2027.</w:t>
      </w:r>
      <w:r>
        <w:rPr>
          <w:rFonts w:ascii="Arial" w:hAnsi="Arial" w:cs="Arial"/>
          <w:shd w:val="clear" w:color="auto" w:fill="FFFFFF"/>
        </w:rPr>
        <w:t xml:space="preserve"> </w:t>
      </w:r>
    </w:p>
    <w:p w14:paraId="733C8FF0" w14:textId="77777777" w:rsidR="006738B4" w:rsidRDefault="00D12E26" w:rsidP="000E299A">
      <w:pPr>
        <w:spacing w:after="240"/>
        <w:ind w:firstLine="723"/>
        <w:jc w:val="both"/>
        <w:rPr>
          <w:rFonts w:ascii="Arial" w:eastAsia="Arial" w:hAnsi="Arial" w:cs="Arial"/>
        </w:rPr>
      </w:pPr>
      <w:r>
        <w:rPr>
          <w:rFonts w:ascii="Arial" w:eastAsia="Arial" w:hAnsi="Arial" w:cs="Arial"/>
        </w:rPr>
        <w:t>De conformidad con lo expuesto, y en ejercicio de las atribuciones que me han sido conferidas por el Decreto Foral 255/2023, de 15 de noviembre, por el que se establece la estructura orgánica del Departamento de Desarrollo Rural y Medio Ambiente,</w:t>
      </w:r>
    </w:p>
    <w:p w14:paraId="5C2ABD3C" w14:textId="6EAA91DE" w:rsidR="000E299A" w:rsidRDefault="000E299A">
      <w:pPr>
        <w:ind w:firstLine="723"/>
        <w:jc w:val="both"/>
        <w:rPr>
          <w:rFonts w:ascii="Arial" w:eastAsia="Arial" w:hAnsi="Arial" w:cs="Arial"/>
        </w:rPr>
      </w:pPr>
    </w:p>
    <w:p w14:paraId="733C8FF3" w14:textId="77777777" w:rsidR="006738B4" w:rsidRDefault="00D12E26">
      <w:pPr>
        <w:ind w:firstLine="723"/>
        <w:jc w:val="both"/>
        <w:rPr>
          <w:rFonts w:ascii="Arial" w:eastAsia="Arial" w:hAnsi="Arial" w:cs="Arial"/>
        </w:rPr>
      </w:pPr>
      <w:r w:rsidRPr="000E299A">
        <w:rPr>
          <w:rFonts w:ascii="Arial" w:eastAsia="Arial" w:hAnsi="Arial" w:cs="Arial"/>
          <w:b/>
        </w:rPr>
        <w:t>RESUELVO</w:t>
      </w:r>
      <w:r>
        <w:rPr>
          <w:rFonts w:ascii="Arial" w:eastAsia="Arial" w:hAnsi="Arial" w:cs="Arial"/>
        </w:rPr>
        <w:t>:</w:t>
      </w:r>
    </w:p>
    <w:p w14:paraId="0E616A4E" w14:textId="77777777" w:rsidR="000E299A" w:rsidRDefault="000E299A">
      <w:pPr>
        <w:ind w:firstLine="723"/>
        <w:jc w:val="both"/>
        <w:rPr>
          <w:rFonts w:ascii="Arial" w:eastAsia="Arial" w:hAnsi="Arial" w:cs="Arial"/>
        </w:rPr>
      </w:pPr>
    </w:p>
    <w:p w14:paraId="733C8FF5" w14:textId="01D57089" w:rsidR="006738B4" w:rsidRPr="000E299A" w:rsidRDefault="000E299A" w:rsidP="000E299A">
      <w:pPr>
        <w:pStyle w:val="Prrafodelista"/>
        <w:numPr>
          <w:ilvl w:val="0"/>
          <w:numId w:val="2"/>
        </w:numPr>
        <w:ind w:left="709"/>
        <w:jc w:val="both"/>
        <w:rPr>
          <w:rFonts w:ascii="Arial" w:eastAsia="Arial" w:hAnsi="Arial" w:cs="Arial"/>
          <w:lang w:val="es-ES_tradnl" w:bidi="es-ES"/>
        </w:rPr>
      </w:pPr>
      <w:r w:rsidRPr="000E299A">
        <w:rPr>
          <w:rFonts w:ascii="Arial" w:eastAsia="Arial" w:hAnsi="Arial" w:cs="Arial"/>
          <w:lang w:val="es-ES_tradnl" w:bidi="es-ES"/>
        </w:rPr>
        <w:t xml:space="preserve">Autorizar y disponer un gasto de 66.000 euros, con cargo a la partida 740001-74100-7609-456211: </w:t>
      </w:r>
      <w:proofErr w:type="spellStart"/>
      <w:r w:rsidRPr="000E299A">
        <w:rPr>
          <w:rFonts w:ascii="Arial" w:eastAsia="Arial" w:hAnsi="Arial" w:cs="Arial"/>
          <w:lang w:val="es-ES_tradnl" w:bidi="es-ES"/>
        </w:rPr>
        <w:t>Transf</w:t>
      </w:r>
      <w:proofErr w:type="spellEnd"/>
      <w:r w:rsidRPr="000E299A">
        <w:rPr>
          <w:rFonts w:ascii="Arial" w:eastAsia="Arial" w:hAnsi="Arial" w:cs="Arial"/>
          <w:lang w:val="es-ES_tradnl" w:bidi="es-ES"/>
        </w:rPr>
        <w:t xml:space="preserve">. Ayto. Puente la Reina Gares </w:t>
      </w:r>
      <w:proofErr w:type="spellStart"/>
      <w:r w:rsidRPr="000E299A">
        <w:rPr>
          <w:rFonts w:ascii="Arial" w:eastAsia="Arial" w:hAnsi="Arial" w:cs="Arial"/>
          <w:lang w:val="es-ES_tradnl" w:bidi="es-ES"/>
        </w:rPr>
        <w:t>desamiantado</w:t>
      </w:r>
      <w:proofErr w:type="spellEnd"/>
      <w:r w:rsidRPr="000E299A">
        <w:rPr>
          <w:rFonts w:ascii="Arial" w:eastAsia="Arial" w:hAnsi="Arial" w:cs="Arial"/>
          <w:lang w:val="es-ES_tradnl" w:bidi="es-ES"/>
        </w:rPr>
        <w:t xml:space="preserve"> y renovación de la cubierta del almacén de Grana</w:t>
      </w:r>
      <w:r w:rsidR="00D12E26" w:rsidRPr="000E299A">
        <w:rPr>
          <w:rFonts w:ascii="Arial" w:eastAsia="Arial" w:hAnsi="Arial" w:cs="Arial"/>
          <w:lang w:val="es-ES_tradnl" w:bidi="es-ES"/>
        </w:rPr>
        <w:t>.</w:t>
      </w:r>
    </w:p>
    <w:p w14:paraId="365CE03F" w14:textId="7716368D" w:rsidR="000E299A" w:rsidRDefault="000E299A" w:rsidP="000E299A">
      <w:pPr>
        <w:ind w:left="709" w:firstLine="723"/>
        <w:jc w:val="both"/>
        <w:rPr>
          <w:rFonts w:ascii="Arial" w:eastAsia="Arial" w:hAnsi="Arial" w:cs="Arial"/>
          <w:sz w:val="24"/>
          <w:szCs w:val="24"/>
          <w:lang w:val="es-ES_tradnl" w:bidi="es-ES"/>
        </w:rPr>
      </w:pPr>
    </w:p>
    <w:p w14:paraId="2A37C01A" w14:textId="37D1691B" w:rsidR="000E299A" w:rsidRDefault="000E299A" w:rsidP="000E299A">
      <w:pPr>
        <w:ind w:left="709" w:firstLine="723"/>
        <w:jc w:val="both"/>
        <w:rPr>
          <w:rFonts w:ascii="Arial" w:eastAsia="Arial" w:hAnsi="Arial" w:cs="Arial"/>
          <w:sz w:val="24"/>
          <w:szCs w:val="24"/>
          <w:lang w:val="es-ES_tradnl" w:bidi="es-ES"/>
        </w:rPr>
      </w:pPr>
    </w:p>
    <w:tbl>
      <w:tblPr>
        <w:tblW w:w="861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276"/>
        <w:gridCol w:w="4110"/>
        <w:gridCol w:w="993"/>
        <w:gridCol w:w="1105"/>
      </w:tblGrid>
      <w:tr w:rsidR="000E299A" w:rsidRPr="000E299A" w14:paraId="26680B87" w14:textId="77777777" w:rsidTr="000E299A">
        <w:trPr>
          <w:trHeight w:val="409"/>
        </w:trPr>
        <w:tc>
          <w:tcPr>
            <w:tcW w:w="1134" w:type="dxa"/>
            <w:tcBorders>
              <w:top w:val="single" w:sz="4" w:space="0" w:color="auto"/>
              <w:left w:val="single" w:sz="4" w:space="0" w:color="auto"/>
              <w:bottom w:val="single" w:sz="4" w:space="0" w:color="auto"/>
              <w:right w:val="single" w:sz="4" w:space="0" w:color="auto"/>
            </w:tcBorders>
            <w:vAlign w:val="center"/>
          </w:tcPr>
          <w:p w14:paraId="3756F28E" w14:textId="77777777" w:rsidR="000E299A" w:rsidRPr="000E299A" w:rsidRDefault="000E299A" w:rsidP="000E299A">
            <w:pPr>
              <w:ind w:left="33"/>
              <w:jc w:val="center"/>
              <w:rPr>
                <w:b/>
                <w:sz w:val="18"/>
                <w:szCs w:val="18"/>
              </w:rPr>
            </w:pPr>
            <w:r w:rsidRPr="000E299A">
              <w:rPr>
                <w:b/>
                <w:sz w:val="18"/>
                <w:szCs w:val="18"/>
              </w:rPr>
              <w:t>NIF</w:t>
            </w:r>
          </w:p>
        </w:tc>
        <w:tc>
          <w:tcPr>
            <w:tcW w:w="1276" w:type="dxa"/>
            <w:tcBorders>
              <w:top w:val="single" w:sz="4" w:space="0" w:color="auto"/>
              <w:left w:val="single" w:sz="4" w:space="0" w:color="auto"/>
              <w:bottom w:val="single" w:sz="4" w:space="0" w:color="auto"/>
              <w:right w:val="single" w:sz="4" w:space="0" w:color="auto"/>
            </w:tcBorders>
            <w:vAlign w:val="center"/>
          </w:tcPr>
          <w:p w14:paraId="1DA40416" w14:textId="77777777" w:rsidR="000E299A" w:rsidRPr="000E299A" w:rsidRDefault="000E299A" w:rsidP="000E299A">
            <w:pPr>
              <w:jc w:val="center"/>
              <w:rPr>
                <w:b/>
                <w:sz w:val="18"/>
                <w:szCs w:val="18"/>
              </w:rPr>
            </w:pPr>
            <w:r w:rsidRPr="000E299A">
              <w:rPr>
                <w:b/>
                <w:sz w:val="18"/>
                <w:szCs w:val="18"/>
              </w:rPr>
              <w:t>NOMBRE</w:t>
            </w:r>
          </w:p>
        </w:tc>
        <w:tc>
          <w:tcPr>
            <w:tcW w:w="4110" w:type="dxa"/>
            <w:tcBorders>
              <w:top w:val="single" w:sz="4" w:space="0" w:color="auto"/>
              <w:left w:val="single" w:sz="4" w:space="0" w:color="auto"/>
              <w:bottom w:val="single" w:sz="4" w:space="0" w:color="auto"/>
              <w:right w:val="single" w:sz="4" w:space="0" w:color="auto"/>
            </w:tcBorders>
            <w:vAlign w:val="center"/>
          </w:tcPr>
          <w:p w14:paraId="383D72F2" w14:textId="77777777" w:rsidR="000E299A" w:rsidRPr="000E299A" w:rsidRDefault="000E299A" w:rsidP="000E299A">
            <w:pPr>
              <w:ind w:left="-71"/>
              <w:jc w:val="center"/>
              <w:rPr>
                <w:b/>
                <w:sz w:val="18"/>
                <w:szCs w:val="18"/>
              </w:rPr>
            </w:pPr>
            <w:r w:rsidRPr="000E299A">
              <w:rPr>
                <w:b/>
                <w:sz w:val="18"/>
                <w:szCs w:val="18"/>
              </w:rPr>
              <w:t>PARTIDA PRESUPUESTARIA</w:t>
            </w:r>
          </w:p>
        </w:tc>
        <w:tc>
          <w:tcPr>
            <w:tcW w:w="993" w:type="dxa"/>
            <w:tcBorders>
              <w:top w:val="single" w:sz="4" w:space="0" w:color="auto"/>
              <w:left w:val="single" w:sz="4" w:space="0" w:color="auto"/>
              <w:bottom w:val="single" w:sz="4" w:space="0" w:color="auto"/>
              <w:right w:val="single" w:sz="4" w:space="0" w:color="auto"/>
            </w:tcBorders>
            <w:vAlign w:val="center"/>
          </w:tcPr>
          <w:p w14:paraId="286F752C" w14:textId="77777777" w:rsidR="000E299A" w:rsidRPr="000E299A" w:rsidRDefault="000E299A" w:rsidP="000E299A">
            <w:pPr>
              <w:jc w:val="center"/>
              <w:rPr>
                <w:b/>
                <w:sz w:val="18"/>
                <w:szCs w:val="18"/>
              </w:rPr>
            </w:pPr>
            <w:r w:rsidRPr="000E299A">
              <w:rPr>
                <w:b/>
                <w:sz w:val="18"/>
                <w:szCs w:val="18"/>
              </w:rPr>
              <w:t>EJERCICIO</w:t>
            </w:r>
          </w:p>
        </w:tc>
        <w:tc>
          <w:tcPr>
            <w:tcW w:w="1105" w:type="dxa"/>
            <w:tcBorders>
              <w:top w:val="single" w:sz="4" w:space="0" w:color="auto"/>
              <w:left w:val="single" w:sz="4" w:space="0" w:color="auto"/>
              <w:bottom w:val="single" w:sz="4" w:space="0" w:color="auto"/>
              <w:right w:val="single" w:sz="4" w:space="0" w:color="auto"/>
            </w:tcBorders>
            <w:vAlign w:val="center"/>
          </w:tcPr>
          <w:p w14:paraId="56EEE8DB" w14:textId="77777777" w:rsidR="000E299A" w:rsidRPr="000E299A" w:rsidRDefault="000E299A" w:rsidP="000E299A">
            <w:pPr>
              <w:ind w:left="41"/>
              <w:jc w:val="center"/>
              <w:rPr>
                <w:b/>
                <w:sz w:val="18"/>
                <w:szCs w:val="18"/>
              </w:rPr>
            </w:pPr>
            <w:r w:rsidRPr="000E299A">
              <w:rPr>
                <w:b/>
                <w:sz w:val="18"/>
                <w:szCs w:val="18"/>
              </w:rPr>
              <w:t>IMPORTE</w:t>
            </w:r>
          </w:p>
        </w:tc>
      </w:tr>
      <w:tr w:rsidR="000E299A" w:rsidRPr="000E299A" w14:paraId="665F7875" w14:textId="77777777" w:rsidTr="000E299A">
        <w:trPr>
          <w:trHeight w:val="415"/>
        </w:trPr>
        <w:tc>
          <w:tcPr>
            <w:tcW w:w="1134" w:type="dxa"/>
            <w:tcBorders>
              <w:top w:val="single" w:sz="4" w:space="0" w:color="auto"/>
              <w:left w:val="single" w:sz="4" w:space="0" w:color="auto"/>
              <w:bottom w:val="single" w:sz="4" w:space="0" w:color="auto"/>
              <w:right w:val="single" w:sz="4" w:space="0" w:color="auto"/>
            </w:tcBorders>
            <w:vAlign w:val="center"/>
          </w:tcPr>
          <w:p w14:paraId="008EF816" w14:textId="77777777" w:rsidR="000E299A" w:rsidRPr="000E299A" w:rsidRDefault="000E299A" w:rsidP="000E299A">
            <w:pPr>
              <w:jc w:val="center"/>
              <w:rPr>
                <w:sz w:val="18"/>
                <w:szCs w:val="18"/>
              </w:rPr>
            </w:pPr>
            <w:r w:rsidRPr="000E299A">
              <w:rPr>
                <w:sz w:val="18"/>
                <w:szCs w:val="18"/>
              </w:rPr>
              <w:t>P3120600F</w:t>
            </w:r>
          </w:p>
        </w:tc>
        <w:tc>
          <w:tcPr>
            <w:tcW w:w="1276" w:type="dxa"/>
            <w:tcBorders>
              <w:top w:val="single" w:sz="4" w:space="0" w:color="auto"/>
              <w:left w:val="single" w:sz="4" w:space="0" w:color="auto"/>
              <w:bottom w:val="single" w:sz="4" w:space="0" w:color="auto"/>
              <w:right w:val="single" w:sz="4" w:space="0" w:color="auto"/>
            </w:tcBorders>
            <w:vAlign w:val="center"/>
          </w:tcPr>
          <w:p w14:paraId="07D026C2" w14:textId="355A9903" w:rsidR="000E299A" w:rsidRPr="000E299A" w:rsidRDefault="000E299A" w:rsidP="000E299A">
            <w:pPr>
              <w:ind w:left="-114"/>
              <w:jc w:val="center"/>
              <w:rPr>
                <w:sz w:val="18"/>
                <w:szCs w:val="18"/>
              </w:rPr>
            </w:pPr>
            <w:r>
              <w:rPr>
                <w:sz w:val="18"/>
                <w:szCs w:val="18"/>
              </w:rPr>
              <w:t>A</w:t>
            </w:r>
            <w:r w:rsidRPr="000E299A">
              <w:rPr>
                <w:sz w:val="18"/>
                <w:szCs w:val="18"/>
              </w:rPr>
              <w:t xml:space="preserve">yuntamiento de </w:t>
            </w:r>
            <w:r>
              <w:rPr>
                <w:sz w:val="18"/>
                <w:szCs w:val="18"/>
              </w:rPr>
              <w:t>Puente la R</w:t>
            </w:r>
            <w:r w:rsidRPr="000E299A">
              <w:rPr>
                <w:sz w:val="18"/>
                <w:szCs w:val="18"/>
              </w:rPr>
              <w:t>eina</w:t>
            </w:r>
          </w:p>
        </w:tc>
        <w:tc>
          <w:tcPr>
            <w:tcW w:w="4110" w:type="dxa"/>
            <w:tcBorders>
              <w:top w:val="single" w:sz="4" w:space="0" w:color="auto"/>
              <w:left w:val="single" w:sz="4" w:space="0" w:color="auto"/>
              <w:bottom w:val="single" w:sz="4" w:space="0" w:color="auto"/>
              <w:right w:val="single" w:sz="4" w:space="0" w:color="auto"/>
            </w:tcBorders>
            <w:vAlign w:val="center"/>
          </w:tcPr>
          <w:p w14:paraId="542EFF4A" w14:textId="7E4A1D13" w:rsidR="000E299A" w:rsidRPr="000E299A" w:rsidRDefault="000E299A" w:rsidP="000E299A">
            <w:pPr>
              <w:rPr>
                <w:sz w:val="18"/>
                <w:szCs w:val="18"/>
              </w:rPr>
            </w:pPr>
            <w:r w:rsidRPr="000E299A">
              <w:rPr>
                <w:sz w:val="18"/>
                <w:szCs w:val="18"/>
              </w:rPr>
              <w:t xml:space="preserve">740001-74100-7609-456211: </w:t>
            </w:r>
            <w:proofErr w:type="spellStart"/>
            <w:r w:rsidRPr="000E299A">
              <w:rPr>
                <w:sz w:val="18"/>
                <w:szCs w:val="18"/>
              </w:rPr>
              <w:t>Transf</w:t>
            </w:r>
            <w:proofErr w:type="spellEnd"/>
            <w:r w:rsidRPr="000E299A">
              <w:rPr>
                <w:sz w:val="18"/>
                <w:szCs w:val="18"/>
              </w:rPr>
              <w:t xml:space="preserve">. Ayto. Puente la Reina Gares </w:t>
            </w:r>
            <w:proofErr w:type="spellStart"/>
            <w:r w:rsidRPr="000E299A">
              <w:rPr>
                <w:sz w:val="18"/>
                <w:szCs w:val="18"/>
              </w:rPr>
              <w:t>desamiantado</w:t>
            </w:r>
            <w:proofErr w:type="spellEnd"/>
            <w:r w:rsidRPr="000E299A">
              <w:rPr>
                <w:sz w:val="18"/>
                <w:szCs w:val="18"/>
              </w:rPr>
              <w:t xml:space="preserve"> y renovación de la cubierta del almacén de Grana</w:t>
            </w:r>
          </w:p>
        </w:tc>
        <w:tc>
          <w:tcPr>
            <w:tcW w:w="993" w:type="dxa"/>
            <w:tcBorders>
              <w:top w:val="single" w:sz="4" w:space="0" w:color="auto"/>
              <w:left w:val="single" w:sz="4" w:space="0" w:color="auto"/>
              <w:bottom w:val="single" w:sz="4" w:space="0" w:color="auto"/>
              <w:right w:val="single" w:sz="4" w:space="0" w:color="auto"/>
            </w:tcBorders>
            <w:vAlign w:val="center"/>
          </w:tcPr>
          <w:p w14:paraId="2A04967F" w14:textId="77777777" w:rsidR="000E299A" w:rsidRPr="000E299A" w:rsidRDefault="000E299A" w:rsidP="000E299A">
            <w:pPr>
              <w:jc w:val="center"/>
              <w:rPr>
                <w:sz w:val="18"/>
                <w:szCs w:val="18"/>
              </w:rPr>
            </w:pPr>
            <w:r w:rsidRPr="000E299A">
              <w:rPr>
                <w:sz w:val="18"/>
                <w:szCs w:val="18"/>
              </w:rPr>
              <w:t>2025</w:t>
            </w:r>
          </w:p>
          <w:p w14:paraId="0D0E4D19" w14:textId="77777777" w:rsidR="000E299A" w:rsidRPr="000E299A" w:rsidRDefault="000E299A" w:rsidP="000E299A">
            <w:pPr>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14:paraId="78B06C14" w14:textId="77777777" w:rsidR="000E299A" w:rsidRPr="000E299A" w:rsidRDefault="000E299A" w:rsidP="000E299A">
            <w:pPr>
              <w:ind w:left="41"/>
              <w:jc w:val="center"/>
              <w:rPr>
                <w:sz w:val="18"/>
                <w:szCs w:val="18"/>
              </w:rPr>
            </w:pPr>
            <w:r w:rsidRPr="000E299A">
              <w:rPr>
                <w:sz w:val="18"/>
                <w:szCs w:val="18"/>
              </w:rPr>
              <w:t>66.000,00</w:t>
            </w:r>
          </w:p>
          <w:p w14:paraId="232F3DB8" w14:textId="77777777" w:rsidR="000E299A" w:rsidRPr="000E299A" w:rsidRDefault="000E299A" w:rsidP="000E299A">
            <w:pPr>
              <w:ind w:left="41"/>
              <w:jc w:val="center"/>
              <w:rPr>
                <w:sz w:val="18"/>
                <w:szCs w:val="18"/>
              </w:rPr>
            </w:pPr>
          </w:p>
        </w:tc>
      </w:tr>
    </w:tbl>
    <w:p w14:paraId="77BA0B78" w14:textId="77777777" w:rsidR="000E299A" w:rsidRDefault="000E299A" w:rsidP="000E299A">
      <w:pPr>
        <w:ind w:left="709" w:firstLine="723"/>
        <w:jc w:val="both"/>
        <w:rPr>
          <w:rFonts w:ascii="Arial" w:eastAsia="Arial" w:hAnsi="Arial" w:cs="Arial"/>
          <w:sz w:val="24"/>
          <w:szCs w:val="24"/>
          <w:lang w:val="es-ES_tradnl" w:bidi="es-ES"/>
        </w:rPr>
      </w:pPr>
    </w:p>
    <w:p w14:paraId="0BEF8156" w14:textId="3DAA6712" w:rsidR="000E299A" w:rsidRPr="000E299A" w:rsidRDefault="000E299A" w:rsidP="000E299A">
      <w:pPr>
        <w:pStyle w:val="Prrafodelista"/>
        <w:numPr>
          <w:ilvl w:val="0"/>
          <w:numId w:val="2"/>
        </w:numPr>
        <w:ind w:left="709"/>
        <w:jc w:val="both"/>
        <w:rPr>
          <w:rFonts w:ascii="Arial" w:hAnsi="Arial" w:cs="Arial"/>
        </w:rPr>
      </w:pPr>
      <w:r w:rsidRPr="000E299A">
        <w:rPr>
          <w:rFonts w:ascii="Arial" w:hAnsi="Arial" w:cs="Arial"/>
        </w:rPr>
        <w:t>Aprobar el Convenio de subvención directa, entre el Departamento de Desarrollo Rural y Medio Ambiente y el Ayuntamiento de Puente la Reina/Gares, que se incluye como Anexo que regirá la concesión de la subvención.</w:t>
      </w:r>
    </w:p>
    <w:p w14:paraId="67E29D45" w14:textId="77777777" w:rsidR="000E299A" w:rsidRDefault="000E299A" w:rsidP="000E299A">
      <w:pPr>
        <w:ind w:left="709" w:firstLine="723"/>
        <w:jc w:val="both"/>
        <w:rPr>
          <w:rFonts w:ascii="Arial" w:eastAsia="Arial" w:hAnsi="Arial" w:cs="Arial"/>
          <w:lang w:val="es-ES_tradnl" w:bidi="es-ES"/>
        </w:rPr>
      </w:pPr>
    </w:p>
    <w:p w14:paraId="733C8FF6" w14:textId="37EB84A5" w:rsidR="006738B4" w:rsidRDefault="00D12E26" w:rsidP="000E299A">
      <w:pPr>
        <w:pStyle w:val="Prrafodelista"/>
        <w:numPr>
          <w:ilvl w:val="0"/>
          <w:numId w:val="2"/>
        </w:numPr>
        <w:ind w:left="709"/>
        <w:jc w:val="both"/>
        <w:rPr>
          <w:rFonts w:ascii="Arial" w:eastAsia="Arial" w:hAnsi="Arial" w:cs="Arial"/>
          <w:lang w:val="es-ES_tradnl" w:bidi="es-ES"/>
        </w:rPr>
      </w:pPr>
      <w:r w:rsidRPr="000E299A">
        <w:rPr>
          <w:rFonts w:ascii="Arial" w:hAnsi="Arial" w:cs="Arial"/>
        </w:rPr>
        <w:t>Notificar esta resolución a AYUNTAMIENTO DE PUENTE LA REINA, a los efectos opo</w:t>
      </w:r>
      <w:r w:rsidRPr="000E299A">
        <w:rPr>
          <w:rFonts w:ascii="Arial" w:eastAsia="Arial" w:hAnsi="Arial" w:cs="Arial"/>
          <w:lang w:val="es-ES_tradnl" w:bidi="es-ES"/>
        </w:rPr>
        <w:t>rtunos.</w:t>
      </w:r>
    </w:p>
    <w:p w14:paraId="4FBCD86E" w14:textId="77777777" w:rsidR="000E299A" w:rsidRDefault="000E299A" w:rsidP="000E299A">
      <w:pPr>
        <w:numPr>
          <w:ilvl w:val="0"/>
          <w:numId w:val="2"/>
        </w:numPr>
        <w:spacing w:before="240" w:after="240" w:line="288" w:lineRule="auto"/>
        <w:ind w:left="709"/>
        <w:jc w:val="both"/>
        <w:rPr>
          <w:rFonts w:cs="Arial"/>
        </w:rPr>
      </w:pPr>
      <w:r w:rsidRPr="000E299A">
        <w:rPr>
          <w:rFonts w:ascii="Arial" w:hAnsi="Arial" w:cs="Arial"/>
        </w:rPr>
        <w:t>Trasladar la presente Resolución al Servicio de Economía Circular e Innovación, y al Negociado de Asuntos Económicos del Departamento de Desarrollo Rural y Medio Ambiente, a los efectos oportunos</w:t>
      </w:r>
      <w:r w:rsidRPr="00176AF0">
        <w:rPr>
          <w:rFonts w:cs="Arial"/>
        </w:rPr>
        <w:t>.</w:t>
      </w:r>
    </w:p>
    <w:p w14:paraId="1AC7E388" w14:textId="77777777" w:rsidR="000E299A" w:rsidRDefault="000E299A" w:rsidP="000E299A">
      <w:pPr>
        <w:numPr>
          <w:ilvl w:val="0"/>
          <w:numId w:val="2"/>
        </w:numPr>
        <w:spacing w:before="240" w:after="240" w:line="288" w:lineRule="auto"/>
        <w:ind w:left="709"/>
        <w:jc w:val="both"/>
        <w:rPr>
          <w:rFonts w:cs="Arial"/>
        </w:rPr>
      </w:pPr>
      <w:r w:rsidRPr="000E299A">
        <w:rPr>
          <w:rFonts w:ascii="Arial" w:hAnsi="Arial" w:cs="Arial"/>
        </w:rPr>
        <w:t>Incluir la presente autorización de gasto en la Base de Datos Nacional de Subvenciones (BDNS)</w:t>
      </w:r>
      <w:r w:rsidRPr="00AF59F6">
        <w:rPr>
          <w:rFonts w:cs="Arial"/>
        </w:rPr>
        <w:t>.</w:t>
      </w:r>
    </w:p>
    <w:p w14:paraId="614C85FB" w14:textId="7DC99BD6" w:rsidR="000E299A" w:rsidRPr="000E299A" w:rsidRDefault="000E299A" w:rsidP="000E299A">
      <w:pPr>
        <w:pStyle w:val="Prrafodelista"/>
        <w:numPr>
          <w:ilvl w:val="0"/>
          <w:numId w:val="2"/>
        </w:numPr>
        <w:ind w:left="709"/>
        <w:jc w:val="both"/>
        <w:rPr>
          <w:rFonts w:ascii="Arial" w:eastAsia="Arial" w:hAnsi="Arial" w:cs="Arial"/>
          <w:lang w:val="es-ES_tradnl" w:bidi="es-ES"/>
        </w:rPr>
      </w:pPr>
      <w:r w:rsidRPr="000E299A">
        <w:rPr>
          <w:rFonts w:ascii="Arial" w:hAnsi="Arial" w:cs="Arial"/>
        </w:rPr>
        <w:t>Contra esta Resolución, que no agota la vía administrativa, cabe interponer recurso de alzada ante el Consejero de Desarrollo Rural y Medio Ambiente, en el plazo de un mes a partir del día siguiente al de su notificación. Las Administraciones Públicas podrán interponer recurso contencioso-administrativo ante el orden jurisdiccional competente en el plazo de dos meses a partir del día siguiente al de su notificación, sin perjuicio de poder efectuar el requerimiento previo ante el Gobierno de Navarra, en la forma y plazos determinados en el artículo 44 de la Ley 29/1998, de 13 de julio, reguladora de la Jurisdicción Contenciosa- Administrativa</w:t>
      </w:r>
      <w:r>
        <w:rPr>
          <w:rFonts w:ascii="Arial" w:hAnsi="Arial" w:cs="Arial"/>
        </w:rPr>
        <w:t>.</w:t>
      </w:r>
    </w:p>
    <w:p w14:paraId="733C8FF7" w14:textId="77777777" w:rsidR="006738B4" w:rsidRDefault="006738B4">
      <w:pPr>
        <w:ind w:firstLine="426"/>
        <w:jc w:val="both"/>
        <w:rPr>
          <w:rFonts w:ascii="Arial" w:eastAsia="Arial" w:hAnsi="Arial" w:cs="Arial"/>
        </w:rPr>
      </w:pPr>
    </w:p>
    <w:p w14:paraId="733C8FF8" w14:textId="77777777" w:rsidR="006738B4" w:rsidRDefault="006738B4">
      <w:pPr>
        <w:ind w:firstLine="426"/>
        <w:jc w:val="both"/>
        <w:rPr>
          <w:rFonts w:ascii="Arial" w:eastAsia="Arial" w:hAnsi="Arial" w:cs="Arial"/>
        </w:rPr>
      </w:pPr>
    </w:p>
    <w:p w14:paraId="733C8FF9" w14:textId="77777777" w:rsidR="006738B4" w:rsidRDefault="00D12E26">
      <w:pPr>
        <w:ind w:firstLine="360"/>
        <w:jc w:val="both"/>
        <w:rPr>
          <w:rFonts w:ascii="Arial" w:eastAsia="Arial" w:hAnsi="Arial" w:cs="Arial"/>
        </w:rPr>
      </w:pPr>
      <w:r>
        <w:rPr>
          <w:rFonts w:ascii="Arial" w:eastAsia="Arial" w:hAnsi="Arial" w:cs="Arial"/>
        </w:rPr>
        <w:t xml:space="preserve">Pamplona, </w:t>
      </w:r>
      <w:r>
        <w:rPr>
          <w:rFonts w:ascii="Arial" w:eastAsia="Arial" w:hAnsi="Arial"/>
        </w:rPr>
        <w:fldChar w:fldCharType="begin"/>
      </w:r>
      <w:r>
        <w:rPr>
          <w:rFonts w:ascii="Arial" w:eastAsia="Arial" w:hAnsi="Arial"/>
        </w:rPr>
        <w:instrText xml:space="preserve">MERGEFIELD  {"name":"extra_fechaResolucion","tagId":"7cf9b747-2bef-4639-8d16-344414bfcbba","path":"extra_fechaResolucion","type":3,"complexType":0,"dataType":"Texto"}  \* MERGEFORMAT </w:instrText>
      </w:r>
      <w:r>
        <w:rPr>
          <w:rFonts w:ascii="Arial" w:eastAsia="Arial" w:hAnsi="Arial"/>
        </w:rPr>
        <w:fldChar w:fldCharType="separate"/>
      </w:r>
      <w:r>
        <w:rPr>
          <w:rFonts w:ascii="Arial" w:eastAsia="Arial" w:hAnsi="Arial"/>
        </w:rPr>
        <w:t>«extra_fechaResolucion»</w:t>
      </w:r>
      <w:r>
        <w:rPr>
          <w:rFonts w:ascii="Arial" w:eastAsia="Arial" w:hAnsi="Arial"/>
        </w:rPr>
        <w:fldChar w:fldCharType="end"/>
      </w:r>
      <w:r>
        <w:rPr>
          <w:rFonts w:ascii="Arial" w:eastAsia="Arial" w:hAnsi="Arial" w:cs="Arial"/>
        </w:rPr>
        <w:t>.</w:t>
      </w:r>
    </w:p>
    <w:p w14:paraId="733C8FFA" w14:textId="77777777" w:rsidR="006738B4" w:rsidRDefault="006738B4">
      <w:pPr>
        <w:ind w:firstLine="360"/>
        <w:jc w:val="both"/>
        <w:rPr>
          <w:rFonts w:ascii="Arial" w:eastAsia="Arial" w:hAnsi="Arial" w:cs="Arial"/>
        </w:rPr>
      </w:pPr>
    </w:p>
    <w:p w14:paraId="733C8FFB" w14:textId="77777777" w:rsidR="006738B4" w:rsidRDefault="00D12E26">
      <w:pPr>
        <w:ind w:left="1760" w:right="2173"/>
        <w:jc w:val="center"/>
        <w:rPr>
          <w:rFonts w:ascii="Arial" w:eastAsia="Arial" w:hAnsi="Arial" w:cs="Arial"/>
        </w:rPr>
      </w:pPr>
      <w:r>
        <w:rPr>
          <w:rFonts w:ascii="Arial" w:eastAsia="Arial" w:hAnsi="Arial" w:cs="Arial"/>
        </w:rPr>
        <w:t>la Directora General de Medio Ambiente</w:t>
      </w:r>
    </w:p>
    <w:p w14:paraId="733C8FFC" w14:textId="77777777" w:rsidR="006738B4" w:rsidRDefault="006738B4">
      <w:pPr>
        <w:ind w:right="-29"/>
        <w:jc w:val="center"/>
        <w:rPr>
          <w:rFonts w:ascii="Arial" w:eastAsia="Arial" w:hAnsi="Arial" w:cs="Arial"/>
        </w:rPr>
      </w:pPr>
    </w:p>
    <w:p w14:paraId="733C8FFD" w14:textId="77777777" w:rsidR="006738B4" w:rsidRDefault="00D12E26">
      <w:pPr>
        <w:ind w:left="1760" w:right="2173"/>
        <w:jc w:val="center"/>
        <w:rPr>
          <w:rFonts w:ascii="Arial" w:eastAsia="Arial" w:hAnsi="Arial" w:cs="Arial"/>
        </w:rPr>
      </w:pPr>
      <w:r>
        <w:rPr>
          <w:rFonts w:ascii="Arial" w:eastAsia="Arial" w:hAnsi="Arial" w:cs="Arial"/>
        </w:rPr>
        <w:t>Ana Bretaña de la Torre</w:t>
      </w:r>
    </w:p>
    <w:p w14:paraId="733C8FFE" w14:textId="77777777" w:rsidR="006738B4" w:rsidRDefault="006738B4">
      <w:pPr>
        <w:ind w:left="1760" w:right="2173"/>
        <w:jc w:val="center"/>
        <w:rPr>
          <w:rFonts w:ascii="Arial" w:eastAsia="Arial" w:hAnsi="Arial" w:cs="Arial"/>
        </w:rPr>
      </w:pPr>
    </w:p>
    <w:sectPr w:rsidR="006738B4">
      <w:headerReference w:type="default" r:id="rId7"/>
      <w:footerReference w:type="even" r:id="rId8"/>
      <w:footerReference w:type="default" r:id="rId9"/>
      <w:pgSz w:w="11906" w:h="16838"/>
      <w:pgMar w:top="2268" w:right="85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C9008" w14:textId="77777777" w:rsidR="00631DEF" w:rsidRDefault="00D12E26">
      <w:r>
        <w:separator/>
      </w:r>
    </w:p>
  </w:endnote>
  <w:endnote w:type="continuationSeparator" w:id="0">
    <w:p w14:paraId="733C900A" w14:textId="77777777" w:rsidR="00631DEF" w:rsidRDefault="00D12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9001" w14:textId="77777777" w:rsidR="006738B4" w:rsidRDefault="00D12E26">
    <w:pPr>
      <w:pStyle w:val="Piedepgina"/>
    </w:pPr>
    <w:r>
      <w:rPr>
        <w:rStyle w:val="Nmerodepgina"/>
      </w:rPr>
      <w:fldChar w:fldCharType="begin"/>
    </w:r>
    <w:r>
      <w:rPr>
        <w:rStyle w:val="Nmerodepgina"/>
      </w:rPr>
      <w:instrText xml:space="preserve">PAGE  </w:instrText>
    </w:r>
    <w:r>
      <w:rPr>
        <w:rStyle w:val="Nmerodepgina"/>
      </w:rPr>
      <w:fldChar w:fldCharType="separate"/>
    </w:r>
    <w:r>
      <w:rPr>
        <w:rStyle w:val="Nmerodepgina"/>
      </w:rPr>
      <w:t>2</w:t>
    </w:r>
    <w:r>
      <w:rPr>
        <w:rStyle w:val="Nmerodepgina"/>
      </w:rPr>
      <w:fldChar w:fldCharType="end"/>
    </w:r>
  </w:p>
  <w:p w14:paraId="733C9002" w14:textId="77777777" w:rsidR="006738B4" w:rsidRDefault="006738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9003" w14:textId="77777777" w:rsidR="006738B4" w:rsidRDefault="006738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C9004" w14:textId="77777777" w:rsidR="00631DEF" w:rsidRDefault="00D12E26">
      <w:r>
        <w:separator/>
      </w:r>
    </w:p>
  </w:footnote>
  <w:footnote w:type="continuationSeparator" w:id="0">
    <w:p w14:paraId="733C9006" w14:textId="77777777" w:rsidR="00631DEF" w:rsidRDefault="00D12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8FFF" w14:textId="77777777" w:rsidR="006738B4" w:rsidRDefault="00D12E26">
    <w:pPr>
      <w:ind w:left="-567"/>
    </w:pPr>
    <w:r>
      <w:rPr>
        <w:noProof/>
      </w:rPr>
      <w:drawing>
        <wp:inline distT="0" distB="0" distL="0" distR="0" wp14:anchorId="733C9004" wp14:editId="733C9005">
          <wp:extent cx="2352650" cy="51846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352650" cy="518465"/>
                  </a:xfrm>
                  <a:prstGeom prst="rect">
                    <a:avLst/>
                  </a:prstGeom>
                </pic:spPr>
              </pic:pic>
            </a:graphicData>
          </a:graphic>
        </wp:inline>
      </w:drawing>
    </w:r>
  </w:p>
  <w:p w14:paraId="733C9000" w14:textId="77777777" w:rsidR="006738B4" w:rsidRDefault="006738B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7CD2344"/>
    <w:multiLevelType w:val="hybridMultilevel"/>
    <w:tmpl w:val="FDF2C00A"/>
    <w:lvl w:ilvl="0" w:tplc="0C0A000F">
      <w:start w:val="1"/>
      <w:numFmt w:val="decimal"/>
      <w:lvlText w:val="%1."/>
      <w:lvlJc w:val="left"/>
      <w:pPr>
        <w:ind w:left="1443" w:hanging="360"/>
      </w:pPr>
    </w:lvl>
    <w:lvl w:ilvl="1" w:tplc="0C0A0019" w:tentative="1">
      <w:start w:val="1"/>
      <w:numFmt w:val="lowerLetter"/>
      <w:lvlText w:val="%2."/>
      <w:lvlJc w:val="left"/>
      <w:pPr>
        <w:ind w:left="2163" w:hanging="360"/>
      </w:pPr>
    </w:lvl>
    <w:lvl w:ilvl="2" w:tplc="0C0A001B" w:tentative="1">
      <w:start w:val="1"/>
      <w:numFmt w:val="lowerRoman"/>
      <w:lvlText w:val="%3."/>
      <w:lvlJc w:val="right"/>
      <w:pPr>
        <w:ind w:left="2883" w:hanging="180"/>
      </w:pPr>
    </w:lvl>
    <w:lvl w:ilvl="3" w:tplc="0C0A000F" w:tentative="1">
      <w:start w:val="1"/>
      <w:numFmt w:val="decimal"/>
      <w:lvlText w:val="%4."/>
      <w:lvlJc w:val="left"/>
      <w:pPr>
        <w:ind w:left="3603" w:hanging="360"/>
      </w:pPr>
    </w:lvl>
    <w:lvl w:ilvl="4" w:tplc="0C0A0019" w:tentative="1">
      <w:start w:val="1"/>
      <w:numFmt w:val="lowerLetter"/>
      <w:lvlText w:val="%5."/>
      <w:lvlJc w:val="left"/>
      <w:pPr>
        <w:ind w:left="4323" w:hanging="360"/>
      </w:pPr>
    </w:lvl>
    <w:lvl w:ilvl="5" w:tplc="0C0A001B" w:tentative="1">
      <w:start w:val="1"/>
      <w:numFmt w:val="lowerRoman"/>
      <w:lvlText w:val="%6."/>
      <w:lvlJc w:val="right"/>
      <w:pPr>
        <w:ind w:left="5043" w:hanging="180"/>
      </w:pPr>
    </w:lvl>
    <w:lvl w:ilvl="6" w:tplc="0C0A000F" w:tentative="1">
      <w:start w:val="1"/>
      <w:numFmt w:val="decimal"/>
      <w:lvlText w:val="%7."/>
      <w:lvlJc w:val="left"/>
      <w:pPr>
        <w:ind w:left="5763" w:hanging="360"/>
      </w:pPr>
    </w:lvl>
    <w:lvl w:ilvl="7" w:tplc="0C0A0019" w:tentative="1">
      <w:start w:val="1"/>
      <w:numFmt w:val="lowerLetter"/>
      <w:lvlText w:val="%8."/>
      <w:lvlJc w:val="left"/>
      <w:pPr>
        <w:ind w:left="6483" w:hanging="360"/>
      </w:pPr>
    </w:lvl>
    <w:lvl w:ilvl="8" w:tplc="0C0A001B" w:tentative="1">
      <w:start w:val="1"/>
      <w:numFmt w:val="lowerRoman"/>
      <w:lvlText w:val="%9."/>
      <w:lvlJc w:val="right"/>
      <w:pPr>
        <w:ind w:left="7203" w:hanging="180"/>
      </w:pPr>
    </w:lvl>
  </w:abstractNum>
  <w:abstractNum w:abstractNumId="2" w15:restartNumberingAfterBreak="0">
    <w:nsid w:val="4F22076A"/>
    <w:multiLevelType w:val="hybridMultilevel"/>
    <w:tmpl w:val="61C894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8C540AA"/>
    <w:multiLevelType w:val="hybridMultilevel"/>
    <w:tmpl w:val="318ADAC4"/>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1"/>
  </w:num>
  <w:num w:numId="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8B4"/>
    <w:rsid w:val="000E299A"/>
    <w:rsid w:val="00631DEF"/>
    <w:rsid w:val="006738B4"/>
    <w:rsid w:val="00D12E26"/>
    <w:rsid w:val="00FB11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C8FDE"/>
  <w15:docId w15:val="{CCE12D54-5198-4CA9-874F-59F7ED45D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before="240" w:line="259" w:lineRule="auto"/>
      <w:outlineLvl w:val="0"/>
    </w:pPr>
    <w:rPr>
      <w:rFonts w:ascii="Calibri Light" w:eastAsia="Calibri Light" w:hAnsi="Calibri Light" w:cs="Calibri Light"/>
      <w:color w:val="2F5496"/>
      <w:sz w:val="32"/>
      <w:szCs w:val="32"/>
    </w:rPr>
  </w:style>
  <w:style w:type="paragraph" w:styleId="Ttulo2">
    <w:name w:val="heading 2"/>
    <w:basedOn w:val="Normal"/>
    <w:next w:val="Normal"/>
    <w:pPr>
      <w:spacing w:before="40" w:line="259" w:lineRule="auto"/>
      <w:outlineLvl w:val="1"/>
    </w:pPr>
    <w:rPr>
      <w:rFonts w:ascii="Calibri Light" w:eastAsia="Calibri Light" w:hAnsi="Calibri Light" w:cs="Calibri Light"/>
      <w:color w:val="2F5496"/>
      <w:sz w:val="26"/>
      <w:szCs w:val="26"/>
    </w:rPr>
  </w:style>
  <w:style w:type="paragraph" w:styleId="Ttulo3">
    <w:name w:val="heading 3"/>
    <w:basedOn w:val="Normal"/>
    <w:next w:val="Normal"/>
    <w:pPr>
      <w:spacing w:before="40" w:line="259" w:lineRule="auto"/>
      <w:outlineLvl w:val="2"/>
    </w:pPr>
    <w:rPr>
      <w:rFonts w:ascii="Calibri Light" w:eastAsia="Calibri Light" w:hAnsi="Calibri Light" w:cs="Calibri Light"/>
      <w:color w:val="1F3763"/>
      <w:sz w:val="24"/>
      <w:szCs w:val="24"/>
    </w:rPr>
  </w:style>
  <w:style w:type="paragraph" w:styleId="Ttulo4">
    <w:name w:val="heading 4"/>
    <w:basedOn w:val="Normal"/>
    <w:next w:val="Normal"/>
    <w:pPr>
      <w:spacing w:before="40" w:line="259" w:lineRule="auto"/>
      <w:outlineLvl w:val="3"/>
    </w:pPr>
    <w:rPr>
      <w:rFonts w:ascii="Calibri Light" w:eastAsia="Calibri Light" w:hAnsi="Calibri Light" w:cs="Calibri Light"/>
      <w:i/>
      <w:iCs/>
      <w:color w:val="2F5496"/>
    </w:rPr>
  </w:style>
  <w:style w:type="paragraph" w:styleId="Ttulo5">
    <w:name w:val="heading 5"/>
    <w:basedOn w:val="Normal"/>
    <w:next w:val="Normal"/>
    <w:pPr>
      <w:spacing w:before="40" w:line="259" w:lineRule="auto"/>
      <w:outlineLvl w:val="4"/>
    </w:pPr>
    <w:rPr>
      <w:rFonts w:ascii="Calibri Light" w:eastAsia="Calibri Light" w:hAnsi="Calibri Light" w:cs="Calibri Light"/>
      <w:color w:val="2F5496"/>
    </w:rPr>
  </w:style>
  <w:style w:type="paragraph" w:styleId="Ttulo6">
    <w:name w:val="heading 6"/>
    <w:basedOn w:val="Normal"/>
    <w:next w:val="Normal"/>
    <w:pPr>
      <w:spacing w:before="40" w:line="259" w:lineRule="auto"/>
      <w:outlineLvl w:val="5"/>
    </w:pPr>
    <w:rPr>
      <w:rFonts w:ascii="Calibri Light" w:eastAsia="Calibri Light" w:hAnsi="Calibri Light" w:cs="Calibri Light"/>
      <w:color w:val="1F3763"/>
    </w:rPr>
  </w:style>
  <w:style w:type="paragraph" w:styleId="Ttulo7">
    <w:name w:val="heading 7"/>
    <w:basedOn w:val="Normal"/>
    <w:next w:val="Normal"/>
    <w:pPr>
      <w:spacing w:before="40" w:line="259" w:lineRule="auto"/>
      <w:outlineLvl w:val="6"/>
    </w:pPr>
    <w:rPr>
      <w:rFonts w:ascii="Calibri Light" w:eastAsia="Calibri Light" w:hAnsi="Calibri Light"/>
      <w:i/>
      <w:color w:val="1F3763"/>
    </w:rPr>
  </w:style>
  <w:style w:type="paragraph" w:styleId="Ttulo8">
    <w:name w:val="heading 8"/>
    <w:basedOn w:val="Normal"/>
    <w:next w:val="Normal"/>
    <w:pPr>
      <w:spacing w:before="40" w:line="259" w:lineRule="auto"/>
      <w:outlineLvl w:val="7"/>
    </w:pPr>
    <w:rPr>
      <w:rFonts w:ascii="Calibri Light" w:eastAsia="Calibri Light" w:hAnsi="Calibri Light"/>
      <w:color w:val="333333"/>
      <w:sz w:val="21"/>
    </w:rPr>
  </w:style>
  <w:style w:type="paragraph" w:styleId="Ttulo9">
    <w:name w:val="heading 9"/>
    <w:basedOn w:val="Normal"/>
    <w:next w:val="Normal"/>
    <w:pPr>
      <w:spacing w:before="40" w:line="259" w:lineRule="auto"/>
      <w:outlineLvl w:val="8"/>
    </w:pPr>
    <w:rPr>
      <w:rFonts w:ascii="Calibri Light" w:eastAsia="Calibri Light" w:hAnsi="Calibri Light"/>
      <w:i/>
      <w:color w:val="333333"/>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252"/>
        <w:tab w:val="right" w:pos="8504"/>
      </w:tabs>
    </w:pPr>
    <w:rPr>
      <w:rFonts w:ascii="Arial" w:eastAsia="Arial" w:hAnsi="Arial" w:cs="Arial"/>
    </w:rPr>
  </w:style>
  <w:style w:type="character" w:styleId="Nmerodepgina">
    <w:name w:val="page number"/>
    <w:basedOn w:val="Fuentedeprrafopredeter"/>
  </w:style>
  <w:style w:type="character" w:customStyle="1" w:styleId="Ttulo1Car">
    <w:name w:val="Título 1 Car"/>
    <w:basedOn w:val="Fuentedeprrafopredeter"/>
    <w:rPr>
      <w:rFonts w:ascii="Calibri Light" w:eastAsia="Calibri Light" w:hAnsi="Calibri Light" w:cs="Calibri Light"/>
      <w:color w:val="2F5496"/>
      <w:sz w:val="32"/>
      <w:szCs w:val="32"/>
    </w:rPr>
  </w:style>
  <w:style w:type="character" w:customStyle="1" w:styleId="Ttulo2Car">
    <w:name w:val="Título 2 Car"/>
    <w:basedOn w:val="Fuentedeprrafopredeter"/>
    <w:rPr>
      <w:rFonts w:ascii="Calibri Light" w:eastAsia="Calibri Light" w:hAnsi="Calibri Light" w:cs="Calibri Light"/>
      <w:color w:val="2F5496"/>
      <w:sz w:val="26"/>
      <w:szCs w:val="26"/>
    </w:rPr>
  </w:style>
  <w:style w:type="character" w:customStyle="1" w:styleId="Ttulo3Car">
    <w:name w:val="Título 3 Car"/>
    <w:basedOn w:val="Fuentedeprrafopredeter"/>
    <w:rPr>
      <w:rFonts w:ascii="Calibri Light" w:eastAsia="Calibri Light" w:hAnsi="Calibri Light" w:cs="Calibri Light"/>
      <w:color w:val="1F3763"/>
      <w:sz w:val="24"/>
      <w:szCs w:val="24"/>
    </w:rPr>
  </w:style>
  <w:style w:type="character" w:customStyle="1" w:styleId="Ttulo4Car">
    <w:name w:val="Título 4 Car"/>
    <w:basedOn w:val="Fuentedeprrafopredeter"/>
    <w:rPr>
      <w:rFonts w:ascii="Calibri Light" w:eastAsia="Calibri Light" w:hAnsi="Calibri Light" w:cs="Calibri Light"/>
      <w:i/>
      <w:iCs/>
      <w:color w:val="2F5496"/>
    </w:rPr>
  </w:style>
  <w:style w:type="character" w:customStyle="1" w:styleId="Ttulo5Car">
    <w:name w:val="Título 5 Car"/>
    <w:basedOn w:val="Fuentedeprrafopredeter"/>
    <w:rPr>
      <w:rFonts w:ascii="Calibri Light" w:eastAsia="Calibri Light" w:hAnsi="Calibri Light" w:cs="Calibri Light"/>
      <w:color w:val="2F5496"/>
    </w:rPr>
  </w:style>
  <w:style w:type="character" w:customStyle="1" w:styleId="Ttulo6Car">
    <w:name w:val="Título 6 Car"/>
    <w:basedOn w:val="Fuentedeprrafopredeter"/>
    <w:rPr>
      <w:rFonts w:ascii="Calibri Light" w:eastAsia="Calibri Light" w:hAnsi="Calibri Light" w:cs="Calibri Light"/>
      <w:color w:val="1F3763"/>
    </w:rPr>
  </w:style>
  <w:style w:type="paragraph" w:styleId="Encabezado">
    <w:name w:val="header"/>
    <w:basedOn w:val="Normal"/>
    <w:pPr>
      <w:tabs>
        <w:tab w:val="center" w:pos="4252"/>
        <w:tab w:val="right" w:pos="8504"/>
      </w:tabs>
      <w:ind w:left="-851"/>
    </w:pPr>
    <w:rPr>
      <w:rFonts w:ascii="Arial" w:eastAsia="Arial" w:hAnsi="Arial" w:cs="Arial"/>
    </w:rPr>
  </w:style>
  <w:style w:type="character" w:customStyle="1" w:styleId="EncabezadoCar">
    <w:name w:val="Encabezado Car"/>
    <w:basedOn w:val="Fuentedeprrafopredeter"/>
    <w:rPr>
      <w:rFonts w:ascii="Arial" w:eastAsia="Arial" w:hAnsi="Arial" w:cs="Arial"/>
    </w:rPr>
  </w:style>
  <w:style w:type="character" w:customStyle="1" w:styleId="PiedepginaCar">
    <w:name w:val="Pie de página Car"/>
    <w:basedOn w:val="Fuentedeprrafopredeter"/>
    <w:rPr>
      <w:rFonts w:ascii="Arial" w:eastAsia="Arial" w:hAnsi="Arial" w:cs="Arial"/>
    </w:rPr>
  </w:style>
  <w:style w:type="table" w:customStyle="1" w:styleId="NormalTablefe1341f4-e91d-42a0-b913-f5c259f36c87">
    <w:name w:val="Normal Table_fe1341f4-e91d-42a0-b913-f5c259f36c87"/>
    <w:tblPr>
      <w:tblCellMar>
        <w:top w:w="0" w:type="dxa"/>
        <w:left w:w="0" w:type="dxa"/>
        <w:bottom w:w="0" w:type="dxa"/>
        <w:right w:w="0" w:type="dxa"/>
      </w:tblCellMar>
    </w:tblPr>
  </w:style>
  <w:style w:type="table" w:styleId="Tablaconcuadrcula">
    <w:name w:val="Table Grid"/>
    <w:basedOn w:val="NormalTablefe1341f4-e91d-42a0-b913-f5c259f36c87"/>
    <w:tblPr/>
  </w:style>
  <w:style w:type="character" w:customStyle="1" w:styleId="Heading7Char">
    <w:name w:val="Heading 7 Char"/>
    <w:basedOn w:val="Fuentedeprrafopredeter"/>
    <w:rPr>
      <w:rFonts w:ascii="Calibri Light" w:eastAsia="Calibri Light" w:hAnsi="Calibri Light"/>
      <w:i/>
      <w:color w:val="1F3763"/>
    </w:rPr>
  </w:style>
  <w:style w:type="character" w:customStyle="1" w:styleId="Heading8Char">
    <w:name w:val="Heading 8 Char"/>
    <w:basedOn w:val="Fuentedeprrafopredeter"/>
    <w:rPr>
      <w:rFonts w:ascii="Calibri Light" w:eastAsia="Calibri Light" w:hAnsi="Calibri Light"/>
      <w:color w:val="333333"/>
      <w:sz w:val="21"/>
    </w:rPr>
  </w:style>
  <w:style w:type="character" w:customStyle="1" w:styleId="Heading9Char">
    <w:name w:val="Heading 9 Char"/>
    <w:basedOn w:val="Fuentedeprrafopredeter"/>
    <w:rPr>
      <w:rFonts w:ascii="Calibri Light" w:eastAsia="Calibri Light" w:hAnsi="Calibri Light"/>
      <w:i/>
      <w:color w:val="333333"/>
      <w:sz w:val="21"/>
    </w:rPr>
  </w:style>
  <w:style w:type="paragraph" w:styleId="Textodeglobo">
    <w:name w:val="Balloon Text"/>
    <w:basedOn w:val="Normal"/>
    <w:rPr>
      <w:rFonts w:ascii="Tahoma" w:eastAsia="Tahoma" w:hAnsi="Tahoma" w:cs="Tahoma"/>
      <w:sz w:val="16"/>
      <w:szCs w:val="16"/>
    </w:rPr>
  </w:style>
  <w:style w:type="character" w:customStyle="1" w:styleId="TextodegloboCar">
    <w:name w:val="Texto de globo Car"/>
    <w:basedOn w:val="Fuentedeprrafopredeter"/>
    <w:rPr>
      <w:rFonts w:ascii="Tahoma" w:eastAsia="Tahoma" w:hAnsi="Tahoma" w:cs="Tahoma"/>
      <w:sz w:val="16"/>
      <w:szCs w:val="16"/>
    </w:rPr>
  </w:style>
  <w:style w:type="paragraph" w:styleId="Textoindependiente">
    <w:name w:val="Body Text"/>
    <w:basedOn w:val="Normal"/>
    <w:pPr>
      <w:spacing w:line="360" w:lineRule="auto"/>
    </w:pPr>
    <w:rPr>
      <w:sz w:val="24"/>
      <w:szCs w:val="20"/>
    </w:rPr>
  </w:style>
  <w:style w:type="paragraph" w:styleId="NormalWeb">
    <w:name w:val="Normal (Web)"/>
    <w:basedOn w:val="Normal"/>
    <w:pPr>
      <w:spacing w:after="240"/>
    </w:pPr>
    <w:rPr>
      <w:rFonts w:ascii="Times New Roman" w:eastAsia="Times New Roman" w:hAnsi="Times New Roman"/>
      <w:sz w:val="24"/>
    </w:rPr>
  </w:style>
  <w:style w:type="paragraph" w:styleId="Mapadeldocumento">
    <w:name w:val="Document Map"/>
    <w:basedOn w:val="Normal"/>
    <w:rPr>
      <w:rFonts w:ascii="Tahoma" w:eastAsia="Tahoma" w:hAnsi="Tahoma" w:cs="Tahoma"/>
      <w:sz w:val="20"/>
      <w:szCs w:val="20"/>
    </w:rPr>
  </w:style>
  <w:style w:type="character" w:styleId="Hipervnculo">
    <w:name w:val="Hyperlink"/>
    <w:basedOn w:val="Fuentedeprrafopredeter"/>
    <w:rPr>
      <w:color w:val="0000FF"/>
      <w:u w:val="single"/>
    </w:rPr>
  </w:style>
  <w:style w:type="paragraph" w:styleId="Prrafodelista">
    <w:name w:val="List Paragraph"/>
    <w:basedOn w:val="Normal"/>
    <w:pPr>
      <w:ind w:left="708"/>
    </w:pPr>
  </w:style>
  <w:style w:type="character" w:customStyle="1" w:styleId="Refdecomentario1">
    <w:name w:val="Ref. de comentario1"/>
    <w:basedOn w:val="Fuentedeprrafopredeter"/>
    <w:rPr>
      <w:sz w:val="16"/>
      <w:szCs w:val="16"/>
    </w:rPr>
  </w:style>
  <w:style w:type="paragraph" w:customStyle="1" w:styleId="Textocomentario1">
    <w:name w:val="Texto comentario1"/>
    <w:basedOn w:val="Normal"/>
    <w:rPr>
      <w:sz w:val="20"/>
      <w:szCs w:val="20"/>
    </w:rPr>
  </w:style>
  <w:style w:type="character" w:customStyle="1" w:styleId="TextocomentarioCar">
    <w:name w:val="Texto comentario Car"/>
    <w:basedOn w:val="Fuentedeprrafopredeter"/>
    <w:rPr>
      <w:rFonts w:ascii="Arial" w:eastAsia="Arial" w:hAnsi="Arial"/>
    </w:rPr>
  </w:style>
  <w:style w:type="paragraph" w:customStyle="1" w:styleId="Asuntodelcomentario1">
    <w:name w:val="Asunto del comentario1"/>
    <w:basedOn w:val="Textocomentario1"/>
    <w:next w:val="Textocomentario1"/>
    <w:rPr>
      <w:b/>
      <w:bCs/>
    </w:rPr>
  </w:style>
  <w:style w:type="character" w:customStyle="1" w:styleId="AsuntodelcomentarioCar">
    <w:name w:val="Asunto del comentario Car"/>
    <w:basedOn w:val="Fuentedeprrafopredeter"/>
    <w:rPr>
      <w:rFonts w:ascii="Arial" w:eastAsia="Arial" w:hAnsi="Arial"/>
      <w:b/>
      <w:bCs/>
    </w:rPr>
  </w:style>
  <w:style w:type="character" w:customStyle="1" w:styleId="Heading1Char">
    <w:name w:val="Heading 1 Char"/>
    <w:basedOn w:val="Fuentedeprrafopredeter"/>
    <w:rPr>
      <w:rFonts w:ascii="Calibri Light" w:eastAsia="Calibri Light" w:hAnsi="Calibri Light"/>
      <w:color w:val="2F5496"/>
      <w:sz w:val="32"/>
    </w:rPr>
  </w:style>
  <w:style w:type="character" w:customStyle="1" w:styleId="Heading2Char">
    <w:name w:val="Heading 2 Char"/>
    <w:basedOn w:val="Fuentedeprrafopredeter"/>
    <w:rPr>
      <w:rFonts w:ascii="Calibri Light" w:eastAsia="Calibri Light" w:hAnsi="Calibri Light"/>
      <w:color w:val="2F5496"/>
      <w:sz w:val="26"/>
    </w:rPr>
  </w:style>
  <w:style w:type="character" w:customStyle="1" w:styleId="Heading3Char">
    <w:name w:val="Heading 3 Char"/>
    <w:basedOn w:val="Fuentedeprrafopredeter"/>
    <w:rPr>
      <w:rFonts w:ascii="Calibri Light" w:eastAsia="Calibri Light" w:hAnsi="Calibri Light"/>
      <w:color w:val="1F3763"/>
      <w:sz w:val="24"/>
    </w:rPr>
  </w:style>
  <w:style w:type="character" w:customStyle="1" w:styleId="Heading4Char">
    <w:name w:val="Heading 4 Char"/>
    <w:basedOn w:val="Fuentedeprrafopredeter"/>
    <w:rPr>
      <w:rFonts w:ascii="Calibri Light" w:eastAsia="Calibri Light" w:hAnsi="Calibri Light"/>
      <w:i/>
      <w:color w:val="2F5496"/>
    </w:rPr>
  </w:style>
  <w:style w:type="character" w:customStyle="1" w:styleId="Heading5Char">
    <w:name w:val="Heading 5 Char"/>
    <w:basedOn w:val="Fuentedeprrafopredeter"/>
    <w:rPr>
      <w:rFonts w:ascii="Calibri Light" w:eastAsia="Calibri Light" w:hAnsi="Calibri Light"/>
      <w:color w:val="2F5496"/>
    </w:rPr>
  </w:style>
  <w:style w:type="character" w:customStyle="1" w:styleId="Heading6Char">
    <w:name w:val="Heading 6 Char"/>
    <w:basedOn w:val="Fuentedeprrafopredeter"/>
    <w:rPr>
      <w:rFonts w:ascii="Calibri Light" w:eastAsia="Calibri Light" w:hAnsi="Calibri Light"/>
      <w:color w:val="1F3763"/>
    </w:rPr>
  </w:style>
  <w:style w:type="paragraph" w:customStyle="1" w:styleId="Resolucion">
    <w:name w:val="Resolucion"/>
    <w:basedOn w:val="Normal"/>
    <w:pPr>
      <w:tabs>
        <w:tab w:val="left" w:pos="720"/>
        <w:tab w:val="center" w:pos="3888"/>
      </w:tabs>
      <w:spacing w:after="240" w:line="360" w:lineRule="auto"/>
      <w:ind w:firstLine="709"/>
      <w:jc w:val="both"/>
    </w:pPr>
    <w:rPr>
      <w:rFonts w:ascii="Arial" w:eastAsia="Arial" w:hAnsi="Arial" w:cs="Arial"/>
      <w:color w:val="auto"/>
      <w:lang w:val="es-ES_tradnl" w:bidi="es-ES"/>
    </w:rPr>
  </w:style>
  <w:style w:type="paragraph" w:styleId="Textoindependiente2">
    <w:name w:val="Body Text 2"/>
    <w:basedOn w:val="Normal"/>
    <w:link w:val="Textoindependiente2Car"/>
    <w:uiPriority w:val="99"/>
    <w:semiHidden/>
    <w:unhideWhenUsed/>
    <w:rsid w:val="00D12E26"/>
    <w:pPr>
      <w:spacing w:after="120" w:line="480" w:lineRule="auto"/>
    </w:pPr>
  </w:style>
  <w:style w:type="character" w:customStyle="1" w:styleId="Textoindependiente2Car">
    <w:name w:val="Texto independiente 2 Car"/>
    <w:basedOn w:val="Fuentedeprrafopredeter"/>
    <w:link w:val="Textoindependiente2"/>
    <w:uiPriority w:val="99"/>
    <w:semiHidden/>
    <w:rsid w:val="00D12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1174</Words>
  <Characters>6459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Lucea Suescun, Jorge (Departamento DRyMA)</dc:creator>
  <cp:lastModifiedBy>Lucea Suescun, Jorge (Departamento DRyMA)</cp:lastModifiedBy>
  <cp:revision>2</cp:revision>
  <dcterms:created xsi:type="dcterms:W3CDTF">2025-06-18T07:09:00Z</dcterms:created>
  <dcterms:modified xsi:type="dcterms:W3CDTF">2025-06-18T07:09:00Z</dcterms:modified>
</cp:coreProperties>
</file>