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hd w:val="clear" w:color="auto" w:fill="FFFFFF" w:themeFill="background1"/>
        <w:spacing w:before="0" w:after="240"/>
        <w:rPr>
          <w:rFonts w:ascii="Noto Sans" w:hAnsi="Noto Sans" w:cs="Noto Sans"/>
          <w:lang w:val="ca-ES"/>
        </w:rPr>
      </w:pPr>
      <w:r>
        <w:rPr>
          <w:rFonts w:cs="Noto Sans" w:ascii="Noto Sans" w:hAnsi="Noto Sans"/>
          <w:lang w:val="ca-ES"/>
        </w:rPr>
        <w:t xml:space="preserve">  </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 xml:space="preserve">Resolució del president de l’Agència d’Estratègia Turística de les Illes Balears per la qual s’aprova la convocatòria d’ajuts </w:t>
      </w:r>
      <w:r>
        <w:rPr>
          <w:rFonts w:cs="Noto Sans" w:ascii="Noto Sans" w:hAnsi="Noto Sans"/>
          <w:b/>
          <w:bCs/>
          <w:i/>
          <w:iCs/>
          <w:lang w:val="ca-ES"/>
        </w:rPr>
        <w:t>de minimis</w:t>
      </w:r>
      <w:r>
        <w:rPr>
          <w:rFonts w:cs="Noto Sans" w:ascii="Noto Sans" w:hAnsi="Noto Sans"/>
          <w:b/>
          <w:bCs/>
          <w:lang w:val="ca-ES"/>
        </w:rPr>
        <w:t xml:space="preserve"> per finançar projectes en matèria de circularitat en l’àmbit turístic de les Illes Balears en el marc del Pla de Recuperació, Transformació i Resiliència finançat per la Unió Europea amb Next Generation EU</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b/>
          <w:bCs/>
          <w:lang w:val="ca-ES"/>
        </w:rPr>
        <w:t>Antecedents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El 27 d’abril de 2021, mitjançant Acord del Consell de Ministres, es va aprovar el Pla de Recuperació, Transformació i Resiliència (en endavant, PRTR), que va ser concebut com un projecte que traça el full de ruta per a la modernització de l’economia espanyola, la recuperació del creixement econòmic i la creació d’ocupació, després de la crisi de la COVID-19, així com també per preparar el país per afrontar els reptes del futur. L’esmentat Acord es va publicar el 30 d’abril de 2021 en el </w:t>
      </w:r>
      <w:r>
        <w:rPr>
          <w:rStyle w:val="Lletraperdefectedelpargraf1"/>
          <w:rFonts w:cs="Noto Sans" w:ascii="Noto Sans" w:hAnsi="Noto Sans"/>
          <w:i/>
          <w:iCs/>
          <w:lang w:val="ca-ES"/>
        </w:rPr>
        <w:t xml:space="preserve">Butlletí Oficial de l’Estat </w:t>
      </w:r>
      <w:r>
        <w:rPr>
          <w:rStyle w:val="Lletraperdefectedelpargraf1"/>
          <w:rFonts w:cs="Noto Sans" w:ascii="Noto Sans" w:hAnsi="Noto Sans"/>
          <w:lang w:val="ca-ES"/>
        </w:rPr>
        <w:t>núm. 103, mitjançant Resolució de 29 d’abril de 2021.</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El Govern d’Espanya va publicar, el 16 de juny de 2021, el document relatiu al component 14, Pla de Modernització i Competitivitat del Sector Turístic, que té l’objectiu de transformar i modernitzar el sector turístic mitjançant reformes i inversions, entre les quals es troba la inversió 1 de transformació del model turístic cap a la sostenibilitat.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La submesura segona d’aquesta inversió, relativa als plans de sostenibilitat turística a destinació, preveia l’elaboració i la presentació de l’Estratègia de sostenibilitat turística a destinacions, que havia d’establir les bases per a l’estructuració, la planificació, el desenvolupament i l’avaluació de l’actuació de l’Administració per transformar destinacions turístiques amb criteris sostenibles i alineats amb els objectius de desenvolupament sostenible (ODS) de l’Agenda 2030.</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En el marc d’aquesta Estratègia, s’aprovà la convocatòria extraordinària de 2022 del Programa de Plans de Sostenibilitat Turística a Destinacions, finançada íntegrament amb fons europeus Next Generation EU, a la qual les comunitats autònomes van presentar els diferents plans territorials de sostenibilitat turística a destinacions de 2022, elaborats mitjançant un procés participatiu i de col·laboració entre les administracions públiques competents i els diferents actors públics i privats de l’ecosistema turístic de la destinació, així com el Pla Nacional d’Enogastronomia.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Mitjançant Resolució de 19 de desembre de 2022 de la Secretaria d’Estat de Turisme, es publicà l’Acord de la Conferència Sectorial de 14 de desembre de 2022 pel qual es fixen els criteris de distribució i el repartiment resultant del crèdit. En el cas de la Comunitat Autònoma de les Illes Balears, el Pla Territorial té un import total de 51.900.000 euros, dels quals 15.506.620 euros corresponen a les dues actuacions de cohesió entre destinacions (ACD) que han de desenvolupar les comunitats autònomes.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Una de les actuacions aprovades dins l’ACD «Circularitat com a eix de competitivitat sostenible de les Illes Balears» és la d’«accions de sensibilització destinades a fomentar i valorar les accions de circularitat de les Illes Balears», per un import d’1.500.000 euros.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El crèdit disponible per a aquesta convocatòria és d’1.490.000 euros.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Per resolució de 29 de desembre de 2023 de la Secretaria d’Estat de Turisme, es publicà l’Acord de la Conferència Sectorial de 14 de desembre de 2022, modificat per l’Acord de 29 de desembre de 2023, pel qual es fixen els criteris de distribució i el repartiment resultant per a les comunitats autònomes del crèdit destinat al finançament d’actuacions d’inversió d’entitats locals en el marc del C14I01, del PRTR (publicat en el </w:t>
      </w:r>
      <w:r>
        <w:rPr>
          <w:rStyle w:val="Lletraperdefectedelpargraf1"/>
          <w:rFonts w:cs="Noto Sans" w:ascii="Noto Sans" w:hAnsi="Noto Sans"/>
          <w:i/>
          <w:iCs/>
          <w:lang w:val="ca-ES"/>
        </w:rPr>
        <w:t xml:space="preserve">Butlletí Oficial de l’Estat </w:t>
      </w:r>
      <w:r>
        <w:rPr>
          <w:rStyle w:val="Lletraperdefectedelpargraf1"/>
          <w:rFonts w:cs="Noto Sans" w:ascii="Noto Sans" w:hAnsi="Noto Sans"/>
          <w:lang w:val="ca-ES"/>
        </w:rPr>
        <w:t>núm. 26, de 30 de gener de 2024). Aquesta actuació ha de complir amb el CID 220 i el CID 221:</w:t>
      </w:r>
    </w:p>
    <w:p>
      <w:pPr>
        <w:pStyle w:val="Standard"/>
        <w:shd w:val="clear" w:color="auto" w:fill="FFFFFF" w:themeFill="background1"/>
        <w:rPr>
          <w:rFonts w:ascii="Noto Sans" w:hAnsi="Noto Sans" w:cs="Noto Sans"/>
          <w:lang w:val="ca-ES"/>
        </w:rPr>
      </w:pPr>
      <w:r>
        <w:rPr>
          <w:rFonts w:cs="Noto Sans" w:ascii="Noto Sans" w:hAnsi="Noto Sans"/>
          <w:lang w:val="ca-ES"/>
        </w:rPr>
        <w:tab/>
      </w:r>
    </w:p>
    <w:p>
      <w:pPr>
        <w:pStyle w:val="Standard"/>
        <w:shd w:val="clear" w:color="auto" w:fill="FFFFFF" w:themeFill="background1"/>
        <w:ind w:left="720" w:hanging="0"/>
        <w:rPr>
          <w:rFonts w:ascii="Noto Sans" w:hAnsi="Noto Sans" w:cs="Noto Sans"/>
          <w:lang w:val="ca-ES"/>
        </w:rPr>
      </w:pPr>
      <w:r>
        <w:rPr>
          <w:rFonts w:eastAsia="Symbol" w:cs="Symbol" w:ascii="Symbol" w:hAnsi="Symbol"/>
          <w:lang w:val="ca-ES"/>
        </w:rPr>
        <w:t></w:t>
      </w:r>
      <w:r>
        <w:rPr>
          <w:rFonts w:cs="Noto Sans" w:ascii="Noto Sans" w:hAnsi="Noto Sans"/>
          <w:lang w:val="ca-ES"/>
        </w:rPr>
        <w:t xml:space="preserve"> </w:t>
      </w:r>
      <w:r>
        <w:rPr>
          <w:rFonts w:cs="Noto Sans" w:ascii="Noto Sans" w:hAnsi="Noto Sans"/>
          <w:lang w:val="ca-ES"/>
        </w:rPr>
        <w:t>Fita número 220 del CID, quart trimestre de 2024: les comissions de seguiment s’hauran d’assegurar que totes les destinacions beneficiàries aconsegueixin com a mínim els següents percentatges d’execució de cada pla de sostenibilitat turística:</w:t>
      </w:r>
    </w:p>
    <w:p>
      <w:pPr>
        <w:pStyle w:val="Standard"/>
        <w:shd w:val="clear" w:color="auto" w:fill="FFFFFF" w:themeFill="background1"/>
        <w:ind w:left="1440" w:hanging="0"/>
        <w:rPr>
          <w:rFonts w:ascii="Noto Sans" w:hAnsi="Noto Sans" w:cs="Noto Sans"/>
          <w:lang w:val="ca-ES"/>
        </w:rPr>
      </w:pPr>
      <w:r>
        <w:rPr>
          <w:rFonts w:cs="Noto Sans" w:ascii="Noto Sans" w:hAnsi="Noto Sans"/>
          <w:lang w:val="ca-ES"/>
        </w:rPr>
      </w:r>
    </w:p>
    <w:p>
      <w:pPr>
        <w:pStyle w:val="Standard"/>
        <w:numPr>
          <w:ilvl w:val="0"/>
          <w:numId w:val="25"/>
        </w:numPr>
        <w:shd w:val="clear" w:color="auto" w:fill="FFFFFF" w:themeFill="background1"/>
        <w:rPr>
          <w:rFonts w:ascii="Noto Sans" w:hAnsi="Noto Sans" w:cs="Noto Sans"/>
          <w:lang w:val="ca-ES"/>
        </w:rPr>
      </w:pPr>
      <w:r>
        <w:rPr>
          <w:rFonts w:cs="Noto Sans" w:ascii="Noto Sans" w:hAnsi="Noto Sans"/>
          <w:lang w:val="ca-ES"/>
        </w:rPr>
        <w:t>Execució del 50 %, en el cas de les destinacions adjudicades el 2021.</w:t>
      </w:r>
    </w:p>
    <w:p>
      <w:pPr>
        <w:pStyle w:val="Standard"/>
        <w:numPr>
          <w:ilvl w:val="0"/>
          <w:numId w:val="25"/>
        </w:numPr>
        <w:shd w:val="clear" w:color="auto" w:fill="FFFFFF" w:themeFill="background1"/>
        <w:rPr>
          <w:rFonts w:ascii="Noto Sans" w:hAnsi="Noto Sans" w:cs="Noto Sans"/>
          <w:lang w:val="ca-ES"/>
        </w:rPr>
      </w:pPr>
      <w:r>
        <w:rPr>
          <w:rFonts w:cs="Noto Sans" w:ascii="Noto Sans" w:hAnsi="Noto Sans"/>
          <w:lang w:val="ca-ES"/>
        </w:rPr>
        <w:t>Execució del 30 %, en el cas de les destinacions adjudicades el 2022.</w:t>
      </w:r>
    </w:p>
    <w:p>
      <w:pPr>
        <w:pStyle w:val="Standard"/>
        <w:numPr>
          <w:ilvl w:val="0"/>
          <w:numId w:val="25"/>
        </w:numPr>
        <w:shd w:val="clear" w:color="auto" w:fill="FFFFFF" w:themeFill="background1"/>
        <w:rPr>
          <w:rFonts w:ascii="Noto Sans" w:hAnsi="Noto Sans" w:cs="Noto Sans"/>
          <w:lang w:val="ca-ES"/>
        </w:rPr>
      </w:pPr>
      <w:r>
        <w:rPr>
          <w:rFonts w:cs="Noto Sans" w:ascii="Noto Sans" w:hAnsi="Noto Sans"/>
          <w:lang w:val="ca-ES"/>
        </w:rPr>
        <w:t>Execució del 15 %, en el cas de les destinacions adjudicades el 2023.</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Fonts w:ascii="Noto Sans" w:hAnsi="Noto Sans" w:cs="Noto Sans"/>
          <w:lang w:val="ca-ES"/>
        </w:rPr>
      </w:pPr>
      <w:r>
        <w:rPr>
          <w:rFonts w:eastAsia="Symbol" w:cs="Symbol" w:ascii="Symbol" w:hAnsi="Symbol"/>
          <w:lang w:val="ca-ES"/>
        </w:rPr>
        <w:t></w:t>
      </w:r>
      <w:r>
        <w:rPr>
          <w:rFonts w:cs="Noto Sans" w:ascii="Noto Sans" w:hAnsi="Noto Sans"/>
          <w:lang w:val="ca-ES"/>
        </w:rPr>
        <w:t xml:space="preserve"> </w:t>
      </w:r>
      <w:r>
        <w:rPr>
          <w:rFonts w:cs="Noto Sans" w:ascii="Noto Sans" w:hAnsi="Noto Sans"/>
          <w:lang w:val="ca-ES"/>
        </w:rPr>
        <w:t>Fita número 221 del CID, segon trimestre de 2026: finalització de tots els projectes inclosos en els plans de sostenibilitat turística a destinacions (PSTD) i adjudicats en consonància amb els objectius 211, 212 i 213, el 35 % dels fons dels quals es destinaran a finançar mesures que abordin la transició verda, la sostenibilitat i l’eficiència energètica/l’electromobilitat a destinacions.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El 30 d’agost de 2022, es va signar el conveni entre l’Administració de la Comunitat Autònoma de les Illes Balears i l’Agència d’Estratègia Turística de les Illes Balears (AETIB) pel qual es regulen les funcions assumides per aquesta entitat amb relació a la gestió per a la consecució de les fites i objectius prevists pel component 14. Concretament, d’una banda, l’objecte de l’esmentat conveni inclou la difusió o el desenvolupament d'actuacions de coordinació, gestió i execució de les accions que siguin necessàries per a la consecució de les fites i objectius marcats per a la Conselleria de Model Econòmic, Turisme i Treball amb relació al component 14 i els fons econòmics MRR, entre les quals s’inclou el Pla Territorial, que es desglossa en els plans de sostenibilitat turística a destinacions (PSTD) i les ACD. Per altra banda, determina amb caràcter general i específic les obligacions de l’AETIB.</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Ateses les funcions assumides per l’AETIB com a entitat col·laboradora, serà aquesta entitat la que s’encarregui de dur a terme les actuacions esmentades per la seva reconeguda i acumulada experiència i el seu coneixement en la matèria, així com per disposar dels mitjans necessaris.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El 5 de juny de 2023, es va firmar la Resolució del conseller de Model Econòmic, Turisme i Treball, a proposta de la directora general de Turisme, relativa a la tramitació de l’expedient de transferència a favor de l’AETIB per a l’execució d’actuacions amb relació al Pla Territorial de Sostenibilitat Turística a Destinació i al Pla Nacional d’Enogastronomia de les Illes Balears, en el marc del PRTR, on, entre d’altres, es genera i transfereix el crèdit corresponent a  «ACD 2022_ accions de sensibilització» per import d’1.500.000 €.</w:t>
      </w:r>
    </w:p>
    <w:p>
      <w:pPr>
        <w:pStyle w:val="Standard"/>
        <w:shd w:val="clear" w:color="auto" w:fill="FFFFFF" w:themeFill="background1"/>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El subprojecte instrumental derivat d’aquesta actuació en l’ACD de la CAIB és C14.I01.P06.S03.SI01, amb el nom </w:t>
      </w:r>
      <w:r>
        <w:rPr>
          <w:rStyle w:val="Lletraperdefectedelpargraf1"/>
          <w:rFonts w:cs="Noto Sans" w:ascii="Noto Sans" w:hAnsi="Noto Sans"/>
          <w:i/>
          <w:iCs/>
          <w:lang w:val="ca-ES"/>
        </w:rPr>
        <w:t>ACD accions de sensibilització,</w:t>
      </w:r>
      <w:r>
        <w:rPr>
          <w:rStyle w:val="Lletraperdefectedelpargraf1"/>
          <w:rFonts w:cs="Noto Sans" w:ascii="Noto Sans" w:hAnsi="Noto Sans"/>
          <w:lang w:val="ca-ES"/>
        </w:rPr>
        <w:t xml:space="preserve"> destinat a fomentar i valorar les accions de circularitat a les Illes Balears 2022, que executa directament l’AETIB. </w:t>
      </w:r>
    </w:p>
    <w:p>
      <w:pPr>
        <w:pStyle w:val="Standard"/>
        <w:shd w:val="clear" w:color="auto" w:fill="FFFFFF" w:themeFill="background1"/>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L’AETIB, en virtut del que estableix el Decret 18/2018, de 22 de juny, té entre les seves finalitats, l’elaboració de l’estratègia turística per a la millora del posicionament internacional de les Illes Balears. És per això que un dels objectius de l'AETIB és aconseguir una oferta diferenciada que creï valor i que es dirigeixi a segments específics. A més, les Illes Balears disposen d'actius turístics que han de ser recuperats, valorats i potenciats.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El turisme constitueix una eina essencial per al canvi i la reorientació de la societat actual cap a un món més resilient i sostenible. La quantitat de recursos que són necessaris per al desenvolupament de l’activitat turística la converteixen en una  activitat que requereix planificació exhaustiva i continuada per poder contribuir de forma eficaç a la consecució dels ODS.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L’Organització Mundial del Turisme defineix el turisme sostenible com aquell que s’orienta a satisfer les necessitats dels turistes actuals, genera ingressos i benestar social a la destinació, però, a la vegada, protegeix i millora les oportunitats del futur. És a dir, està enfocat cap a la gestió de tots els recursos, de forma que se satisfacin les necessitats econòmiques i socials i, a la vegada, es respectin la integritat cultural, els processos ecològics essencials, la diversitat biològica i els sistemes de suport de la vida.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El plantejament dels projectes involucrats en el turisme des d’un criteri de sostenibilitat requereix entendre l’activitat turística no com un resultat d’unes actuacions concretes sinó com un model de gestió per processos i procediments impregnats de principi a fi per l’essència del respecte a l’entorn on es desenvolupen i a les persones que els impulsen.</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color w:val="000000" w:themeColor="text1"/>
          <w:lang w:val="ca-ES"/>
        </w:rPr>
      </w:pPr>
      <w:r>
        <w:rPr>
          <w:rFonts w:cs="Noto Sans" w:ascii="Noto Sans" w:hAnsi="Noto Sans"/>
          <w:color w:val="000000" w:themeColor="text1"/>
          <w:lang w:val="ca-ES"/>
        </w:rPr>
        <w:t xml:space="preserve">L'11 de febrer de 2022, mitjançant el Decret llei 3/2022, d'11 de febrer, de mesures urgents per a la sostenibilitat i la circularitat del turisme de les Illes Balears, i posteriorment la Llei 3/2022, de 15 de juny, de mesures urgents per a la sostenibilitat i la circularitat del turisme de les Illes Balears, es va introduir en la Llei 8/2012, de 19 de juliol, del turisme de les Illes Balears, el títol «Mesures d’economia circular». Concretament, en l’article 93 es defineix l’economia circular així: </w:t>
      </w:r>
    </w:p>
    <w:p>
      <w:pPr>
        <w:pStyle w:val="Standard"/>
        <w:shd w:val="clear" w:color="auto" w:fill="FFFFFF" w:themeFill="background1"/>
        <w:rPr>
          <w:rFonts w:ascii="Noto Sans" w:hAnsi="Noto Sans" w:cs="Noto Sans"/>
          <w:color w:val="000000" w:themeColor="text1"/>
          <w:lang w:val="ca-ES"/>
        </w:rPr>
      </w:pPr>
      <w:r>
        <w:rPr>
          <w:rFonts w:cs="Noto Sans" w:ascii="Noto Sans" w:hAnsi="Noto Sans"/>
          <w:color w:val="000000" w:themeColor="text1"/>
          <w:lang w:val="ca-ES"/>
        </w:rPr>
      </w:r>
    </w:p>
    <w:p>
      <w:pPr>
        <w:pStyle w:val="Standard"/>
        <w:shd w:val="clear" w:color="auto" w:fill="FFFFFF" w:themeFill="background1"/>
        <w:ind w:left="1418" w:hanging="0"/>
        <w:rPr>
          <w:rFonts w:ascii="Noto Sans" w:hAnsi="Noto Sans" w:cs="Noto Sans"/>
          <w:color w:val="000000" w:themeColor="text1"/>
          <w:sz w:val="18"/>
          <w:szCs w:val="18"/>
          <w:lang w:val="ca-ES"/>
        </w:rPr>
      </w:pPr>
      <w:r>
        <w:rPr>
          <w:rFonts w:cs="Noto Sans" w:ascii="Noto Sans" w:hAnsi="Noto Sans"/>
          <w:i/>
          <w:iCs/>
          <w:color w:val="000000" w:themeColor="text1"/>
          <w:sz w:val="18"/>
          <w:szCs w:val="18"/>
          <w:lang w:val="ca-ES"/>
        </w:rPr>
        <w:t>a)</w:t>
      </w:r>
      <w:r>
        <w:rPr>
          <w:rFonts w:cs="Noto Sans" w:ascii="Noto Sans" w:hAnsi="Noto Sans"/>
          <w:color w:val="000000" w:themeColor="text1"/>
          <w:sz w:val="18"/>
          <w:szCs w:val="18"/>
          <w:lang w:val="ca-ES"/>
        </w:rPr>
        <w:t xml:space="preserve"> Economia circular: model de producció i consum, fortament fonamentat en l’optimització de processos i el redisseny de productes i serveis, que persegueix, a través de cicles biològics i/o tècnics, mantenir el valor funcional dels productes i dels materials durant el major temps possible, amb una clara vocació de minimitzar tant la pressió sobre els recursos com la generació de residus. </w:t>
      </w:r>
    </w:p>
    <w:p>
      <w:pPr>
        <w:pStyle w:val="Standard"/>
        <w:shd w:val="clear" w:color="auto" w:fill="FFFFFF" w:themeFill="background1"/>
        <w:rPr>
          <w:rFonts w:ascii="Noto Sans" w:hAnsi="Noto Sans" w:cs="Noto Sans"/>
          <w:color w:val="000000" w:themeColor="text1"/>
          <w:lang w:val="ca-ES"/>
        </w:rPr>
      </w:pPr>
      <w:r>
        <w:rPr>
          <w:rFonts w:cs="Noto Sans" w:ascii="Noto Sans" w:hAnsi="Noto Sans"/>
          <w:color w:val="000000" w:themeColor="text1"/>
          <w:lang w:val="ca-ES"/>
        </w:rPr>
      </w:r>
    </w:p>
    <w:p>
      <w:pPr>
        <w:pStyle w:val="Standard"/>
        <w:shd w:val="clear" w:color="auto" w:fill="FFFFFF" w:themeFill="background1"/>
        <w:rPr>
          <w:rFonts w:ascii="Noto Sans" w:hAnsi="Noto Sans" w:cs="Noto Sans"/>
          <w:color w:val="000000" w:themeColor="text1"/>
          <w:lang w:val="ca-ES"/>
        </w:rPr>
      </w:pPr>
      <w:r>
        <w:rPr>
          <w:rFonts w:cs="Noto Sans" w:ascii="Noto Sans" w:hAnsi="Noto Sans"/>
          <w:color w:val="000000" w:themeColor="text1"/>
          <w:lang w:val="ca-ES"/>
        </w:rPr>
        <w:t xml:space="preserve">També s’hi estableixen les àrees prioritàries en matèria d’estratègia de circularitat en l’article 98, que són: aigua, energia, aliments, materials i residus. </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Fonaments de dret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En l’àmbit europeu, resulta d’aplicació el Reglament (UE) 2021/241 del Parlament Europeu i del Consell, de 12 de febrer de 2021, pel qual s’estableix el mecanisme de recuperació i resiliència (MRR).</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 xml:space="preserve">En el marc de la regulació de la competència, els articles 107 i següents del Tractat de Funcionament de la Unió Europea (TFUE) s’ocupen de les anomenades ajudes d’estat. L’article 107, apartat 1, del TFUE prohibeix les ajudes estatals en els termes següents: </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ind w:left="1418" w:hanging="0"/>
        <w:rPr>
          <w:rFonts w:ascii="Noto Sans" w:hAnsi="Noto Sans" w:cs="Noto Sans"/>
          <w:sz w:val="18"/>
          <w:szCs w:val="18"/>
          <w:lang w:val="ca-ES"/>
        </w:rPr>
      </w:pPr>
      <w:r>
        <w:rPr>
          <w:rFonts w:cs="Noto Sans" w:ascii="Noto Sans" w:hAnsi="Noto Sans"/>
          <w:sz w:val="18"/>
          <w:szCs w:val="18"/>
          <w:lang w:val="ca-ES"/>
        </w:rPr>
        <w:t>Seran incompatibles amb el mercat interior, en la mesura que afectin els intercanvis comercials entre estats membres, les ajudes atorgades pels estats o mitjançant fons estatals, sota qualsevol forma, que falsegin o amenacin falsejar la competència per afavorir determinades empreses o produccions.</w:t>
      </w:r>
    </w:p>
    <w:p>
      <w:pPr>
        <w:pStyle w:val="Standard"/>
        <w:shd w:val="clear" w:color="auto" w:fill="FFFFFF" w:themeFill="background1"/>
        <w:spacing w:lineRule="auto" w:line="259"/>
        <w:ind w:left="720" w:hanging="0"/>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Per tant, per al bon funcionament del mercat interior, s'exigeix que s'apliquin rigorosament i eficaçment les normes de competència en matèria d'ajudes estatals.</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La Instrucció 1/2021 del conseller de Fons Europeus, Universitat i Cultura i de la consellera d'Hisenda i Relacions Exteriors, de 20 de desembre de 2021, per la qual es regula el procediment de notificació i comunicació a la Comissió Europea dels projectes que estableixin, concedeixin o modifiquin ajudes públiques, recull una llista de comprovació perquè el centre gestor analitzi si una subvenció encaixa en el concepte d'ajuda d'estat. Per això, després de dur a terme l'anàlisi corresponent, resulta que la convocatòria d'ajudes constitueix una ajuda d'estat, atès que encaixa en la descripció de l'article 107 del TFUE.</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També cal destacar que l'ajuda prevista no entra en cap dels supòsits establerts en el Reglament (UE) 651/2014 de la Comissió, de 17 de juny de 2014, pel qual es declaren determinades categories d'ajudes compatibles amb el mercat interior en aplicació dels articles 107 i 108 del TFUE.</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 xml:space="preserve">Consegüentment, es considera pertinent aplicar a les ajudes del Programa II d'aquesta convocatòria el Reglament (UE) 2023/2831 de la Comissió, de 13 de desembre de 2023, relatiu a l'aplicació dels articles 107 i 108 del TFUE a les ajudes </w:t>
      </w:r>
      <w:r>
        <w:rPr>
          <w:rFonts w:cs="Noto Sans" w:ascii="Noto Sans" w:hAnsi="Noto Sans"/>
          <w:i/>
          <w:iCs/>
          <w:lang w:val="ca-ES"/>
        </w:rPr>
        <w:t xml:space="preserve">de minimis. </w:t>
      </w:r>
      <w:r>
        <w:rPr>
          <w:rFonts w:cs="Noto Sans" w:ascii="Noto Sans" w:hAnsi="Noto Sans"/>
          <w:lang w:val="ca-ES"/>
        </w:rPr>
        <w:t xml:space="preserve">L'aplicació d'aquest Reglament implica que l'entitat beneficiària, com a empresa única, de conformitat amb la definició establerta en l'article 2.2 del Reglament, no pot percebre ajudes </w:t>
      </w:r>
      <w:r>
        <w:rPr>
          <w:rFonts w:cs="Noto Sans" w:ascii="Noto Sans" w:hAnsi="Noto Sans"/>
          <w:i/>
          <w:iCs/>
          <w:lang w:val="ca-ES"/>
        </w:rPr>
        <w:t>de minimis</w:t>
      </w:r>
      <w:r>
        <w:rPr>
          <w:rFonts w:cs="Noto Sans" w:ascii="Noto Sans" w:hAnsi="Noto Sans"/>
          <w:lang w:val="ca-ES"/>
        </w:rPr>
        <w:t xml:space="preserve"> procedents d'administracions o d'entitats públiques o privades finançades amb càrrec als pressuposts públics per un import superior a 300.000 euros en el període de tres anys. A aquests efectes, ha d'entendre's per </w:t>
      </w:r>
      <w:r>
        <w:rPr>
          <w:rFonts w:cs="Noto Sans" w:ascii="Noto Sans" w:hAnsi="Noto Sans"/>
          <w:i/>
          <w:iCs/>
          <w:lang w:val="ca-ES"/>
        </w:rPr>
        <w:t xml:space="preserve">persona beneficiària </w:t>
      </w:r>
      <w:r>
        <w:rPr>
          <w:rFonts w:cs="Noto Sans" w:ascii="Noto Sans" w:hAnsi="Noto Sans"/>
          <w:lang w:val="ca-ES"/>
        </w:rPr>
        <w:t xml:space="preserve">la definició establerta en l'article 2.2 del Reglament (UE) 2023/2831 per a </w:t>
      </w:r>
      <w:r>
        <w:rPr>
          <w:rFonts w:cs="Noto Sans" w:ascii="Noto Sans" w:hAnsi="Noto Sans"/>
          <w:i/>
          <w:iCs/>
          <w:lang w:val="ca-ES"/>
        </w:rPr>
        <w:t xml:space="preserve">empresa única. </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 xml:space="preserve">Respecte de les ajudes del Programa I,  és d’aplicació el </w:t>
      </w:r>
      <w:r>
        <w:rPr>
          <w:rStyle w:val="Lletraperdefectedelpargraf1"/>
          <w:rFonts w:cs="Noto Sans" w:ascii="Noto Sans" w:hAnsi="Noto Sans"/>
          <w:lang w:val="ca-ES"/>
        </w:rPr>
        <w:t xml:space="preserve">Reglament (UE) 2023/2832, de 13 de desembre, relatiu a l’aplicació dels articles 107 i 108 del TFUE a les ajudes </w:t>
      </w:r>
      <w:r>
        <w:rPr>
          <w:rStyle w:val="Lletraperdefectedelpargraf1"/>
          <w:rFonts w:cs="Noto Sans" w:ascii="Noto Sans" w:hAnsi="Noto Sans"/>
          <w:i/>
          <w:iCs/>
          <w:lang w:val="ca-ES"/>
        </w:rPr>
        <w:t>de</w:t>
      </w:r>
      <w:r>
        <w:rPr>
          <w:rStyle w:val="Lletraperdefectedelpargraf1"/>
          <w:rFonts w:cs="Noto Sans" w:ascii="Noto Sans" w:hAnsi="Noto Sans"/>
          <w:lang w:val="ca-ES"/>
        </w:rPr>
        <w:t xml:space="preserve"> </w:t>
      </w:r>
      <w:r>
        <w:rPr>
          <w:rStyle w:val="Lletraperdefectedelpargraf1"/>
          <w:rFonts w:cs="Noto Sans" w:ascii="Noto Sans" w:hAnsi="Noto Sans"/>
          <w:i/>
          <w:iCs/>
          <w:lang w:val="ca-ES"/>
        </w:rPr>
        <w:t xml:space="preserve">minimis </w:t>
      </w:r>
      <w:r>
        <w:rPr>
          <w:rStyle w:val="Lletraperdefectedelpargraf1"/>
          <w:rFonts w:cs="Noto Sans" w:ascii="Noto Sans" w:hAnsi="Noto Sans"/>
          <w:lang w:val="ca-ES"/>
        </w:rPr>
        <w:t xml:space="preserve">concedides a empreses que presten serveis d’interès econòmic general, atès que l’article 5.4 de la Llei 5/2011, de 29 de març, d’economia social, declara entitats prestadores de serveis d’interès econòmic general les empreses d’inserció, constituïdes i qualificades com a tals segons la seva normativa reguladora. Això implica que l’entitat beneficiària, com a empresa única, no pot percebre ajudes </w:t>
      </w:r>
      <w:r>
        <w:rPr>
          <w:rStyle w:val="Lletraperdefectedelpargraf1"/>
          <w:rFonts w:cs="Noto Sans" w:ascii="Noto Sans" w:hAnsi="Noto Sans"/>
          <w:i/>
          <w:iCs/>
          <w:lang w:val="ca-ES"/>
        </w:rPr>
        <w:t>de minimis</w:t>
      </w:r>
      <w:r>
        <w:rPr>
          <w:rStyle w:val="Lletraperdefectedelpargraf1"/>
          <w:rFonts w:cs="Noto Sans" w:ascii="Noto Sans" w:hAnsi="Noto Sans"/>
          <w:lang w:val="ca-ES"/>
        </w:rPr>
        <w:t xml:space="preserve"> per un import superior a 750.000 euros en el període de tres anys. A aquests efectes, ha d'entendre's per </w:t>
      </w:r>
      <w:r>
        <w:rPr>
          <w:rFonts w:cs="Noto Sans" w:ascii="Noto Sans" w:hAnsi="Noto Sans"/>
          <w:i/>
          <w:iCs/>
          <w:lang w:val="ca-ES"/>
        </w:rPr>
        <w:t xml:space="preserve">persona beneficiària </w:t>
      </w:r>
      <w:r>
        <w:rPr>
          <w:rFonts w:cs="Noto Sans" w:ascii="Noto Sans" w:hAnsi="Noto Sans"/>
          <w:lang w:val="ca-ES"/>
        </w:rPr>
        <w:t xml:space="preserve">la definició establerta en l'article 2.2 del Reglament (UE) 2023/2832 per a </w:t>
      </w:r>
      <w:r>
        <w:rPr>
          <w:rFonts w:cs="Noto Sans" w:ascii="Noto Sans" w:hAnsi="Noto Sans"/>
          <w:i/>
          <w:iCs/>
          <w:lang w:val="ca-ES"/>
        </w:rPr>
        <w:t>empresa única.</w:t>
      </w:r>
    </w:p>
    <w:p>
      <w:pPr>
        <w:pStyle w:val="Standard"/>
        <w:shd w:val="clear" w:color="auto" w:fill="FFFFFF" w:themeFill="background1"/>
        <w:spacing w:lineRule="auto" w:line="259"/>
        <w:rPr>
          <w:rStyle w:val="Lletraperdefectedelpargraf1"/>
          <w:rFonts w:ascii="Noto Sans" w:hAnsi="Noto Sans" w:cs="Noto Sans"/>
          <w:lang w:val="ca-ES"/>
        </w:rPr>
      </w:pPr>
      <w:r>
        <w:rPr>
          <w:rFonts w:cs="Noto Sans" w:ascii="Noto Sans" w:hAnsi="Noto Sans"/>
          <w:lang w:val="ca-ES"/>
        </w:rPr>
      </w:r>
    </w:p>
    <w:p>
      <w:pPr>
        <w:pStyle w:val="Normal"/>
        <w:shd w:val="clear" w:color="auto" w:fill="FFFFFF" w:themeFill="background1"/>
        <w:rPr>
          <w:rFonts w:ascii="Noto Sans" w:hAnsi="Noto Sans" w:cs="Noto Sans"/>
        </w:rPr>
      </w:pPr>
      <w:r>
        <w:rPr>
          <w:rFonts w:cs="Noto Sans" w:ascii="Noto Sans" w:hAnsi="Noto Sans"/>
        </w:rPr>
        <w:t>En aplicació del principi de no causar perjudici significatiu al medi ambient —</w:t>
      </w:r>
      <w:r>
        <w:rPr>
          <w:rFonts w:cs="Noto Sans" w:ascii="Noto Sans" w:hAnsi="Noto Sans"/>
          <w:i/>
          <w:iCs/>
        </w:rPr>
        <w:t>do no significant harm</w:t>
      </w:r>
      <w:r>
        <w:rPr>
          <w:rFonts w:cs="Noto Sans" w:ascii="Noto Sans" w:hAnsi="Noto Sans"/>
        </w:rPr>
        <w:t xml:space="preserve"> (DNSH)—, d’acord amb el que preveuen el PRTR i el Reglament (UE) 2021/241 del Parlament Europeu i del Consell, de 12 de febrer, s’ha de respectar la normativa mediambiental aplicable, inclòs el Reglament (UE) 2020/852 del Parlament Europeu i del Consell, de 18 de juny, relatiu a l’establiment d’un marc per facilitar les inversions sostenibles i pel qual es modifica el Reglament (UE) 2019/2088, així com la Guia tècnica de la Comissió Europea (2021/C 58/01) sobre l’aplicació d’aquest principi DNSH. En tots els casos, s’han de respectar els procediments d’avaluació ambiental, quan siguin aplicables, conforme a la legislació vigent, així com altres avaluacions de repercussions que puguin resultar d’aplicació en virtut de la legislació mediambiental.</w:t>
      </w:r>
    </w:p>
    <w:p>
      <w:pPr>
        <w:pStyle w:val="Normal"/>
        <w:shd w:val="clear" w:color="auto" w:fill="FFFFFF" w:themeFill="background1"/>
        <w:rPr>
          <w:rFonts w:ascii="Noto Sans" w:hAnsi="Noto Sans" w:cs="Noto Sans"/>
        </w:rPr>
      </w:pPr>
      <w:r>
        <w:rPr>
          <w:rFonts w:cs="Noto Sans" w:ascii="Noto Sans" w:hAnsi="Noto Sans"/>
        </w:rPr>
      </w:r>
    </w:p>
    <w:p>
      <w:pPr>
        <w:pStyle w:val="Standard"/>
        <w:shd w:val="clear" w:color="auto" w:fill="FFFFFF" w:themeFill="background1"/>
        <w:rPr>
          <w:rFonts w:ascii="Noto Sans" w:hAnsi="Noto Sans" w:eastAsia="Noto Sans" w:cs="Noto Sans"/>
          <w:lang w:val="ca-ES"/>
        </w:rPr>
      </w:pPr>
      <w:r>
        <w:rPr>
          <w:rStyle w:val="Lletraperdefectedelpargraf1"/>
          <w:rFonts w:cs="Noto Sans" w:ascii="Noto Sans" w:hAnsi="Noto Sans"/>
          <w:lang w:val="ca-ES"/>
        </w:rPr>
        <w:t>L’ACD 2022_ Accions de sensibilització</w:t>
      </w:r>
      <w:r>
        <w:rPr>
          <w:rFonts w:cs="Noto Sans" w:ascii="Noto Sans" w:hAnsi="Noto Sans"/>
          <w:lang w:val="ca-ES"/>
        </w:rPr>
        <w:t xml:space="preserve"> no té contribució climàtica ni mediambiental, atès que es troba en l’eix 4, però sí té contribució a la submesura referent a les actuacions en l’àmbit de la competitivitat turística (</w:t>
      </w:r>
      <w:r>
        <w:rPr>
          <w:rFonts w:eastAsia="Noto Sans" w:cs="Noto Sans" w:ascii="Noto Sans" w:hAnsi="Noto Sans"/>
          <w:lang w:val="ca-ES"/>
        </w:rPr>
        <w:t>C14.I01).</w:t>
      </w:r>
    </w:p>
    <w:p>
      <w:pPr>
        <w:pStyle w:val="Standard"/>
        <w:shd w:val="clear" w:color="auto" w:fill="FFFFFF" w:themeFill="background1"/>
        <w:rPr>
          <w:rFonts w:ascii="Noto Sans" w:hAnsi="Noto Sans" w:eastAsia="Noto Sans" w:cs="Noto Sans"/>
          <w:lang w:val="ca-ES"/>
        </w:rPr>
      </w:pPr>
      <w:r>
        <w:rPr>
          <w:rFonts w:eastAsia="Noto Sans" w:cs="Noto Sans" w:ascii="Noto Sans" w:hAnsi="Noto Sans"/>
          <w:lang w:val="ca-ES"/>
        </w:rPr>
      </w:r>
    </w:p>
    <w:p>
      <w:pPr>
        <w:pStyle w:val="Normal"/>
        <w:shd w:val="clear" w:color="auto" w:fill="FFFFFF" w:themeFill="background1"/>
        <w:rPr>
          <w:rFonts w:ascii="Noto Sans" w:hAnsi="Noto Sans" w:cs="Noto Sans"/>
        </w:rPr>
      </w:pPr>
      <w:r>
        <w:rPr>
          <w:rFonts w:cs="Noto Sans" w:ascii="Noto Sans" w:hAnsi="Noto Sans"/>
        </w:rPr>
        <w:t xml:space="preserve">Resulta d’aplicació la normativa estatal i autonòmica en matèria de subvencions, constituïda per la Llei 38/2003, de 17 de novembre, general de subvencions, i el  Reglament d’aquesta, aprovat pel Reial decret 887/2006, de 21 de juliol, així com pel Decret legislatiu 2/2005, de 28 de desembre, pel qual s’aprova el Text refós de la Llei de subvencions pel que fa als aspectes organitzatius i procedimentals, i l’Ordre del conseller de Turisme de 20 de juny de 2005 per la qual s’estableixen les bases reguladores de les subvencions en matèria de turisme. </w:t>
      </w:r>
    </w:p>
    <w:p>
      <w:pPr>
        <w:pStyle w:val="Normal"/>
        <w:shd w:val="clear" w:color="auto" w:fill="FFFFFF" w:themeFill="background1"/>
        <w:rPr>
          <w:rFonts w:ascii="Noto Sans" w:hAnsi="Noto Sans" w:cs="Noto Sans"/>
        </w:rPr>
      </w:pPr>
      <w:r>
        <w:rPr>
          <w:rFonts w:cs="Noto Sans" w:ascii="Noto Sans" w:hAnsi="Noto Sans"/>
        </w:rPr>
      </w:r>
    </w:p>
    <w:p>
      <w:pPr>
        <w:pStyle w:val="Normal"/>
        <w:shd w:val="clear" w:color="auto" w:fill="FFFFFF" w:themeFill="background1"/>
        <w:rPr>
          <w:rFonts w:ascii="Noto Sans" w:hAnsi="Noto Sans" w:cs="Noto Sans"/>
        </w:rPr>
      </w:pPr>
      <w:r>
        <w:rPr>
          <w:rFonts w:cs="Noto Sans" w:ascii="Noto Sans" w:hAnsi="Noto Sans"/>
        </w:rPr>
        <w:t>És també d’aplicació el Reial decret llei 36/2020, de 30 de desembre, pel qual s’aproven mesures urgents per a la modernització de l’Administració pública i per a l’execució del PRTR. L’article 62.1 d’aquest Reial decret llei indica que en el cas de subvencions finançables amb fons europeus, regulades per la Llei 38/2003, de 17 de novembre, general de subvencions, l’objecte de les quals sigui finançar actuacions o situacions concretes que no requereixin de valoració comparativa amb altres propostes, es poden dictar les resolucions de concessió per ordre de presentació de sol·licituds, una vegada realitzades les comprovacions de concurrència de la situació o actuació subvencionable i del compliment de la resta de requisits exigits, fins a l’esgotament del crèdit pressupostari assignat en la convocatòria. L’article 7 de l’Ordre de bases permet que la selecció de les persones beneficiàries es pugui dur a terme per procediments que no són el de concurrència competitiva quan no siguin necessàries la comparació i la prelació de totes les sol·licituds entre si, en consonància amb el que disposa l’article 17 de la Llei de subvencions autonòmica. El procediment de selecció establert per aquesta convocatòria és el de concurrència no competitiva, atès que les inversions objecte de subvenció són de naturalesa similar, amb la finalitat de donar compliment al que disposa el títol V, mesures d’economia circular, de la Llei 8/2012.</w:t>
      </w:r>
    </w:p>
    <w:p>
      <w:pPr>
        <w:pStyle w:val="Normal"/>
        <w:shd w:val="clear" w:color="auto" w:fill="FFFFFF" w:themeFill="background1"/>
        <w:rPr>
          <w:rFonts w:ascii="Noto Sans" w:hAnsi="Noto Sans" w:cs="Noto Sans"/>
        </w:rPr>
      </w:pPr>
      <w:r>
        <w:rPr>
          <w:rFonts w:cs="Noto Sans" w:ascii="Noto Sans" w:hAnsi="Noto Sans"/>
        </w:rPr>
      </w:r>
    </w:p>
    <w:p>
      <w:pPr>
        <w:pStyle w:val="Normal"/>
        <w:shd w:val="clear" w:color="auto" w:fill="FFFFFF" w:themeFill="background1"/>
        <w:rPr>
          <w:rFonts w:ascii="Noto Sans" w:hAnsi="Noto Sans" w:cs="Noto Sans"/>
        </w:rPr>
      </w:pPr>
      <w:r>
        <w:rPr>
          <w:rFonts w:cs="Noto Sans" w:ascii="Noto Sans" w:hAnsi="Noto Sans"/>
        </w:rPr>
        <w:t>Resulten d’aplicació  l’Ordre HFP/1030/2021 de 29 de setembre per la qual es configura el sistema de gestió del PRTR; l’Ordre HFP/1031/2021 de 29 de setembre per la qual s’estableixen el procediment i el format de la informació que han de proporcionar les entitats del sector públic estatal, autonòmic i local per al seguiment del compliment de fites i objectius, i d’execució pressupostària i comptable de les mesures dels components del PRTR, i altra normativa tant europea com nacional que sigui aplicable a la gestió, el seguiment, la verificació, la publicitat i el control en el marc del PRTR, i l’Ordre HFP/55/2023 de 24 de gener relativa a l’anàlisi sistemàtica del risc de conflicte d’interès en els procediments que executen el PRTR. En aquest sentit, cal esmentar que la convocatòria s’ajusta als principis transversals de l’MRR i als principis de gestió prevists en l’article 2 de l’esmentada Ordre HFP 1030/2021.</w:t>
      </w:r>
    </w:p>
    <w:p>
      <w:pPr>
        <w:pStyle w:val="Normal"/>
        <w:shd w:val="clear" w:color="auto" w:fill="FFFFFF" w:themeFill="background1"/>
        <w:spacing w:before="240" w:after="0"/>
        <w:rPr>
          <w:rFonts w:ascii="Noto Sans" w:hAnsi="Noto Sans" w:eastAsia="Noto Sans" w:cs="Noto Sans"/>
          <w:color w:val="000000" w:themeColor="text1"/>
        </w:rPr>
      </w:pPr>
      <w:r>
        <w:rPr>
          <w:rFonts w:eastAsia="Noto Sans" w:cs="Noto Sans" w:ascii="Noto Sans" w:hAnsi="Noto Sans"/>
          <w:color w:val="000000" w:themeColor="text1"/>
        </w:rPr>
        <w:t>En l’àmbit autonòmic, la Llei 4/2021, de 17 de desembre, de mesures extraordinàries i urgents per executar les actuacions i els projectes que s’han de finançar amb fons europeus en el marc del PRTR, i, en conseqüència, la tramitació urgent, el despatx prioritari i les especialitats en matèria de gestió pressupostària i de les subvencions que s’hi estableixen; la Instrucció conjunta 1/2022 de la directora general de Funció Pública, del director general de Pressuposts i del director de l’Oficina de Planificació i Coordinació d’Inversions Estratègiques relativa a la tramitació dels projectes temporals prevists en l’article 20 de la Llei 4/2021, i el Pla d’Acció de la Conselleria de Model Econòmic, Turisme i Treball derivat dels tests d’autoavaluació i risc de l’annex II de l’Ordre HFP/1030/2021, aprovat per la Resolució del secretari general de la Conselleria de Model Econòmic, Turisme i Treball de 14 de juliol de 2022, modificada per la Resolució del secretari general de 25 d’agost de 2022.</w:t>
      </w:r>
    </w:p>
    <w:p>
      <w:pPr>
        <w:pStyle w:val="Normal"/>
        <w:shd w:val="clear" w:color="auto" w:fill="FFFFFF" w:themeFill="background1"/>
        <w:rPr>
          <w:rFonts w:ascii="Noto Sans" w:hAnsi="Noto Sans" w:eastAsia="Noto Sans" w:cs="Noto Sans"/>
          <w:color w:val="000000" w:themeColor="text1"/>
        </w:rPr>
      </w:pPr>
      <w:r>
        <w:rPr>
          <w:rFonts w:eastAsia="Noto Sans" w:cs="Noto Sans" w:ascii="Noto Sans" w:hAnsi="Noto Sans"/>
          <w:color w:val="000000" w:themeColor="text1"/>
        </w:rPr>
      </w:r>
    </w:p>
    <w:p>
      <w:pPr>
        <w:pStyle w:val="Normal"/>
        <w:shd w:val="clear" w:color="auto" w:fill="FFFFFF" w:themeFill="background1"/>
        <w:rPr>
          <w:rFonts w:ascii="Noto Sans" w:hAnsi="Noto Sans" w:cs="Noto Sans"/>
        </w:rPr>
      </w:pPr>
      <w:r>
        <w:rPr>
          <w:rFonts w:eastAsia="Noto Sans" w:cs="Noto Sans" w:ascii="Noto Sans" w:hAnsi="Noto Sans"/>
          <w:color w:val="000000" w:themeColor="text1"/>
        </w:rPr>
        <w:t xml:space="preserve">D’altra banda, aquesta convocatòria consta en l’annex del Pla Estratègic de Subvencions de la Comunitat Autònoma de les Illes Balears per als exercicis 2024-2026, aprovat per l’Acord del Consell de Govern de 19 d’abril de 2024 i modificat per la </w:t>
      </w:r>
      <w:r>
        <w:rPr>
          <w:rFonts w:cs="Noto Sans" w:ascii="Noto Sans" w:hAnsi="Noto Sans"/>
        </w:rPr>
        <w:t>Resolució del conseller d'Economia, Hisenda i Innovació de 24 de març de 2025 per la qual es modifica l'annex del Pla Estratègic de Subvencions de la Comunitat Autònoma de les Illes Balears per als exercicis 2024-2026, aprovat mitjançant un acord del Consell de Govern de 19 d’abril de 2024 (BOIB núm. 39, de 29 de març de 2025).</w:t>
      </w:r>
    </w:p>
    <w:p>
      <w:pPr>
        <w:pStyle w:val="Normal"/>
        <w:shd w:val="clear" w:color="auto" w:fill="FFFFFF" w:themeFill="background1"/>
        <w:rPr>
          <w:rFonts w:ascii="Noto Sans" w:hAnsi="Noto Sans" w:cs="Noto Sans"/>
        </w:rPr>
      </w:pPr>
      <w:r>
        <w:rPr>
          <w:rFonts w:cs="Noto Sans" w:ascii="Noto Sans" w:hAnsi="Noto Sans"/>
        </w:rPr>
      </w:r>
    </w:p>
    <w:p>
      <w:pPr>
        <w:pStyle w:val="Normal"/>
        <w:shd w:val="clear" w:color="auto" w:fill="FFFFFF" w:themeFill="background1"/>
        <w:rPr>
          <w:rFonts w:ascii="Noto Sans" w:hAnsi="Noto Sans" w:eastAsia="Noto Sans" w:cs="Noto Sans"/>
        </w:rPr>
      </w:pPr>
      <w:r>
        <w:rPr>
          <w:rFonts w:eastAsia="Noto Sans" w:cs="Noto Sans" w:ascii="Noto Sans" w:hAnsi="Noto Sans"/>
        </w:rPr>
        <w:t>El 2 de maig de 2025, el Consell de Govern ha autoritzat, per raons d’interès públic, el pagament anticipat del 100 % de l’import de la subvenció sense garantia. Amb aquesta mesura, el Govern de les Illes Balears vol garantir que les persones destinatàries puguin executar els seus projectes amb la màxima celeritat i contribuir així a l’assoliment de les fites i els objectius marcats pel component 14 del PRTR, dedicat a la sostenibilitat i la circularitat del turisme.</w:t>
      </w:r>
    </w:p>
    <w:p>
      <w:pPr>
        <w:pStyle w:val="Normal"/>
        <w:shd w:val="clear" w:color="auto" w:fill="FFFFFF" w:themeFill="background1"/>
        <w:rPr>
          <w:rFonts w:ascii="Noto Sans" w:hAnsi="Noto Sans" w:eastAsia="Noto Sans" w:cs="Noto Sans"/>
        </w:rPr>
      </w:pPr>
      <w:r>
        <w:rPr>
          <w:rFonts w:eastAsia="Noto Sans" w:cs="Noto Sans" w:ascii="Noto Sans" w:hAnsi="Noto Sans"/>
        </w:rPr>
      </w:r>
    </w:p>
    <w:p>
      <w:pPr>
        <w:pStyle w:val="Normal"/>
        <w:shd w:val="clear" w:color="auto" w:fill="FFFFFF" w:themeFill="background1"/>
        <w:rPr>
          <w:rFonts w:ascii="Noto Sans" w:hAnsi="Noto Sans" w:eastAsia="Noto Sans" w:cs="Noto Sans"/>
        </w:rPr>
      </w:pPr>
      <w:r>
        <w:rPr>
          <w:rFonts w:eastAsia="Noto Sans" w:cs="Noto Sans" w:ascii="Noto Sans" w:hAnsi="Noto Sans"/>
        </w:rPr>
        <w:t>De conformitat amb l’article 8.1.</w:t>
      </w:r>
      <w:r>
        <w:rPr>
          <w:rFonts w:eastAsia="Noto Sans" w:cs="Noto Sans" w:ascii="Noto Sans" w:hAnsi="Noto Sans"/>
          <w:i/>
          <w:iCs/>
        </w:rPr>
        <w:t>f)</w:t>
      </w:r>
      <w:r>
        <w:rPr>
          <w:rFonts w:eastAsia="Noto Sans" w:cs="Noto Sans" w:ascii="Noto Sans" w:hAnsi="Noto Sans"/>
        </w:rPr>
        <w:t xml:space="preserve"> del Decret 8/2018, de 22 de juny, pel qual es reorganitza, reestructura i regula l’Agència d’Estratègia Turística de les Illes Balears, amb relació a l’article 4 de l’Ordre de bases reguladores en matèria de turisme, és competència del president de l’AETIB l’aprovació d’aquesta convocatòria, sense perjudici de la posterior ratificació del Consell de Direcció de l’AETIB en la primera sessió que es dugui a terme.</w:t>
      </w:r>
    </w:p>
    <w:p>
      <w:pPr>
        <w:pStyle w:val="Normal"/>
        <w:shd w:val="clear" w:color="auto" w:fill="FFFFFF" w:themeFill="background1"/>
        <w:rPr>
          <w:rFonts w:ascii="Noto Sans" w:hAnsi="Noto Sans" w:eastAsia="Noto Sans" w:cs="Noto Sans"/>
        </w:rPr>
      </w:pPr>
      <w:r>
        <w:rPr>
          <w:rFonts w:eastAsia="Noto Sans" w:cs="Noto Sans" w:ascii="Noto Sans" w:hAnsi="Noto Sans"/>
        </w:rPr>
      </w:r>
    </w:p>
    <w:p>
      <w:pPr>
        <w:pStyle w:val="Standard"/>
        <w:shd w:val="clear" w:color="auto" w:fill="FFFFFF" w:themeFill="background1"/>
        <w:rPr>
          <w:rFonts w:ascii="Noto Sans" w:hAnsi="Noto Sans" w:cs="Noto Sans"/>
          <w:lang w:val="ca-ES"/>
        </w:rPr>
      </w:pPr>
      <w:r>
        <w:rPr>
          <w:rFonts w:cs="Noto Sans" w:ascii="Noto Sans" w:hAnsi="Noto Sans"/>
          <w:lang w:val="ca-ES"/>
        </w:rPr>
        <w:t>Per això, es  dicta la següent</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Resolució</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1. Aprovar la convocatòria d’ajudes </w:t>
      </w:r>
      <w:r>
        <w:rPr>
          <w:rStyle w:val="Lletraperdefectedelpargraf1"/>
          <w:rFonts w:cs="Noto Sans" w:ascii="Noto Sans" w:hAnsi="Noto Sans"/>
          <w:i/>
          <w:iCs/>
          <w:lang w:val="ca-ES"/>
        </w:rPr>
        <w:t>de</w:t>
      </w:r>
      <w:r>
        <w:rPr>
          <w:rStyle w:val="Lletraperdefectedelpargraf1"/>
          <w:rFonts w:cs="Noto Sans" w:ascii="Noto Sans" w:hAnsi="Noto Sans"/>
          <w:lang w:val="ca-ES"/>
        </w:rPr>
        <w:t xml:space="preserve"> </w:t>
      </w:r>
      <w:r>
        <w:rPr>
          <w:rStyle w:val="Lletraperdefectedelpargraf1"/>
          <w:rFonts w:cs="Noto Sans" w:ascii="Noto Sans" w:hAnsi="Noto Sans"/>
          <w:i/>
          <w:iCs/>
          <w:lang w:val="ca-ES"/>
        </w:rPr>
        <w:t>minimis</w:t>
      </w:r>
      <w:r>
        <w:rPr>
          <w:rStyle w:val="Lletraperdefectedelpargraf1"/>
          <w:rFonts w:cs="Noto Sans" w:ascii="Noto Sans" w:hAnsi="Noto Sans"/>
          <w:lang w:val="ca-ES"/>
        </w:rPr>
        <w:t xml:space="preserve"> per a la concessió de subvencions per finançar </w:t>
      </w:r>
      <w:r>
        <w:rPr>
          <w:rStyle w:val="Lletraperdefectedelpargraf1"/>
          <w:rFonts w:cs="Noto Sans" w:ascii="Noto Sans" w:hAnsi="Noto Sans"/>
          <w:shd w:fill="FFFFFF" w:val="clear"/>
          <w:lang w:val="ca-ES"/>
        </w:rPr>
        <w:t>projectes en matèria de circularitat en l’àmbit turístic de les Illes Balears</w:t>
      </w:r>
      <w:r>
        <w:rPr>
          <w:rStyle w:val="Lletraperdefectedelpargraf1"/>
          <w:rFonts w:cs="Noto Sans" w:ascii="Noto Sans" w:hAnsi="Noto Sans"/>
          <w:lang w:val="ca-ES"/>
        </w:rPr>
        <w:t xml:space="preserve">, en el marc del Pla de Recuperació, Transformació i Resiliència (PRTR) finançat per la Unió Europea Next Generation EU </w:t>
      </w:r>
      <w:r>
        <w:rPr>
          <w:rStyle w:val="Lletraperdefectedelpargraf1"/>
          <w:rFonts w:cs="Noto Sans" w:ascii="Noto Sans" w:hAnsi="Noto Sans"/>
          <w:shd w:fill="FFFFFF" w:val="clear"/>
          <w:lang w:val="ca-ES"/>
        </w:rPr>
        <w:t>que figura com a Annex 1 d’aquesta Resolució</w:t>
      </w:r>
      <w:r>
        <w:rPr>
          <w:rStyle w:val="Lletraperdefectedelpargraf1"/>
          <w:rFonts w:cs="Noto Sans" w:ascii="Noto Sans" w:hAnsi="Noto Sans"/>
          <w:lang w:val="ca-ES"/>
        </w:rPr>
        <w: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2. Comunicar aquesta Resolució a la Base de Dades Nacional de Subvencions.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3. Publicar aquesta Resolució en el </w:t>
      </w:r>
      <w:r>
        <w:rPr>
          <w:rStyle w:val="Lletraperdefectedelpargraf1"/>
          <w:rFonts w:cs="Noto Sans" w:ascii="Noto Sans" w:hAnsi="Noto Sans"/>
          <w:i/>
          <w:iCs/>
          <w:lang w:val="ca-ES"/>
        </w:rPr>
        <w:t>Butlletí Oficial de les Illes Balears</w:t>
      </w:r>
      <w:r>
        <w:rPr>
          <w:rStyle w:val="Lletraperdefectedelpargraf1"/>
          <w:rFonts w:cs="Noto Sans" w:ascii="Noto Sans" w:hAnsi="Noto Sans"/>
          <w:lang w:val="ca-ES"/>
        </w:rPr>
        <w: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Interposició de recursos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Contra aquesta Resolució, que exhaureix la via administrativa, es pot interposar recurs de reposició davant el president de l’AETIB en el termini d’un mes comptador des de l’endemà de la publicació en el </w:t>
      </w:r>
      <w:r>
        <w:rPr>
          <w:rStyle w:val="Lletraperdefectedelpargraf1"/>
          <w:rFonts w:cs="Noto Sans" w:ascii="Noto Sans" w:hAnsi="Noto Sans"/>
          <w:i/>
          <w:iCs/>
          <w:lang w:val="ca-ES"/>
        </w:rPr>
        <w:t>Butlletí Oficial de les Illes Balears</w:t>
      </w:r>
      <w:r>
        <w:rPr>
          <w:rStyle w:val="Lletraperdefectedelpargraf1"/>
          <w:rFonts w:cs="Noto Sans" w:ascii="Noto Sans" w:hAnsi="Noto Sans"/>
          <w:lang w:val="ca-ES"/>
        </w:rPr>
        <w:t>, d’acord amb els articles 123 i següents de la Llei 39/2015, d’1 d’octubre, del procediment administratiu comú de les administracions públiques, i l’article 57 de la Llei 3/2003, de 26 de març, de règim jurídic de l’Administració de la Comunitat Autònoma de les Illes Balears.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També es pot interposar directament un recurs contenciós administratiu davant la Sala Contenciosa Administrativa del Tribunal Superior de Justícia de les Illes Balears en el termini de dos mesos comptadors des de l’endemà de la notificació, d’acord amb l’article 46 de la Llei 29/1998, de 13 de juliol, reguladora de la jurisdicció contenciosa administrativa.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Palma, en la data de la signatura electrònica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El president de l’AETIB</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 xml:space="preserve">Jaime Bauzá Mayol </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Normal"/>
        <w:shd w:val="clear" w:color="auto" w:fill="FFFFFF" w:themeFill="background1"/>
        <w:rPr>
          <w:rFonts w:ascii="Noto Sans" w:hAnsi="Noto Sans" w:cs="Noto Sans"/>
          <w:b/>
          <w:b/>
          <w:bCs/>
        </w:rPr>
      </w:pPr>
      <w:r>
        <w:rPr>
          <w:rFonts w:cs="Noto Sans" w:ascii="Noto Sans" w:hAnsi="Noto Sans"/>
          <w:b/>
          <w:bCs/>
        </w:rPr>
      </w:r>
    </w:p>
    <w:p>
      <w:pPr>
        <w:pStyle w:val="Normal"/>
        <w:shd w:val="clear" w:color="auto" w:fill="FFFFFF" w:themeFill="background1"/>
        <w:rPr>
          <w:rFonts w:ascii="Noto Sans" w:hAnsi="Noto Sans" w:cs="Noto Sans"/>
        </w:rPr>
      </w:pPr>
      <w:r>
        <w:rPr>
          <w:rFonts w:cs="Noto Sans" w:ascii="Noto Sans" w:hAnsi="Noto Sans"/>
        </w:rPr>
      </w:r>
      <w:r>
        <w:br w:type="page"/>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ANNEX 1</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 xml:space="preserve">Convocatòria d’ajuts </w:t>
      </w:r>
      <w:r>
        <w:rPr>
          <w:rFonts w:cs="Noto Sans" w:ascii="Noto Sans" w:hAnsi="Noto Sans"/>
          <w:b/>
          <w:bCs/>
          <w:i/>
          <w:iCs/>
          <w:lang w:val="ca-ES"/>
        </w:rPr>
        <w:t>de minimi</w:t>
      </w:r>
      <w:r>
        <w:rPr>
          <w:rFonts w:cs="Noto Sans" w:ascii="Noto Sans" w:hAnsi="Noto Sans"/>
          <w:b/>
          <w:bCs/>
          <w:lang w:val="ca-ES"/>
        </w:rPr>
        <w:t>s per finançar projectes en matèria de circularitat en l’àmbit turístic de les Illes Balears, en el marc del Pla de Recuperació, Transformació i Resiliència finançat per la Unió Europea amb Next Generation EU</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Objecte</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22"/>
        </w:numPr>
        <w:shd w:val="clear" w:color="auto" w:fill="FFFFFF" w:themeFill="background1"/>
        <w:rPr>
          <w:rFonts w:ascii="Noto Sans" w:hAnsi="Noto Sans" w:cs="Noto Sans"/>
          <w:lang w:val="ca-ES"/>
        </w:rPr>
      </w:pPr>
      <w:r>
        <w:rPr>
          <w:rStyle w:val="Lletraperdefectedelpargraf1"/>
          <w:rFonts w:cs="Noto Sans" w:ascii="Noto Sans" w:hAnsi="Noto Sans"/>
          <w:lang w:val="ca-ES"/>
        </w:rPr>
        <w:t xml:space="preserve">Aprovar la convocatòria de les ajudes </w:t>
      </w:r>
      <w:r>
        <w:rPr>
          <w:rStyle w:val="Lletraperdefectedelpargraf1"/>
          <w:rFonts w:cs="Noto Sans" w:ascii="Noto Sans" w:hAnsi="Noto Sans"/>
          <w:i/>
          <w:iCs/>
          <w:lang w:val="ca-ES"/>
        </w:rPr>
        <w:t>de</w:t>
      </w:r>
      <w:r>
        <w:rPr>
          <w:rStyle w:val="Lletraperdefectedelpargraf1"/>
          <w:rFonts w:cs="Noto Sans" w:ascii="Noto Sans" w:hAnsi="Noto Sans"/>
          <w:lang w:val="ca-ES"/>
        </w:rPr>
        <w:t xml:space="preserve"> </w:t>
      </w:r>
      <w:r>
        <w:rPr>
          <w:rStyle w:val="Lletraperdefectedelpargraf1"/>
          <w:rFonts w:cs="Noto Sans" w:ascii="Noto Sans" w:hAnsi="Noto Sans"/>
          <w:i/>
          <w:iCs/>
          <w:lang w:val="ca-ES"/>
        </w:rPr>
        <w:t>minimis</w:t>
      </w:r>
      <w:r>
        <w:rPr>
          <w:rStyle w:val="Lletraperdefectedelpargraf1"/>
          <w:rFonts w:cs="Noto Sans" w:ascii="Noto Sans" w:hAnsi="Noto Sans"/>
          <w:lang w:val="ca-ES"/>
        </w:rPr>
        <w:t xml:space="preserve"> per a la concessió de subvencions per finançar projectes en matèria de circularitat en l’àmbit turístic de les Illes Balears,</w:t>
      </w:r>
      <w:r>
        <w:rPr>
          <w:rFonts w:cs="Noto Sans" w:ascii="Noto Sans" w:hAnsi="Noto Sans"/>
          <w:lang w:val="ca-ES"/>
        </w:rPr>
        <w:t xml:space="preserve"> per donar compliment al títol V, mesures d’economia circular, de la Llei 8/2012, de 19 de juliol, del turisme de les Illes Balears, en el marc del Pla de Recuperació, Transformació i Resiliència finançat per la Unió Europea amb Next Generation EU (component 14, inversió 1).</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2"/>
        </w:numPr>
        <w:rPr>
          <w:rStyle w:val="Lletraperdefectedelpargraf1"/>
          <w:rFonts w:ascii="Noto Sans" w:hAnsi="Noto Sans" w:cs="Noto Sans"/>
          <w:lang w:val="ca-ES"/>
        </w:rPr>
      </w:pPr>
      <w:r>
        <w:rPr>
          <w:rStyle w:val="Lletraperdefectedelpargraf1"/>
          <w:rFonts w:cs="Noto Sans" w:ascii="Noto Sans" w:hAnsi="Noto Sans"/>
          <w:lang w:val="ca-ES"/>
        </w:rPr>
        <w:t>La finalitat d’aquestes ajudes és impulsar la sostenibilitat i la circularitat del turisme a les Illes Balears per conscienciar sobre l’ús dels recursos naturals i el respecte a la biodiversitat al nostre territori.</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Bases reguladores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Les ajudes previstes en aquesta convocatòria es regeixen per l’Ordre del conseller de Turisme de 20 de juny de 2005 per la qual s’estableixen les bases reguladores de les subvencions en matèria de turisme (BOIB núm. 96, de 25 de juny de 2005).</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Article 3</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Persones beneficiàries i requisits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t>Poden ser beneficiàries d’aquestes subvencions: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ind w:left="567" w:hanging="0"/>
        <w:rPr>
          <w:rStyle w:val="Lletraperdefectedelpargraf1"/>
          <w:rFonts w:ascii="Noto Sans" w:hAnsi="Noto Sans" w:cs="Noto Sans"/>
          <w:lang w:val="ca-ES"/>
        </w:rPr>
      </w:pPr>
      <w:r>
        <w:rPr>
          <w:rStyle w:val="Lletraperdefectedelpargraf1"/>
          <w:rFonts w:cs="Noto Sans" w:ascii="Noto Sans" w:hAnsi="Noto Sans"/>
          <w:i/>
          <w:iCs/>
          <w:lang w:val="ca-ES"/>
        </w:rPr>
        <w:t xml:space="preserve">a) </w:t>
      </w:r>
      <w:r>
        <w:rPr>
          <w:rStyle w:val="Lletraperdefectedelpargraf1"/>
          <w:rFonts w:cs="Noto Sans" w:ascii="Noto Sans" w:hAnsi="Noto Sans"/>
          <w:lang w:val="ca-ES"/>
        </w:rPr>
        <w:t xml:space="preserve">Pel que fa al Programa I, les empreses d’inserció, d’acord amb la definició de l’article 4 de la Llei 44/2007, de 13 de desembre, per a la regulació del règim d’empresa d’inserció, que duguin a terme activitats de recollida, transport, classificació, preparació i condicionament d’objectes i residus per reutilitzar-los posteriorment. </w:t>
      </w:r>
    </w:p>
    <w:p>
      <w:pPr>
        <w:pStyle w:val="Standard"/>
        <w:shd w:val="clear" w:color="auto" w:fill="FFFFFF" w:themeFill="background1"/>
        <w:ind w:left="567" w:hanging="0"/>
        <w:rPr>
          <w:rFonts w:ascii="Noto Sans" w:hAnsi="Noto Sans" w:cs="Noto Sans"/>
          <w:lang w:val="ca-ES"/>
        </w:rPr>
      </w:pPr>
      <w:r>
        <w:rPr>
          <w:rFonts w:cs="Noto Sans" w:ascii="Noto Sans" w:hAnsi="Noto Sans"/>
          <w:lang w:val="ca-ES"/>
        </w:rPr>
        <w:t>Les empreses d’inserció han d’estar inscrites en el Registre de cooperatives, societats laborals i empreses d’inserció de les Illes Balears i han de disposar de la qualificació d’empresa d’inserció.</w:t>
      </w:r>
    </w:p>
    <w:p>
      <w:pPr>
        <w:pStyle w:val="Standard"/>
        <w:shd w:val="clear" w:color="auto" w:fill="FFFFFF" w:themeFill="background1"/>
        <w:ind w:left="567" w:hanging="0"/>
        <w:rPr>
          <w:rFonts w:ascii="Noto Sans" w:hAnsi="Noto Sans" w:cs="Noto Sans"/>
          <w:lang w:val="ca-ES"/>
        </w:rPr>
      </w:pPr>
      <w:r>
        <w:rPr>
          <w:rFonts w:cs="Noto Sans" w:ascii="Noto Sans" w:hAnsi="Noto Sans"/>
          <w:lang w:val="ca-ES"/>
        </w:rPr>
      </w:r>
    </w:p>
    <w:p>
      <w:pPr>
        <w:pStyle w:val="Standard"/>
        <w:shd w:val="clear" w:color="auto" w:fill="FFFFFF" w:themeFill="background1"/>
        <w:ind w:firstLine="567"/>
        <w:rPr>
          <w:rStyle w:val="Lletraperdefectedelpargraf1"/>
          <w:rFonts w:ascii="Noto Sans" w:hAnsi="Noto Sans" w:cs="Noto Sans"/>
          <w:lang w:val="ca-ES"/>
        </w:rPr>
      </w:pPr>
      <w:r>
        <w:rPr>
          <w:rStyle w:val="Lletraperdefectedelpargraf1"/>
          <w:rFonts w:cs="Noto Sans" w:ascii="Noto Sans" w:hAnsi="Noto Sans"/>
          <w:i/>
          <w:iCs/>
          <w:lang w:val="ca-ES"/>
        </w:rPr>
        <w:t>b)</w:t>
      </w:r>
      <w:r>
        <w:rPr>
          <w:rStyle w:val="Lletraperdefectedelpargraf1"/>
          <w:rFonts w:cs="Noto Sans" w:ascii="Noto Sans" w:hAnsi="Noto Sans"/>
          <w:lang w:val="ca-ES"/>
        </w:rPr>
        <w:t xml:space="preserve"> Pel que fa al Programa II: </w:t>
      </w:r>
    </w:p>
    <w:p>
      <w:pPr>
        <w:pStyle w:val="Standard"/>
        <w:shd w:val="clear" w:color="auto" w:fill="FFFFFF" w:themeFill="background1"/>
        <w:ind w:left="72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851" w:hanging="0"/>
        <w:rPr>
          <w:rStyle w:val="Lletraperdefectedelpargraf1"/>
          <w:rFonts w:ascii="Noto Sans" w:hAnsi="Noto Sans" w:cs="Noto Sans"/>
          <w:lang w:val="ca-ES"/>
        </w:rPr>
      </w:pPr>
      <w:r>
        <w:rPr>
          <w:rStyle w:val="Lletraperdefectedelpargraf1"/>
          <w:rFonts w:cs="Noto Sans" w:ascii="Noto Sans" w:hAnsi="Noto Sans"/>
          <w:lang w:val="ca-ES"/>
        </w:rPr>
        <w:t>1r</w:t>
      </w:r>
      <w:r>
        <w:rPr>
          <w:rStyle w:val="Lletraperdefectedelpargraf1"/>
          <w:rFonts w:cs="Noto Sans" w:ascii="Noto Sans" w:hAnsi="Noto Sans"/>
          <w:i/>
          <w:iCs/>
          <w:lang w:val="ca-ES"/>
        </w:rPr>
        <w:t>.</w:t>
      </w:r>
      <w:r>
        <w:rPr>
          <w:rStyle w:val="Lletraperdefectedelpargraf1"/>
          <w:rFonts w:cs="Noto Sans" w:ascii="Noto Sans" w:hAnsi="Noto Sans"/>
          <w:lang w:val="ca-ES"/>
        </w:rPr>
        <w:t xml:space="preserve"> Qualsevol persona jurídica, pública o privada, que realitzi activitats de neteja i recuperació d'ecosistemes, gestió sostenible de residus o, en general, que dugui a terme iniciatives de conservació ambiental i economia circular, excepte les empreses d’inserció previstes pel Programa I.</w:t>
      </w:r>
    </w:p>
    <w:p>
      <w:pPr>
        <w:pStyle w:val="Standard"/>
        <w:shd w:val="clear" w:color="auto" w:fill="FFFFFF" w:themeFill="background1"/>
        <w:ind w:left="851" w:hanging="0"/>
        <w:rPr>
          <w:rStyle w:val="Lletraperdefectedelpargraf1"/>
          <w:rFonts w:ascii="Noto Sans" w:hAnsi="Noto Sans" w:cs="Noto Sans"/>
          <w:lang w:val="ca-ES"/>
        </w:rPr>
      </w:pPr>
      <w:r>
        <w:rPr>
          <w:rStyle w:val="Lletraperdefectedelpargraf1"/>
          <w:rFonts w:cs="Noto Sans" w:ascii="Noto Sans" w:hAnsi="Noto Sans"/>
          <w:lang w:val="ca-ES"/>
        </w:rPr>
        <w:t>2n</w:t>
      </w:r>
      <w:r>
        <w:rPr>
          <w:rStyle w:val="Lletraperdefectedelpargraf1"/>
          <w:rFonts w:cs="Noto Sans" w:ascii="Noto Sans" w:hAnsi="Noto Sans"/>
          <w:i/>
          <w:iCs/>
          <w:lang w:val="ca-ES"/>
        </w:rPr>
        <w:t>.</w:t>
      </w:r>
      <w:r>
        <w:rPr>
          <w:rStyle w:val="Lletraperdefectedelpargraf1"/>
          <w:rFonts w:cs="Noto Sans" w:ascii="Noto Sans" w:hAnsi="Noto Sans"/>
          <w:lang w:val="ca-ES"/>
        </w:rPr>
        <w:t xml:space="preserve"> Qualsevol persona física o jurídica de naturalesa privada que sigui explotadora o propietària d'establiments destinats a l'activitat de les empreses turístiques d'allotjament, empreses turisticoresidencials, empreses comercialitzadores d'estades turístiques a habitatges, empreses turístiques de restauració o empreses que tenen per objecte l'activitat d'intermediació turística segons les definicions de la Llei 8/2012, així com també les esmentades en la disposició addicional vuitena d'aquesta Llei. </w:t>
      </w:r>
    </w:p>
    <w:p>
      <w:pPr>
        <w:pStyle w:val="Standard"/>
        <w:shd w:val="clear" w:color="auto" w:fill="FFFFFF" w:themeFill="background1"/>
        <w:ind w:left="851" w:hanging="0"/>
        <w:rPr>
          <w:rStyle w:val="Lletraperdefectedelpargraf1"/>
          <w:rFonts w:ascii="Noto Sans" w:hAnsi="Noto Sans" w:cs="Noto Sans"/>
          <w:lang w:val="ca-ES"/>
        </w:rPr>
      </w:pPr>
      <w:r>
        <w:rPr>
          <w:rStyle w:val="Lletraperdefectedelpargraf1"/>
          <w:rFonts w:cs="Noto Sans" w:ascii="Noto Sans" w:hAnsi="Noto Sans"/>
          <w:lang w:val="ca-ES"/>
        </w:rPr>
        <w:t>Les persones propietàries dels establiments esmentats en el punt anterior han d’acreditar, per qualsevol mitjà admès en dret, l'existència d'un acord amb la persona explotadora de l’establiment que autoritzi dur a terme les actuacions objecte d'aquesta convocatòria.</w:t>
      </w:r>
    </w:p>
    <w:p>
      <w:pPr>
        <w:pStyle w:val="Standard"/>
        <w:shd w:val="clear" w:color="auto" w:fill="FFFFFF" w:themeFill="background1"/>
        <w:ind w:left="851" w:hanging="0"/>
        <w:rPr>
          <w:rStyle w:val="Lletraperdefectedelpargraf1"/>
          <w:rFonts w:ascii="Noto Sans" w:hAnsi="Noto Sans" w:cs="Noto Sans"/>
          <w:lang w:val="ca-ES"/>
        </w:rPr>
      </w:pPr>
      <w:r>
        <w:rPr>
          <w:rStyle w:val="Lletraperdefectedelpargraf1"/>
          <w:rFonts w:cs="Noto Sans" w:ascii="Noto Sans" w:hAnsi="Noto Sans"/>
          <w:lang w:val="ca-ES"/>
        </w:rPr>
        <w:t>Per a un mateix establiment només es pot presentar una sol·licitud, sigui de la persona explotadora o de la propietària.</w:t>
      </w:r>
    </w:p>
    <w:p>
      <w:pPr>
        <w:pStyle w:val="Standard"/>
        <w:shd w:val="clear" w:color="auto" w:fill="FFFFFF" w:themeFill="background1"/>
        <w:ind w:left="851" w:hanging="0"/>
        <w:rPr>
          <w:rStyle w:val="Lletraperdefectedelpargraf1"/>
          <w:rFonts w:ascii="Noto Sans" w:hAnsi="Noto Sans" w:cs="Noto Sans"/>
          <w:lang w:val="ca-ES"/>
        </w:rPr>
      </w:pPr>
      <w:r>
        <w:rPr>
          <w:rStyle w:val="Lletraperdefectedelpargraf1"/>
          <w:rFonts w:cs="Noto Sans" w:ascii="Noto Sans" w:hAnsi="Noto Sans"/>
          <w:lang w:val="ca-ES"/>
        </w:rPr>
        <w:t>La persona sol·licitant de la subvenció, sigui propietària o explotadora de l’establiment, ha d'estar inscrita en el registre insular d'empreses, activitats i establiments turístics de les Illes Balears que li correspongui.</w:t>
      </w:r>
    </w:p>
    <w:p>
      <w:pPr>
        <w:pStyle w:val="Standard"/>
        <w:shd w:val="clear" w:color="auto" w:fill="FFFFFF" w:themeFill="background1"/>
        <w:ind w:left="72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2"/>
        <w:rPr>
          <w:rFonts w:ascii="Noto Sans" w:hAnsi="Noto Sans" w:cs="Noto Sans"/>
          <w:b/>
          <w:b/>
          <w:bCs/>
          <w:lang w:val="ca-ES"/>
        </w:rPr>
      </w:pPr>
      <w:r>
        <w:rPr>
          <w:rFonts w:cs="Noto Sans" w:ascii="Noto Sans" w:hAnsi="Noto Sans"/>
          <w:b/>
          <w:bCs/>
          <w:lang w:val="ca-ES"/>
        </w:rPr>
        <w:t>Article 4</w:t>
      </w:r>
    </w:p>
    <w:p>
      <w:pPr>
        <w:pStyle w:val="Standard"/>
        <w:shd w:val="clear" w:color="auto" w:fill="FFFFFF" w:themeFill="background1"/>
        <w:spacing w:lineRule="auto" w:line="252"/>
        <w:rPr>
          <w:rFonts w:ascii="Noto Sans" w:hAnsi="Noto Sans" w:cs="Noto Sans"/>
          <w:b/>
          <w:b/>
          <w:bCs/>
          <w:lang w:val="ca-ES"/>
        </w:rPr>
      </w:pPr>
      <w:r>
        <w:rPr>
          <w:rFonts w:cs="Noto Sans" w:ascii="Noto Sans" w:hAnsi="Noto Sans"/>
          <w:b/>
          <w:bCs/>
          <w:lang w:val="ca-ES"/>
        </w:rPr>
        <w:t>Requisits per ser persones beneficiàries</w:t>
      </w:r>
    </w:p>
    <w:p>
      <w:pPr>
        <w:pStyle w:val="Normal"/>
        <w:shd w:val="clear" w:color="auto" w:fill="FFFFFF" w:themeFill="background1"/>
        <w:rPr>
          <w:rStyle w:val="Lletraperdefectedelpargraf1"/>
          <w:rFonts w:ascii="Noto Sans" w:hAnsi="Noto Sans" w:cs="Noto Sans"/>
        </w:rPr>
      </w:pPr>
      <w:r>
        <w:rPr>
          <w:rFonts w:cs="Noto Sans" w:ascii="Noto Sans" w:hAnsi="Noto Sans"/>
        </w:rPr>
      </w:r>
    </w:p>
    <w:p>
      <w:pPr>
        <w:pStyle w:val="ListParagraph"/>
        <w:numPr>
          <w:ilvl w:val="0"/>
          <w:numId w:val="23"/>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Quan les sol·licitants de les ajudes siguin persones físiques, han de posseir la nacionalitat espanyola o la d'algun dels estats membres de la Unió Europea o de l'espai econòmic europeu, o Suïssa. En el cas de persones estrangeres no comunitàries, han de tenir el seu domicili fiscal i centre operatiu permanent a Espanya i mantenir-lo almenys durant el període de prestació de les activitats objecte de subvenció. </w:t>
      </w:r>
    </w:p>
    <w:p>
      <w:pPr>
        <w:pStyle w:val="ListParagraph"/>
        <w:shd w:val="clear" w:color="auto" w:fill="FFFFFF" w:themeFill="background1"/>
        <w:ind w:left="0" w:hanging="0"/>
        <w:rPr>
          <w:rStyle w:val="Lletraperdefectedelpargraf1"/>
          <w:rFonts w:ascii="Noto Sans" w:hAnsi="Noto Sans" w:cs="Noto Sans"/>
        </w:rPr>
      </w:pPr>
      <w:r>
        <w:rPr>
          <w:rFonts w:cs="Noto Sans" w:ascii="Noto Sans" w:hAnsi="Noto Sans"/>
        </w:rPr>
      </w:r>
    </w:p>
    <w:p>
      <w:pPr>
        <w:pStyle w:val="ListParagraph"/>
        <w:numPr>
          <w:ilvl w:val="0"/>
          <w:numId w:val="23"/>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Quan les sol·licitants siguin persones jurídiques, han d'acreditar que es troben degudament constituïdes conforme a la normativa que els resulti d'aplicació.</w:t>
      </w:r>
    </w:p>
    <w:p>
      <w:pPr>
        <w:pStyle w:val="ListParagraph"/>
        <w:shd w:val="clear" w:color="auto" w:fill="FFFFFF" w:themeFill="background1"/>
        <w:ind w:left="0" w:hanging="0"/>
        <w:rPr>
          <w:rStyle w:val="Lletraperdefectedelpargraf1"/>
          <w:rFonts w:ascii="Noto Sans" w:hAnsi="Noto Sans" w:cs="Noto Sans"/>
        </w:rPr>
      </w:pPr>
      <w:r>
        <w:rPr>
          <w:rFonts w:cs="Noto Sans" w:ascii="Noto Sans" w:hAnsi="Noto Sans"/>
        </w:rPr>
      </w:r>
    </w:p>
    <w:p>
      <w:pPr>
        <w:pStyle w:val="ListParagraph"/>
        <w:numPr>
          <w:ilvl w:val="0"/>
          <w:numId w:val="23"/>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No poden obtenir la condició de persones beneficiàries d'aquestes ajudes: </w:t>
      </w:r>
    </w:p>
    <w:p>
      <w:pPr>
        <w:pStyle w:val="ListParagraph"/>
        <w:shd w:val="clear" w:color="auto" w:fill="FFFFFF" w:themeFill="background1"/>
        <w:ind w:left="360" w:hanging="0"/>
        <w:rPr>
          <w:rStyle w:val="Lletraperdefectedelpargraf1"/>
          <w:rFonts w:ascii="Noto Sans" w:hAnsi="Noto Sans" w:cs="Noto Sans"/>
        </w:rPr>
      </w:pPr>
      <w:r>
        <w:rPr>
          <w:rFonts w:cs="Noto Sans" w:ascii="Noto Sans" w:hAnsi="Noto Sans"/>
        </w:rPr>
      </w:r>
    </w:p>
    <w:p>
      <w:pPr>
        <w:pStyle w:val="ListParagraph"/>
        <w:numPr>
          <w:ilvl w:val="0"/>
          <w:numId w:val="24"/>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Aquelles que no compleixin alguna de les circumstàncies previstes en l'article 21 del Reglament de la Llei general de subvencions, aprovat pel Reial decret 887/2006, amb relació a trobar-se al corrent en el pagament d'obligacions per reintegrament de subvencions.</w:t>
      </w:r>
    </w:p>
    <w:p>
      <w:pPr>
        <w:pStyle w:val="ListParagraph"/>
        <w:numPr>
          <w:ilvl w:val="0"/>
          <w:numId w:val="24"/>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 xml:space="preserve">Aquelles que no es trobin al corrent en el compliment de les seves obligacions tributàries i amb la Seguretat Social, així com de la resta d'obligacions establertes en l'article 13 de la Llei 38/2003 i en l'article 10 del Text refós de la Llei de subvencions aprovat pel Decret legislatiu 2/2005. </w:t>
      </w:r>
    </w:p>
    <w:p>
      <w:pPr>
        <w:pStyle w:val="ListParagraph"/>
        <w:numPr>
          <w:ilvl w:val="0"/>
          <w:numId w:val="24"/>
        </w:numPr>
        <w:shd w:val="clear" w:color="auto" w:fill="FFFFFF" w:themeFill="background1"/>
        <w:rPr>
          <w:rFonts w:ascii="Noto Sans" w:hAnsi="Noto Sans" w:cs="Noto Sans"/>
        </w:rPr>
      </w:pPr>
      <w:r>
        <w:rPr>
          <w:rFonts w:cs="Noto Sans" w:ascii="Noto Sans" w:hAnsi="Noto Sans"/>
        </w:rPr>
        <w:t>Les empreses que es trobin en situació de crisi, d'acord amb la definició que a aquest efecte es fa en el Reglament UE 651/2014, de 17 de juny de 2014, i en les directrius comunitàries sobre ajudes estatals de salvament i reestructuració d'empreses no financeres en crisi (Comunicació de la Comissió 2014/C 249/1, de 31 de juliol de 2014).</w:t>
      </w:r>
    </w:p>
    <w:p>
      <w:pPr>
        <w:pStyle w:val="ListParagraph"/>
        <w:numPr>
          <w:ilvl w:val="0"/>
          <w:numId w:val="24"/>
        </w:numPr>
        <w:shd w:val="clear" w:color="auto" w:fill="FFFFFF" w:themeFill="background1"/>
        <w:rPr>
          <w:rStyle w:val="Lletraperdefectedelpargraf1"/>
          <w:rFonts w:ascii="Noto Sans" w:hAnsi="Noto Sans" w:cs="Noto Sans"/>
        </w:rPr>
      </w:pPr>
      <w:r>
        <w:rPr>
          <w:rStyle w:val="Lletraperdefectedelpargraf1"/>
          <w:rFonts w:cs="Noto Sans" w:ascii="Noto Sans" w:hAnsi="Noto Sans"/>
        </w:rPr>
        <w:t>Les empreses que es trobin subjectes a una ordre de recuperació pendent després d'una decisió prèvia de la Comissió sobre qualsevol ajuda o subvenció que els hagi estat atorgada amb anterioritat, bé per haver-se declarat ajuda il·legal i incompatible amb el mercat interior, bé per qualsevol tipus d'incompliment de les obligacions que els hagin atribuït en la concessió.</w:t>
      </w:r>
    </w:p>
    <w:p>
      <w:pPr>
        <w:pStyle w:val="ListParagraph"/>
        <w:numPr>
          <w:ilvl w:val="0"/>
          <w:numId w:val="24"/>
        </w:numPr>
        <w:shd w:val="clear" w:color="auto" w:fill="FFFFFF" w:themeFill="background1"/>
        <w:rPr>
          <w:rFonts w:ascii="Noto Sans" w:hAnsi="Noto Sans" w:cs="Noto Sans"/>
        </w:rPr>
      </w:pPr>
      <w:r>
        <w:rPr>
          <w:rFonts w:cs="Noto Sans" w:ascii="Noto Sans" w:hAnsi="Noto Sans"/>
        </w:rPr>
        <w:t>Les que no es trobin al corrent del pagament de les obligacions de reemborsament de qualsevol préstec o bestreta anteriorment concedits amb càrrec als pressuposts generals de l'Estat.</w:t>
      </w:r>
    </w:p>
    <w:p>
      <w:pPr>
        <w:pStyle w:val="ListParagraph"/>
        <w:numPr>
          <w:ilvl w:val="0"/>
          <w:numId w:val="24"/>
        </w:numPr>
        <w:shd w:val="clear" w:color="auto" w:fill="FFFFFF" w:themeFill="background1"/>
        <w:spacing w:lineRule="auto" w:line="259"/>
        <w:rPr>
          <w:rStyle w:val="Lletraperdefectedelpargraf1"/>
          <w:rFonts w:ascii="Noto Sans" w:hAnsi="Noto Sans" w:cs="Noto Sans"/>
        </w:rPr>
      </w:pPr>
      <w:r>
        <w:rPr>
          <w:rStyle w:val="Lletraperdefectedelpargraf1"/>
          <w:rFonts w:cs="Noto Sans" w:ascii="Noto Sans" w:hAnsi="Noto Sans"/>
        </w:rPr>
        <w:t>Les que hagin estat objecte de sancions administratives fermes o de sentències condemnatòries fermes en els darrers tres anys per haver exercit o tolerat pràctiques laborals considerades discriminatòries per raó de sexe o de gènere, d'acord amb el que estableix l'article 11 de la Llei autonòmica 11/2016, de 28 de juliol, d'igualtat de dones i homes.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5</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Obligació de les persones beneficiàries</w:t>
      </w:r>
    </w:p>
    <w:p>
      <w:pPr>
        <w:pStyle w:val="Standard"/>
        <w:shd w:val="clear" w:color="auto" w:fill="FFFFFF" w:themeFill="background1"/>
        <w:rPr>
          <w:rStyle w:val="Lletraperdefectedelpargraf1"/>
          <w:rFonts w:ascii="Noto Sans" w:hAnsi="Noto Sans" w:cs="Noto Sans"/>
          <w:lang w:val="ca-ES"/>
        </w:rPr>
      </w:pPr>
      <w:r>
        <w:rPr>
          <w:rFonts w:cs="Noto Sans" w:ascii="Noto Sans" w:hAnsi="Noto Sans"/>
          <w:lang w:val="ca-ES"/>
        </w:rPr>
      </w:r>
    </w:p>
    <w:p>
      <w:pPr>
        <w:pStyle w:val="Standard"/>
        <w:numPr>
          <w:ilvl w:val="0"/>
          <w:numId w:val="21"/>
        </w:numPr>
        <w:shd w:val="clear" w:color="auto" w:fill="FFFFFF" w:themeFill="background1"/>
        <w:rPr>
          <w:rFonts w:ascii="Noto Sans" w:hAnsi="Noto Sans" w:cs="Noto Sans"/>
          <w:lang w:val="ca-ES"/>
        </w:rPr>
      </w:pPr>
      <w:r>
        <w:rPr>
          <w:rFonts w:cs="Noto Sans" w:ascii="Noto Sans" w:hAnsi="Noto Sans"/>
          <w:lang w:val="ca-ES"/>
        </w:rPr>
        <w:t>Les entitats beneficiàries han de complir les obligacions generals que s’estableixen en els articles 14 de la Llei 38/2003 i 11 del Decret legislatiu 2/2005, i també les que preveu l’Ordre de 20 de juny de 2005.</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1"/>
        </w:numPr>
        <w:shd w:val="clear" w:color="auto" w:fill="FFFFFF" w:themeFill="background1"/>
        <w:rPr>
          <w:rFonts w:ascii="Noto Sans" w:hAnsi="Noto Sans" w:cs="Noto Sans"/>
          <w:lang w:val="ca-ES"/>
        </w:rPr>
      </w:pPr>
      <w:r>
        <w:rPr>
          <w:rFonts w:cs="Noto Sans" w:ascii="Noto Sans" w:hAnsi="Noto Sans"/>
          <w:lang w:val="ca-ES"/>
        </w:rPr>
        <w:t>En tots els casos, són obligacions de les entitats beneficiàries: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Sol·licitar les autoritzacions i els permisos necessaris per poder executar les actuacions finançades.</w:t>
      </w:r>
    </w:p>
    <w:p>
      <w:pPr>
        <w:pStyle w:val="Standard"/>
        <w:numPr>
          <w:ilvl w:val="0"/>
          <w:numId w:val="26"/>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Dur a terme l’actuació que fonamenta la concessió de la subvenció i justificar davant l’entitat atorgant el compliment dels requisits i de les condicions, així com la realització de l'actuació i el compliment de la finalitat que determinin la concessió de la subvenció.</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Dur a terme les actuacions d'informació i publicitat que s'estableixin en la convocatòria i en la normativa estatal i comunitària en matèria de fons Next Generation.</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Comunicar immediatament a l’AETIB qualsevol variació de les condicions o circumstàncies assenyalades en la sol·licitud o en la resolució de concessió, amb les conseqüències que en cada cas corresponguin, sense perjudici que també es puguin incorporar d'ofici a l'expedient.</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Comunicar a l’AETIB l'obtenció d'altres ajudes o subvencions que tenguin per objecte finançar la mateixa actuació.</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Respectar el principi DNSH i la normativa comunitària i nacional, especialment el Reglament (UE) 2021/241; el Reglament (UE) 2020/852 (Reglament de taxonomia), i la Guia tècnica de la Comissió Europea 2021/C 58/01 sobre l'aplicació d'aquest principi.</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Permetre l'accés per exercir les seves competències a la Comissió Europea, a l'Oficina Europea de Lluita contra el Frau (OLAF), al Tribunal de Comptes de la Unió Europea i, si escau, a la Fiscalia Europea, tal com preveuen l'article 22 del Reglament (UE) 2021/241 i l'article 129.1 del Reglament financer 2018/1046. Així mateix, permetre l'accés a les autoritats nacionals i autonòmiques competents.</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Acceptar la cessió i el tractament de dades entre les administracions públiques implicades per donar compliment al que preveu la normativa europea d'aplicació, especialment per a tot el que fa referència a l'execució dels projectes del PRTR, de conformitat amb la Llei orgànica 3/2018, de 5 de desembre, de protecció de dades personals i garantia dels drets digitals, d'acord amb el model de l'annex IV.B de l'Ordre HFP 1030/2021, que s'incorpora en el formulari de la sol·licitud.</w:t>
      </w:r>
    </w:p>
    <w:p>
      <w:pPr>
        <w:pStyle w:val="Standard"/>
        <w:numPr>
          <w:ilvl w:val="0"/>
          <w:numId w:val="26"/>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Respectar les directives i els protocols que pugui establir l’AETIB relatius al desenvolupament de les activitats, sense perjudici que les entitats beneficiàries utilitzin metodologies pròpies supervisades i aprovades per l’AETIB.</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Complir la normativa aplicable en matèria de residus per al tractament dels residus que es puguin generar.</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Subscriure la declaració responsable relativa al compromís de compliment dels principis transversals establerts en el PRTR, d'acord amb el model de l'annex IV.C de l'Ordre HFP 1030/2021, que s'incorpora al formulari de la sol·licitud.</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Conservar els documents, de conformitat amb l'article 132 del Reglament financer 2018/1046. En concret, mantenir un registre i conservar els documents justificatius, les dades estadístiques i altra documentació concernent al finançament, així com els registres i documents en format electrònic, durant un període de cinc anys a partir del pagament de la subvenció. Aquest període ha de ser de tres anys si el finançament és d'import inferior o igual a 60.000 euros.</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Complir la normativa europea i nacional que resulti d'aplicació, en particular, amb les obligacions que es deriven del compliment del Reglament de l'MRR, la normativa reguladora de les ajudes d'estat i, igualment, la resta de normativa europea i nacional aplicable, especialment les mesures relatives a evitar frau, corrupció, conflicte d'interessos o doble finançament, en protecció dels interessos financers de la Unió.</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Complir les obligacions de control, verificació, seguiment i altres obligacions imposades per la normativa interna i de la Unió Europea.</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Aportar la informació sobre la titularitat real de la persona sol·licitant, en cas que sigui requerida per l'òrgan instructor. Aquesta informació, d'acord amb l'Ordre HFP/55/2023, s'ha d'aportar en el termini de cinc dies hàbils des que sigui requerida. La manca d'aportació d'aquesta informació constitueix un motiu d'exclusió de la sol·licitud.</w:t>
      </w:r>
    </w:p>
    <w:p>
      <w:pPr>
        <w:pStyle w:val="Standard"/>
        <w:numPr>
          <w:ilvl w:val="0"/>
          <w:numId w:val="26"/>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Si, per motiu de l'actuació, és necessari retirar aquells productes de construcció que continguin amiant, n’ha de realitzar la retirada una empresa legalment autoritzada, conforme al Reial decret 396/2006, de 31 de març, pel qual s'estableixen les disposicions mínimes de seguretat i salut aplicables als treballs amb el risc d'exposició a l'amiant. La gestió dels residus originats en el procés ha de fer-se conforme al que s'estableix en la Llei 22/2011 i en el Reial decret 105/2008, d'1 de febrer, pel qual es regula la producció i gestió dels residus de construcció i demolició.</w:t>
      </w:r>
    </w:p>
    <w:p>
      <w:pPr>
        <w:pStyle w:val="Standard"/>
        <w:numPr>
          <w:ilvl w:val="0"/>
          <w:numId w:val="26"/>
        </w:numPr>
        <w:shd w:val="clear" w:color="auto" w:fill="FFFFFF" w:themeFill="background1"/>
        <w:rPr>
          <w:rFonts w:ascii="Noto Sans" w:hAnsi="Noto Sans" w:cs="Noto Sans"/>
          <w:lang w:val="ca-ES"/>
        </w:rPr>
      </w:pPr>
      <w:r>
        <w:rPr>
          <w:rFonts w:cs="Noto Sans" w:ascii="Noto Sans" w:hAnsi="Noto Sans"/>
          <w:lang w:val="ca-ES"/>
        </w:rPr>
        <w:t>Presentar la justificació de la subvenció en les condicions establertes.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1"/>
        </w:numPr>
        <w:shd w:val="clear" w:color="auto" w:fill="FFFFFF" w:themeFill="background1"/>
        <w:rPr>
          <w:rFonts w:ascii="Noto Sans" w:hAnsi="Noto Sans" w:cs="Noto Sans"/>
          <w:lang w:val="ca-ES"/>
        </w:rPr>
      </w:pPr>
      <w:r>
        <w:rPr>
          <w:rFonts w:cs="Noto Sans" w:ascii="Noto Sans" w:hAnsi="Noto Sans"/>
          <w:lang w:val="ca-ES"/>
        </w:rPr>
        <w:t>Les entitats beneficiàries han de destinar l’import íntegre de l’ajuda al pagament de les actuacions subvencionables corresponents.</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21"/>
        </w:numPr>
        <w:shd w:val="clear" w:color="auto" w:fill="FFFFFF" w:themeFill="background1"/>
        <w:rPr>
          <w:rFonts w:ascii="Noto Sans" w:hAnsi="Noto Sans" w:cs="Noto Sans"/>
          <w:lang w:val="ca-ES"/>
        </w:rPr>
      </w:pPr>
      <w:r>
        <w:rPr>
          <w:rFonts w:cs="Noto Sans" w:ascii="Noto Sans" w:hAnsi="Noto Sans"/>
          <w:lang w:val="ca-ES"/>
        </w:rPr>
        <w:t>Atès que els projectes subvencionables poden contenir béns inventariables, el període durant el qual la persona beneficiària ha de destinar els béns a la finalitat concreta per a la qual es concedeix la subvenció no pot ser inferior als cinc anys, en el cas dels béns que es puguin inscriure en un registre públic, ni als dos anys, per a la resta dels béns.</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21"/>
        </w:numPr>
        <w:shd w:val="clear" w:color="auto" w:fill="FFFFFF" w:themeFill="background1"/>
        <w:rPr>
          <w:rFonts w:ascii="Noto Sans" w:hAnsi="Noto Sans" w:cs="Noto Sans"/>
          <w:lang w:val="ca-ES"/>
        </w:rPr>
      </w:pPr>
      <w:r>
        <w:rPr>
          <w:rFonts w:cs="Noto Sans" w:ascii="Noto Sans" w:hAnsi="Noto Sans"/>
          <w:lang w:val="ca-ES"/>
        </w:rPr>
        <w:t>Per a subvencions d’un import superior als 30.000 euros, les persones físiques i jurídiques distintes de les entitats de dret públic, amb ànim de lucre, han d’acreditar que compleixen els terminis de pagament de la Llei 3/2004, de 29 de desembre, per la qual s’estableixen mesures de lluita contra la morositat en les operacions comercials. S’ha d’acreditar que es compleix aquest requisit en el moment de la presentació de la sol·licitud i amb la documentació que s’estableix en l’article 14 d’aquesta convocatòria.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6</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Actuacions subvencionables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8"/>
        </w:numPr>
        <w:shd w:val="clear" w:color="auto" w:fill="FFFFFF" w:themeFill="background1"/>
        <w:rPr>
          <w:rFonts w:ascii="Noto Sans" w:hAnsi="Noto Sans" w:cs="Noto Sans"/>
          <w:lang w:val="ca-ES"/>
        </w:rPr>
      </w:pPr>
      <w:r>
        <w:rPr>
          <w:rFonts w:cs="Noto Sans" w:ascii="Noto Sans" w:hAnsi="Noto Sans"/>
          <w:lang w:val="ca-ES"/>
        </w:rPr>
        <w:t>Les actuacions subvencionables són les següents en funció dels diferents programes: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7"/>
        </w:numPr>
        <w:shd w:val="clear" w:color="auto" w:fill="FFFFFF" w:themeFill="background1"/>
        <w:ind w:left="709" w:hanging="283"/>
        <w:rPr>
          <w:rFonts w:ascii="Noto Sans" w:hAnsi="Noto Sans" w:cs="Noto Sans"/>
          <w:lang w:val="ca-ES"/>
        </w:rPr>
      </w:pPr>
      <w:r>
        <w:rPr>
          <w:rFonts w:cs="Noto Sans" w:ascii="Noto Sans" w:hAnsi="Noto Sans"/>
          <w:lang w:val="ca-ES"/>
        </w:rPr>
        <w:t>Programa I: projectes de reciclatge de l’aigua, l’energia, els objectes, els material o els residus d’establiments turístics de les Illes Balears per a  reutilització.</w:t>
      </w:r>
    </w:p>
    <w:p>
      <w:pPr>
        <w:pStyle w:val="Standard"/>
        <w:numPr>
          <w:ilvl w:val="0"/>
          <w:numId w:val="27"/>
        </w:numPr>
        <w:shd w:val="clear" w:color="auto" w:fill="FFFFFF" w:themeFill="background1"/>
        <w:ind w:left="709" w:hanging="283"/>
        <w:rPr>
          <w:rFonts w:ascii="Noto Sans" w:hAnsi="Noto Sans" w:cs="Noto Sans"/>
          <w:lang w:val="ca-ES"/>
        </w:rPr>
      </w:pPr>
      <w:r>
        <w:rPr>
          <w:rFonts w:cs="Noto Sans" w:ascii="Noto Sans" w:hAnsi="Noto Sans"/>
          <w:lang w:val="ca-ES"/>
        </w:rPr>
        <w:t>Programa II: projectes de conservació ambiental i economia circular vinculades al sector turístic al territori de les Illes Balears que tenguin un pressupost d’execució de com a mínim 50.000 euros.</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r>
    </w:p>
    <w:p>
      <w:pPr>
        <w:pStyle w:val="Standard"/>
        <w:numPr>
          <w:ilvl w:val="0"/>
          <w:numId w:val="18"/>
        </w:numPr>
        <w:shd w:val="clear" w:color="auto" w:fill="FFFFFF" w:themeFill="background1"/>
        <w:rPr>
          <w:rFonts w:ascii="Noto Sans" w:hAnsi="Noto Sans" w:cs="Noto Sans"/>
          <w:lang w:val="ca-ES"/>
        </w:rPr>
      </w:pPr>
      <w:r>
        <w:rPr>
          <w:rFonts w:cs="Noto Sans" w:ascii="Noto Sans" w:hAnsi="Noto Sans"/>
          <w:lang w:val="ca-ES"/>
        </w:rPr>
        <w:t>L'actuació subvencionable ha de ser la que s'hagi realitzat durant el període comprès des de l’1 de gener de 2025 fins al darrer dia del termini d'ex</w:t>
      </w:r>
      <w:r>
        <w:rPr>
          <w:rFonts w:cs="Noto Sans" w:ascii="Noto Sans" w:hAnsi="Noto Sans"/>
          <w:color w:val="000000" w:themeColor="text1"/>
          <w:lang w:val="ca-ES"/>
        </w:rPr>
        <w:t>ecució, el 31 de març de 2026.</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7</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Despeses subvencionables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7"/>
        </w:numPr>
        <w:shd w:val="clear" w:color="auto" w:fill="FFFFFF" w:themeFill="background1"/>
        <w:spacing w:lineRule="auto" w:line="259"/>
        <w:rPr>
          <w:rFonts w:ascii="Noto Sans" w:hAnsi="Noto Sans" w:cs="Noto Sans"/>
          <w:lang w:val="ca-ES"/>
        </w:rPr>
      </w:pPr>
      <w:r>
        <w:rPr>
          <w:rFonts w:cs="Noto Sans" w:ascii="Noto Sans" w:hAnsi="Noto Sans"/>
          <w:lang w:val="ca-ES"/>
        </w:rPr>
        <w:t>Es consideren despeses subvencionables d'ambdós programes les que de manera inequívoca responguin a la naturalesa de l’actuació subvencionable; resultin estrictament necessàries per a aquesta; es realitzin en el termini d’execució i en les condicions previstes en la convocatòria i la normativa que resulti d’aplicació;  s’hagin pagat abans de finalitzar el període de justificació, i, específicament, les que es relacionen a continuació:</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8"/>
        </w:numPr>
        <w:shd w:val="clear" w:color="auto" w:fill="FFFFFF" w:themeFill="background1"/>
        <w:ind w:left="709" w:hanging="283"/>
        <w:rPr>
          <w:rFonts w:ascii="Noto Sans" w:hAnsi="Noto Sans" w:cs="Noto Sans"/>
          <w:lang w:val="ca-ES"/>
        </w:rPr>
      </w:pPr>
      <w:r>
        <w:rPr>
          <w:rFonts w:cs="Noto Sans" w:ascii="Noto Sans" w:hAnsi="Noto Sans"/>
          <w:lang w:val="ca-ES"/>
        </w:rPr>
        <w:t xml:space="preserve">Els costs de personal, en la mesura en què estiguin dedicats únicament al projecte i durant el període d’execució de la convocatòria. </w:t>
      </w:r>
    </w:p>
    <w:p>
      <w:pPr>
        <w:pStyle w:val="Standard"/>
        <w:numPr>
          <w:ilvl w:val="0"/>
          <w:numId w:val="28"/>
        </w:numPr>
        <w:shd w:val="clear" w:color="auto" w:fill="FFFFFF" w:themeFill="background1"/>
        <w:ind w:left="709" w:hanging="283"/>
        <w:rPr>
          <w:rFonts w:ascii="Noto Sans" w:hAnsi="Noto Sans" w:cs="Noto Sans"/>
          <w:lang w:val="ca-ES"/>
        </w:rPr>
      </w:pPr>
      <w:r>
        <w:rPr>
          <w:rFonts w:cs="Noto Sans" w:ascii="Noto Sans" w:hAnsi="Noto Sans"/>
          <w:lang w:val="ca-ES"/>
        </w:rPr>
        <w:t>Els costs d’instrumental i material relatius a l’adquisició o l’arrendament de béns i materials específics necessaris per dur a terme el projecte. En els casos d’arrendament, només es poden imputar les despeses derivades d’aquest durant el període d’execució de la convocatòria.</w:t>
      </w:r>
    </w:p>
    <w:p>
      <w:pPr>
        <w:pStyle w:val="Standard"/>
        <w:numPr>
          <w:ilvl w:val="0"/>
          <w:numId w:val="28"/>
        </w:numPr>
        <w:shd w:val="clear" w:color="auto" w:fill="FFFFFF" w:themeFill="background1"/>
        <w:ind w:left="709" w:hanging="283"/>
        <w:rPr/>
      </w:pPr>
      <w:r>
        <w:rPr>
          <w:rFonts w:cs="Noto Sans" w:ascii="Noto Sans" w:hAnsi="Noto Sans"/>
          <w:lang w:val="ca-ES"/>
        </w:rPr>
        <w:t>Els costs d'arrendament d’immobles necessaris per dur a terme el projecte, així com els costs de l’adequació d’aquests. En el casos d’arrendament, només es poden imputar les despeses derivades d’aquest durant el període  d’execució de la convocatòria.</w:t>
      </w:r>
    </w:p>
    <w:p>
      <w:pPr>
        <w:pStyle w:val="Standard"/>
        <w:numPr>
          <w:ilvl w:val="0"/>
          <w:numId w:val="28"/>
        </w:numPr>
        <w:shd w:val="clear" w:color="auto" w:fill="FFFFFF" w:themeFill="background1"/>
        <w:ind w:left="709" w:hanging="283"/>
        <w:rPr>
          <w:rFonts w:ascii="Noto Sans" w:hAnsi="Noto Sans" w:cs="Noto Sans"/>
          <w:lang w:val="ca-ES"/>
        </w:rPr>
      </w:pPr>
      <w:r>
        <w:rPr>
          <w:rFonts w:cs="Noto Sans" w:ascii="Noto Sans" w:hAnsi="Noto Sans"/>
          <w:lang w:val="ca-ES"/>
        </w:rPr>
        <w:t>Elements de transport, únicament si són elèctrics i destinats al projecte objecte de la convocatòria.</w:t>
      </w:r>
    </w:p>
    <w:p>
      <w:pPr>
        <w:pStyle w:val="Standard"/>
        <w:numPr>
          <w:ilvl w:val="0"/>
          <w:numId w:val="28"/>
        </w:numPr>
        <w:shd w:val="clear" w:color="auto" w:fill="FFFFFF" w:themeFill="background1"/>
        <w:ind w:left="709" w:hanging="283"/>
        <w:rPr>
          <w:rFonts w:ascii="Noto Sans" w:hAnsi="Noto Sans" w:cs="Noto Sans"/>
          <w:lang w:val="ca-ES"/>
        </w:rPr>
      </w:pPr>
      <w:r>
        <w:rPr>
          <w:rFonts w:cs="Noto Sans" w:ascii="Noto Sans" w:hAnsi="Noto Sans"/>
          <w:lang w:val="ca-ES"/>
        </w:rPr>
        <w:t>En l’àmbit de la informàtica, els costs relatius a la compra o el lloguer de maquinària i programes de gestió de la informació; serveis de manteniment i suport tècnics, i xarxes i connexions. En els casos de lloguer, només es poden imputar les despeses d’aquest durant el període  d’execució de la convocatòria.</w:t>
      </w:r>
    </w:p>
    <w:p>
      <w:pPr>
        <w:pStyle w:val="Standard"/>
        <w:numPr>
          <w:ilvl w:val="0"/>
          <w:numId w:val="28"/>
        </w:numPr>
        <w:shd w:val="clear" w:color="auto" w:fill="FFFFFF" w:themeFill="background1"/>
        <w:ind w:left="709" w:hanging="283"/>
        <w:rPr>
          <w:rFonts w:ascii="Noto Sans" w:hAnsi="Noto Sans" w:cs="Noto Sans"/>
          <w:lang w:val="ca-ES"/>
        </w:rPr>
      </w:pPr>
      <w:r>
        <w:rPr>
          <w:rFonts w:cs="Noto Sans" w:ascii="Noto Sans" w:hAnsi="Noto Sans"/>
          <w:lang w:val="ca-ES"/>
        </w:rPr>
        <w:t>Els costs d’accions formatives específiques necessàries per a l’execució del projecte, inclosos cursos, tallers i sessions de capacitació per al personal, tant en modalitat presencial com en línia, i també els costs associats a materials didàctics, honoraris i costs de desplaçament dels formadors especialitzats, en la mesura en què estiguin dedicats al projecte, llevat de les dietes.</w:t>
      </w:r>
    </w:p>
    <w:p>
      <w:pPr>
        <w:pStyle w:val="Standard"/>
        <w:numPr>
          <w:ilvl w:val="0"/>
          <w:numId w:val="28"/>
        </w:numPr>
        <w:shd w:val="clear" w:color="auto" w:fill="FFFFFF" w:themeFill="background1"/>
        <w:spacing w:lineRule="auto" w:line="259"/>
        <w:ind w:left="709" w:hanging="283"/>
        <w:rPr>
          <w:rFonts w:ascii="Noto Sans" w:hAnsi="Noto Sans" w:cs="Noto Sans"/>
          <w:lang w:val="ca-ES"/>
        </w:rPr>
      </w:pPr>
      <w:r>
        <w:rPr>
          <w:rFonts w:cs="Noto Sans" w:ascii="Noto Sans" w:hAnsi="Noto Sans"/>
          <w:lang w:val="ca-ES"/>
        </w:rPr>
        <w:t>Les despeses generals, inclosos els costs de material, subministraments i productes similars, que es derivin directament del projecte.</w:t>
      </w:r>
    </w:p>
    <w:p>
      <w:pPr>
        <w:pStyle w:val="Standard"/>
        <w:shd w:val="clear" w:color="auto" w:fill="FFFFFF" w:themeFill="background1"/>
        <w:spacing w:lineRule="auto" w:line="259"/>
        <w:ind w:left="720" w:hanging="0"/>
        <w:rPr>
          <w:rFonts w:ascii="Noto Sans" w:hAnsi="Noto Sans" w:cs="Noto Sans"/>
          <w:lang w:val="ca-ES"/>
        </w:rPr>
      </w:pPr>
      <w:r>
        <w:rPr>
          <w:rFonts w:cs="Noto Sans" w:ascii="Noto Sans" w:hAnsi="Noto Sans"/>
          <w:lang w:val="ca-ES"/>
        </w:rPr>
      </w:r>
    </w:p>
    <w:p>
      <w:pPr>
        <w:pStyle w:val="Standard"/>
        <w:numPr>
          <w:ilvl w:val="0"/>
          <w:numId w:val="17"/>
        </w:numPr>
        <w:shd w:val="clear" w:color="auto" w:fill="FFFFFF" w:themeFill="background1"/>
        <w:rPr>
          <w:rFonts w:ascii="Noto Sans" w:hAnsi="Noto Sans" w:cs="Noto Sans"/>
          <w:lang w:val="ca-ES"/>
        </w:rPr>
      </w:pPr>
      <w:r>
        <w:rPr>
          <w:rFonts w:cs="Noto Sans" w:ascii="Noto Sans" w:hAnsi="Noto Sans"/>
          <w:lang w:val="ca-ES"/>
        </w:rPr>
        <w:t>No es consideren despeses subvencionables les englobades en els conceptes següents: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ind w:firstLine="360"/>
        <w:rPr>
          <w:rFonts w:ascii="Noto Sans" w:hAnsi="Noto Sans" w:cs="Noto Sans"/>
          <w:lang w:val="ca-ES"/>
        </w:rPr>
      </w:pPr>
      <w:r>
        <w:rPr>
          <w:rStyle w:val="Lletraperdefectedelpargraf1"/>
          <w:rFonts w:cs="Noto Sans" w:ascii="Noto Sans" w:hAnsi="Noto Sans"/>
          <w:i/>
          <w:iCs/>
          <w:lang w:val="ca-ES"/>
        </w:rPr>
        <w:t>a)</w:t>
      </w:r>
      <w:r>
        <w:rPr>
          <w:rStyle w:val="Lletraperdefectedelpargraf1"/>
          <w:rFonts w:cs="Noto Sans" w:ascii="Noto Sans" w:hAnsi="Noto Sans"/>
          <w:lang w:val="ca-ES"/>
        </w:rPr>
        <w:t xml:space="preserve"> Taxes, imposts o tributs.</w:t>
      </w:r>
    </w:p>
    <w:p>
      <w:pPr>
        <w:pStyle w:val="Standard"/>
        <w:shd w:val="clear" w:color="auto" w:fill="FFFFFF" w:themeFill="background1"/>
        <w:ind w:left="567" w:hanging="207"/>
        <w:rPr>
          <w:rFonts w:ascii="Noto Sans" w:hAnsi="Noto Sans" w:cs="Noto Sans"/>
          <w:lang w:val="ca-ES"/>
        </w:rPr>
      </w:pPr>
      <w:r>
        <w:rPr>
          <w:rFonts w:cs="Noto Sans" w:ascii="Noto Sans" w:hAnsi="Noto Sans"/>
          <w:i/>
          <w:iCs/>
          <w:lang w:val="ca-ES"/>
        </w:rPr>
        <w:t>b)</w:t>
      </w:r>
      <w:r>
        <w:rPr>
          <w:rFonts w:cs="Noto Sans" w:ascii="Noto Sans" w:hAnsi="Noto Sans"/>
          <w:lang w:val="ca-ES"/>
        </w:rPr>
        <w:t xml:space="preserve"> Autoritzacions administratives, llicències, permisos, costs d’avals o despeses financeres, multes i taxes. </w:t>
      </w:r>
    </w:p>
    <w:p>
      <w:pPr>
        <w:pStyle w:val="Standard"/>
        <w:shd w:val="clear" w:color="auto" w:fill="FFFFFF" w:themeFill="background1"/>
        <w:ind w:left="567" w:hanging="207"/>
        <w:rPr>
          <w:rFonts w:ascii="Noto Sans" w:hAnsi="Noto Sans" w:cs="Noto Sans"/>
          <w:lang w:val="ca-ES"/>
        </w:rPr>
      </w:pPr>
      <w:r>
        <w:rPr>
          <w:rFonts w:cs="Noto Sans" w:ascii="Noto Sans" w:hAnsi="Noto Sans"/>
          <w:i/>
          <w:iCs/>
          <w:lang w:val="ca-ES"/>
        </w:rPr>
        <w:t>c</w:t>
      </w:r>
      <w:r>
        <w:rPr>
          <w:rFonts w:cs="Noto Sans" w:ascii="Noto Sans" w:hAnsi="Noto Sans"/>
          <w:lang w:val="ca-ES"/>
        </w:rPr>
        <w:t>) Qualsevol despesa associada a gestions o tràmits administratius, fins i tot si són necessaris per obtenir permisos o llicències.</w:t>
      </w:r>
    </w:p>
    <w:p>
      <w:pPr>
        <w:pStyle w:val="Standard"/>
        <w:shd w:val="clear" w:color="auto" w:fill="FFFFFF" w:themeFill="background1"/>
        <w:ind w:firstLine="360"/>
        <w:rPr>
          <w:rFonts w:ascii="Noto Sans" w:hAnsi="Noto Sans" w:cs="Noto Sans"/>
          <w:lang w:val="ca-ES"/>
        </w:rPr>
      </w:pPr>
      <w:r>
        <w:rPr>
          <w:rFonts w:cs="Noto Sans" w:ascii="Noto Sans" w:hAnsi="Noto Sans"/>
          <w:i/>
          <w:iCs/>
          <w:lang w:val="ca-ES"/>
        </w:rPr>
        <w:t>d)</w:t>
      </w:r>
      <w:r>
        <w:rPr>
          <w:rFonts w:cs="Noto Sans" w:ascii="Noto Sans" w:hAnsi="Noto Sans"/>
          <w:lang w:val="ca-ES"/>
        </w:rPr>
        <w:t xml:space="preserve"> Les despeses recurrents o estructurals, en el cas d’entitats públiques. </w:t>
      </w:r>
    </w:p>
    <w:p>
      <w:pPr>
        <w:pStyle w:val="Standard"/>
        <w:shd w:val="clear" w:color="auto" w:fill="FFFFFF" w:themeFill="background1"/>
        <w:ind w:firstLine="360"/>
        <w:rPr>
          <w:rFonts w:ascii="Noto Sans" w:hAnsi="Noto Sans" w:cs="Noto Sans"/>
          <w:lang w:val="ca-ES"/>
        </w:rPr>
      </w:pPr>
      <w:r>
        <w:rPr>
          <w:rFonts w:cs="Noto Sans" w:ascii="Noto Sans" w:hAnsi="Noto Sans"/>
          <w:i/>
          <w:iCs/>
          <w:lang w:val="ca-ES"/>
        </w:rPr>
        <w:t>e)</w:t>
      </w:r>
      <w:r>
        <w:rPr>
          <w:rFonts w:cs="Noto Sans" w:ascii="Noto Sans" w:hAnsi="Noto Sans"/>
          <w:lang w:val="ca-ES"/>
        </w:rPr>
        <w:t xml:space="preserve"> Assegurances subscrites per la persona sol·licitant.</w:t>
      </w:r>
    </w:p>
    <w:p>
      <w:pPr>
        <w:pStyle w:val="Standard"/>
        <w:shd w:val="clear" w:color="auto" w:fill="FFFFFF" w:themeFill="background1"/>
        <w:ind w:left="567" w:hanging="207"/>
        <w:rPr>
          <w:rFonts w:ascii="Noto Sans" w:hAnsi="Noto Sans" w:cs="Noto Sans"/>
          <w:lang w:val="ca-ES"/>
        </w:rPr>
      </w:pPr>
      <w:r>
        <w:rPr>
          <w:rFonts w:cs="Noto Sans" w:ascii="Noto Sans" w:hAnsi="Noto Sans"/>
          <w:i/>
          <w:iCs/>
          <w:lang w:val="ca-ES"/>
        </w:rPr>
        <w:t>f)</w:t>
      </w:r>
      <w:r>
        <w:rPr>
          <w:rFonts w:cs="Noto Sans" w:ascii="Noto Sans" w:hAnsi="Noto Sans"/>
          <w:lang w:val="ca-ES"/>
        </w:rPr>
        <w:t xml:space="preserve"> Despeses associades a sancions penals i despeses de procediments judicials.</w:t>
      </w:r>
    </w:p>
    <w:p>
      <w:pPr>
        <w:pStyle w:val="Standard"/>
        <w:shd w:val="clear" w:color="auto" w:fill="FFFFFF" w:themeFill="background1"/>
        <w:ind w:left="567" w:hanging="207"/>
        <w:rPr>
          <w:rFonts w:ascii="Noto Sans" w:hAnsi="Noto Sans" w:cs="Noto Sans"/>
          <w:lang w:val="ca-ES"/>
        </w:rPr>
      </w:pPr>
      <w:r>
        <w:rPr>
          <w:rFonts w:cs="Noto Sans" w:ascii="Noto Sans" w:hAnsi="Noto Sans"/>
          <w:i/>
          <w:iCs/>
          <w:lang w:val="ca-ES"/>
        </w:rPr>
        <w:t>g)</w:t>
      </w:r>
      <w:r>
        <w:rPr>
          <w:rFonts w:cs="Noto Sans" w:ascii="Noto Sans" w:hAnsi="Noto Sans"/>
          <w:lang w:val="ca-ES"/>
        </w:rPr>
        <w:t xml:space="preserve"> Projectes que no respectin plenament les normes i prioritats de la Unió Europea i nacionals en matèria climàtica i mediambiental, i el principi DNSH, en el sentit de l'article 17 del Reglament (UE) 2020/852 del Parlament Europeu i del Consell, de 18 de juny de 2020, relatiu a l'establiment d'un marc per facilitar les inversions sostenibles i pel qual es modifica el Reglament (UE) 2019/2088.</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8</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Execució de les actuacions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11"/>
        </w:numPr>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t>El termini per a l'execució de les actuacions subvencionables s'inicia l’1 de gener de 2025 i finalitza el 31 de març de 2026.</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11"/>
        </w:numPr>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t xml:space="preserve">Només mitjançant una resolució </w:t>
      </w:r>
      <w:r>
        <w:rPr>
          <w:rFonts w:eastAsia="Noto Sans" w:cs="Noto Sans" w:ascii="Noto Sans" w:hAnsi="Noto Sans"/>
          <w:lang w:val="ca-ES"/>
        </w:rPr>
        <w:t>del president de l’AETIB</w:t>
      </w:r>
      <w:r>
        <w:rPr>
          <w:rFonts w:cs="Noto Sans" w:ascii="Noto Sans" w:hAnsi="Noto Sans"/>
          <w:lang w:val="ca-ES"/>
        </w:rPr>
        <w:t xml:space="preserve">  es pot autoritzar una ampliació del termini fixat per a l'execució de les actuacions quan aquest nou termini no impliqui un incompliment de la normativa nacional i europea ni posi en risc el compliment de l'objectiu CID 221.</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9</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Crèdit destinat a la convocatòria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0"/>
        </w:numPr>
        <w:shd w:val="clear" w:color="auto" w:fill="FFFFFF" w:themeFill="background1"/>
        <w:spacing w:before="0" w:after="240"/>
        <w:rPr>
          <w:rFonts w:ascii="Noto Sans" w:hAnsi="Noto Sans" w:cs="Noto Sans"/>
          <w:lang w:val="ca-ES"/>
        </w:rPr>
      </w:pPr>
      <w:r>
        <w:rPr>
          <w:rFonts w:cs="Noto Sans" w:ascii="Noto Sans" w:hAnsi="Noto Sans"/>
          <w:lang w:val="ca-ES"/>
        </w:rPr>
        <w:t>El crèdit assignat a aquesta convocatòria és d’1.490.000 euros, finançats amb fons procedents del PRTR, amb càrrec al capítol VII, inversions reals, del pressupost de  l’AETIB.</w:t>
      </w:r>
    </w:p>
    <w:p>
      <w:pPr>
        <w:pStyle w:val="Standard"/>
        <w:numPr>
          <w:ilvl w:val="0"/>
          <w:numId w:val="20"/>
        </w:numPr>
        <w:shd w:val="clear" w:color="auto" w:fill="FFFFFF" w:themeFill="background1"/>
        <w:rPr>
          <w:rFonts w:ascii="Noto Sans" w:hAnsi="Noto Sans" w:cs="Noto Sans"/>
          <w:lang w:val="ca-ES"/>
        </w:rPr>
      </w:pPr>
      <w:r>
        <w:rPr>
          <w:rFonts w:cs="Noto Sans" w:ascii="Noto Sans" w:hAnsi="Noto Sans"/>
          <w:lang w:val="ca-ES"/>
        </w:rPr>
        <w:t>Sempre que les disponibilitats pressupostàries ho permetin, es pot augmentar l'import d'aquesta convocatòria mitjançant una resolució de modificació de la convocatòria, amb els efectes, si escau, del que preveu l'article 39.3 de la Llei 39/2015. La resolució de modificació esmentada, tret que se n'estableixi una altra cosa, no implica que s'ampliï el termini per presentar sol·licituds.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10</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Distribució dels fons per programes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19"/>
        </w:numPr>
        <w:shd w:val="clear" w:color="auto" w:fill="FFFFFF" w:themeFill="background1"/>
        <w:rPr>
          <w:rFonts w:ascii="Noto Sans" w:hAnsi="Noto Sans" w:cs="Noto Sans"/>
          <w:lang w:val="ca-ES"/>
        </w:rPr>
      </w:pPr>
      <w:r>
        <w:rPr>
          <w:rFonts w:cs="Noto Sans" w:ascii="Noto Sans" w:hAnsi="Noto Sans"/>
          <w:lang w:val="ca-ES"/>
        </w:rPr>
        <w:t>L'import màxim que es destina a cadascun dels programes subvencionables és el següent:</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tbl>
      <w:tblPr>
        <w:tblStyle w:val="Tablaconcuadrcula"/>
        <w:tblW w:w="6420" w:type="dxa"/>
        <w:jc w:val="left"/>
        <w:tblInd w:w="0" w:type="dxa"/>
        <w:tblCellMar>
          <w:top w:w="0" w:type="dxa"/>
          <w:left w:w="108" w:type="dxa"/>
          <w:bottom w:w="0" w:type="dxa"/>
          <w:right w:w="108" w:type="dxa"/>
        </w:tblCellMar>
        <w:tblLook w:firstRow="1" w:noVBand="1" w:lastRow="0" w:firstColumn="1" w:lastColumn="0" w:noHBand="1" w:val="06a0"/>
      </w:tblPr>
      <w:tblGrid>
        <w:gridCol w:w="3749"/>
        <w:gridCol w:w="2670"/>
      </w:tblGrid>
      <w:tr>
        <w:trPr>
          <w:trHeight w:val="300" w:hRule="atLeast"/>
        </w:trPr>
        <w:tc>
          <w:tcPr>
            <w:tcW w:w="3749" w:type="dxa"/>
            <w:tcBorders/>
            <w:shd w:fill="auto" w:val="clear"/>
          </w:tcPr>
          <w:p>
            <w:pPr>
              <w:pStyle w:val="Standard"/>
              <w:shd w:val="clear" w:color="auto" w:fill="FFFFFF" w:themeFill="background1"/>
              <w:rPr>
                <w:rFonts w:ascii="Noto Sans" w:hAnsi="Noto Sans" w:cs="Noto Sans"/>
                <w:i/>
                <w:i/>
                <w:iCs/>
                <w:lang w:val="ca-ES"/>
              </w:rPr>
            </w:pPr>
            <w:r>
              <w:rPr>
                <w:rFonts w:cs="Noto Sans" w:ascii="Noto Sans" w:hAnsi="Noto Sans"/>
                <w:i/>
                <w:iCs/>
                <w:lang w:val="ca-ES"/>
              </w:rPr>
              <w:t>Programes subvencionables</w:t>
            </w:r>
          </w:p>
        </w:tc>
        <w:tc>
          <w:tcPr>
            <w:tcW w:w="2670" w:type="dxa"/>
            <w:tcBorders/>
            <w:shd w:fill="auto" w:val="clear"/>
          </w:tcPr>
          <w:p>
            <w:pPr>
              <w:pStyle w:val="Standard"/>
              <w:shd w:val="clear" w:color="auto" w:fill="FFFFFF" w:themeFill="background1"/>
              <w:rPr>
                <w:rFonts w:ascii="Noto Sans" w:hAnsi="Noto Sans" w:cs="Noto Sans"/>
                <w:i/>
                <w:i/>
                <w:iCs/>
                <w:lang w:val="ca-ES"/>
              </w:rPr>
            </w:pPr>
            <w:r>
              <w:rPr>
                <w:rFonts w:cs="Noto Sans" w:ascii="Noto Sans" w:hAnsi="Noto Sans"/>
                <w:i/>
                <w:iCs/>
                <w:lang w:val="ca-ES"/>
              </w:rPr>
              <w:t>Quantia (euros)</w:t>
            </w:r>
          </w:p>
        </w:tc>
      </w:tr>
      <w:tr>
        <w:trPr>
          <w:trHeight w:val="300" w:hRule="atLeast"/>
        </w:trPr>
        <w:tc>
          <w:tcPr>
            <w:tcW w:w="3749" w:type="dxa"/>
            <w:tcBorders/>
            <w:shd w:fill="auto" w:val="clear"/>
          </w:tcPr>
          <w:p>
            <w:pPr>
              <w:pStyle w:val="Standard"/>
              <w:shd w:val="clear" w:color="auto" w:fill="FFFFFF" w:themeFill="background1"/>
              <w:rPr>
                <w:rFonts w:ascii="Noto Sans" w:hAnsi="Noto Sans" w:cs="Noto Sans"/>
                <w:lang w:val="ca-ES"/>
              </w:rPr>
            </w:pPr>
            <w:r>
              <w:rPr>
                <w:rFonts w:cs="Noto Sans" w:ascii="Noto Sans" w:hAnsi="Noto Sans"/>
                <w:lang w:val="ca-ES"/>
              </w:rPr>
              <w:t>Programa I</w:t>
            </w:r>
          </w:p>
        </w:tc>
        <w:tc>
          <w:tcPr>
            <w:tcW w:w="2670" w:type="dxa"/>
            <w:tcBorders/>
            <w:shd w:fill="auto" w:val="clear"/>
          </w:tcPr>
          <w:p>
            <w:pPr>
              <w:pStyle w:val="Standard"/>
              <w:shd w:val="clear" w:color="auto" w:fill="FFFFFF" w:themeFill="background1"/>
              <w:rPr>
                <w:rFonts w:ascii="Noto Sans" w:hAnsi="Noto Sans" w:cs="Noto Sans"/>
                <w:lang w:val="ca-ES"/>
              </w:rPr>
            </w:pPr>
            <w:r>
              <w:rPr>
                <w:rFonts w:cs="Noto Sans" w:ascii="Noto Sans" w:hAnsi="Noto Sans"/>
                <w:lang w:val="ca-ES"/>
              </w:rPr>
              <w:t>900.000</w:t>
            </w:r>
          </w:p>
        </w:tc>
      </w:tr>
      <w:tr>
        <w:trPr>
          <w:trHeight w:val="300" w:hRule="atLeast"/>
        </w:trPr>
        <w:tc>
          <w:tcPr>
            <w:tcW w:w="3749" w:type="dxa"/>
            <w:tcBorders/>
            <w:shd w:fill="auto" w:val="clear"/>
          </w:tcPr>
          <w:p>
            <w:pPr>
              <w:pStyle w:val="Standard"/>
              <w:shd w:val="clear" w:color="auto" w:fill="FFFFFF" w:themeFill="background1"/>
              <w:rPr>
                <w:rFonts w:ascii="Noto Sans" w:hAnsi="Noto Sans" w:cs="Noto Sans"/>
                <w:lang w:val="ca-ES"/>
              </w:rPr>
            </w:pPr>
            <w:r>
              <w:rPr>
                <w:rFonts w:cs="Noto Sans" w:ascii="Noto Sans" w:hAnsi="Noto Sans"/>
                <w:lang w:val="ca-ES"/>
              </w:rPr>
              <w:t>Programa II</w:t>
            </w:r>
          </w:p>
        </w:tc>
        <w:tc>
          <w:tcPr>
            <w:tcW w:w="2670" w:type="dxa"/>
            <w:tcBorders/>
            <w:shd w:fill="auto" w:val="clear"/>
          </w:tcPr>
          <w:p>
            <w:pPr>
              <w:pStyle w:val="Standard"/>
              <w:shd w:val="clear" w:color="auto" w:fill="FFFFFF" w:themeFill="background1"/>
              <w:rPr>
                <w:rFonts w:ascii="Noto Sans" w:hAnsi="Noto Sans" w:cs="Noto Sans"/>
                <w:lang w:val="ca-ES"/>
              </w:rPr>
            </w:pPr>
            <w:r>
              <w:rPr>
                <w:rFonts w:cs="Noto Sans" w:ascii="Noto Sans" w:hAnsi="Noto Sans"/>
                <w:lang w:val="ca-ES"/>
              </w:rPr>
              <w:t>590.000</w:t>
            </w:r>
          </w:p>
        </w:tc>
      </w:tr>
      <w:tr>
        <w:trPr>
          <w:trHeight w:val="300" w:hRule="atLeast"/>
        </w:trPr>
        <w:tc>
          <w:tcPr>
            <w:tcW w:w="3749" w:type="dxa"/>
            <w:tcBorders/>
            <w:shd w:fill="auto" w:val="clear"/>
          </w:tcPr>
          <w:p>
            <w:pPr>
              <w:pStyle w:val="Standard"/>
              <w:shd w:val="clear" w:color="auto" w:fill="FFFFFF" w:themeFill="background1"/>
              <w:rPr>
                <w:rFonts w:ascii="Noto Sans" w:hAnsi="Noto Sans" w:cs="Noto Sans"/>
                <w:lang w:val="ca-ES"/>
              </w:rPr>
            </w:pPr>
            <w:r>
              <w:rPr>
                <w:rFonts w:cs="Noto Sans" w:ascii="Noto Sans" w:hAnsi="Noto Sans"/>
                <w:lang w:val="ca-ES"/>
              </w:rPr>
              <w:t>Total</w:t>
            </w:r>
          </w:p>
        </w:tc>
        <w:tc>
          <w:tcPr>
            <w:tcW w:w="2670" w:type="dxa"/>
            <w:tcBorders/>
            <w:shd w:fill="auto" w:val="clear"/>
          </w:tcPr>
          <w:p>
            <w:pPr>
              <w:pStyle w:val="Standard"/>
              <w:shd w:val="clear" w:color="auto" w:fill="FFFFFF" w:themeFill="background1"/>
              <w:rPr>
                <w:rFonts w:ascii="Noto Sans" w:hAnsi="Noto Sans" w:cs="Noto Sans"/>
                <w:lang w:val="ca-ES"/>
              </w:rPr>
            </w:pPr>
            <w:r>
              <w:rPr>
                <w:rFonts w:cs="Noto Sans" w:ascii="Noto Sans" w:hAnsi="Noto Sans"/>
                <w:lang w:val="ca-ES"/>
              </w:rPr>
              <w:t>1.490.000</w:t>
            </w:r>
          </w:p>
        </w:tc>
      </w:tr>
    </w:tbl>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9"/>
        </w:numPr>
        <w:shd w:val="clear" w:color="auto" w:fill="FFFFFF" w:themeFill="background1"/>
        <w:rPr>
          <w:rFonts w:ascii="Noto Sans" w:hAnsi="Noto Sans" w:cs="Noto Sans"/>
          <w:lang w:val="ca-ES"/>
        </w:rPr>
      </w:pPr>
      <w:r>
        <w:rPr>
          <w:rFonts w:cs="Noto Sans" w:ascii="Noto Sans" w:hAnsi="Noto Sans"/>
          <w:lang w:val="ca-ES"/>
        </w:rPr>
        <w:t>En el cas que quedi romanent en un programa, aquest es pot incorporar a l'altre programa mitjançant una resolució de modificació de la convocatòria, amb els efectes, si escau, del que preveu l'article 39.3 de la Llei 39/2015. L'assignació del romanent s'ha de fer d'acord amb l'ordre de prelació establert. La resolució de modificació esmentada, tret que se n'estableixi una altra cosa, no implica que s'ampliï el termini per presentar sol·licituds.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11</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Intensitat de l’ajuda</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16"/>
        </w:numPr>
        <w:shd w:val="clear" w:color="auto" w:fill="FFFFFF" w:themeFill="background1"/>
        <w:rPr>
          <w:rFonts w:ascii="Noto Sans" w:hAnsi="Noto Sans" w:cs="Noto Sans"/>
          <w:lang w:val="ca-ES"/>
        </w:rPr>
      </w:pPr>
      <w:r>
        <w:rPr>
          <w:rFonts w:cs="Noto Sans" w:ascii="Noto Sans" w:hAnsi="Noto Sans"/>
          <w:lang w:val="ca-ES"/>
        </w:rPr>
        <w:t>La intensitat de l’ajuda és la següent:</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r>
    </w:p>
    <w:p>
      <w:pPr>
        <w:pStyle w:val="Standard"/>
        <w:numPr>
          <w:ilvl w:val="0"/>
          <w:numId w:val="15"/>
        </w:numPr>
        <w:shd w:val="clear" w:color="auto" w:fill="FFFFFF" w:themeFill="background1"/>
        <w:rPr>
          <w:rFonts w:ascii="Noto Sans" w:hAnsi="Noto Sans" w:cs="Noto Sans"/>
          <w:lang w:val="ca-ES"/>
        </w:rPr>
      </w:pPr>
      <w:r>
        <w:rPr>
          <w:rFonts w:cs="Noto Sans" w:ascii="Noto Sans" w:hAnsi="Noto Sans"/>
          <w:lang w:val="ca-ES"/>
        </w:rPr>
        <w:t xml:space="preserve">Per al Programa I: 100 % de les despeses subvencionables de l’actuació amb l’import màxim que s’estableix en el punt següent. </w:t>
      </w:r>
    </w:p>
    <w:p>
      <w:pPr>
        <w:pStyle w:val="Standard"/>
        <w:numPr>
          <w:ilvl w:val="0"/>
          <w:numId w:val="15"/>
        </w:numPr>
        <w:shd w:val="clear" w:color="auto" w:fill="FFFFFF" w:themeFill="background1"/>
        <w:rPr>
          <w:rFonts w:ascii="Noto Sans" w:hAnsi="Noto Sans" w:cs="Noto Sans"/>
          <w:lang w:val="ca-ES"/>
        </w:rPr>
      </w:pPr>
      <w:r>
        <w:rPr>
          <w:rFonts w:cs="Noto Sans" w:ascii="Noto Sans" w:hAnsi="Noto Sans"/>
          <w:lang w:val="ca-ES"/>
        </w:rPr>
        <w:t>Per al Programa II: 80 % de les despeses subvencionables de l’actuació amb l’import màxim que s’estableix en el punt següent.</w:t>
      </w:r>
    </w:p>
    <w:p>
      <w:pPr>
        <w:pStyle w:val="Standard"/>
        <w:shd w:val="clear" w:color="auto" w:fill="FFFFFF" w:themeFill="background1"/>
        <w:ind w:left="1080" w:hanging="0"/>
        <w:rPr>
          <w:rFonts w:ascii="Noto Sans" w:hAnsi="Noto Sans" w:cs="Noto Sans"/>
          <w:lang w:val="ca-ES"/>
        </w:rPr>
      </w:pPr>
      <w:r>
        <w:rPr>
          <w:rFonts w:cs="Noto Sans" w:ascii="Noto Sans" w:hAnsi="Noto Sans"/>
          <w:lang w:val="ca-ES"/>
        </w:rPr>
      </w:r>
    </w:p>
    <w:p>
      <w:pPr>
        <w:pStyle w:val="Standard"/>
        <w:numPr>
          <w:ilvl w:val="0"/>
          <w:numId w:val="16"/>
        </w:numPr>
        <w:shd w:val="clear" w:color="auto" w:fill="FFFFFF" w:themeFill="background1"/>
        <w:rPr>
          <w:rFonts w:ascii="Noto Sans" w:hAnsi="Noto Sans" w:cs="Noto Sans"/>
          <w:lang w:val="ca-ES"/>
        </w:rPr>
      </w:pPr>
      <w:r>
        <w:rPr>
          <w:rFonts w:cs="Noto Sans" w:ascii="Noto Sans" w:hAnsi="Noto Sans"/>
          <w:lang w:val="ca-ES"/>
        </w:rPr>
        <w:t xml:space="preserve">Import màxim: </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9"/>
        </w:numPr>
        <w:shd w:val="clear" w:color="auto" w:fill="FFFFFF" w:themeFill="background1"/>
        <w:rPr>
          <w:rFonts w:ascii="Noto Sans" w:hAnsi="Noto Sans" w:cs="Noto Sans"/>
          <w:lang w:val="ca-ES"/>
        </w:rPr>
      </w:pPr>
      <w:r>
        <w:rPr>
          <w:rFonts w:cs="Noto Sans" w:ascii="Noto Sans" w:hAnsi="Noto Sans"/>
          <w:lang w:val="ca-ES"/>
        </w:rPr>
        <w:t>Per al Programa I, fins a un màxim de 450.000 € per actuació.</w:t>
      </w:r>
    </w:p>
    <w:p>
      <w:pPr>
        <w:pStyle w:val="Standard"/>
        <w:numPr>
          <w:ilvl w:val="0"/>
          <w:numId w:val="29"/>
        </w:numPr>
        <w:shd w:val="clear" w:color="auto" w:fill="FFFFFF" w:themeFill="background1"/>
        <w:rPr>
          <w:rFonts w:ascii="Noto Sans" w:hAnsi="Noto Sans" w:cs="Noto Sans"/>
          <w:lang w:val="ca-ES"/>
        </w:rPr>
      </w:pPr>
      <w:r>
        <w:rPr>
          <w:rFonts w:cs="Noto Sans" w:ascii="Noto Sans" w:hAnsi="Noto Sans"/>
          <w:lang w:val="ca-ES"/>
        </w:rPr>
        <w:t>Per al Programa II, fins a un màxim de 100.000 € per actuació.</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6"/>
        </w:numPr>
        <w:shd w:val="clear" w:color="auto" w:fill="FFFFFF" w:themeFill="background1"/>
        <w:rPr>
          <w:rFonts w:ascii="Noto Sans" w:hAnsi="Noto Sans" w:cs="Noto Sans"/>
          <w:lang w:val="ca-ES"/>
        </w:rPr>
      </w:pPr>
      <w:r>
        <w:rPr>
          <w:rFonts w:cs="Noto Sans" w:ascii="Noto Sans" w:hAnsi="Noto Sans"/>
          <w:lang w:val="ca-ES"/>
        </w:rPr>
        <w:t>Addicionalment, s’han de tenir en compte el límit establert en l’article següent i l’import mínim del projecte per al Programa II establert en l’article 6.</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b/>
          <w:b/>
          <w:bCs/>
          <w:i/>
          <w:i/>
          <w:iCs/>
          <w:lang w:val="ca-ES"/>
        </w:rPr>
      </w:pPr>
      <w:r>
        <w:rPr>
          <w:rStyle w:val="Lletraperdefectedelpargraf1"/>
          <w:rFonts w:cs="Noto Sans" w:ascii="Noto Sans" w:hAnsi="Noto Sans"/>
          <w:b/>
          <w:bCs/>
          <w:lang w:val="ca-ES"/>
        </w:rPr>
        <w:t>Article 12</w:t>
      </w:r>
    </w:p>
    <w:p>
      <w:pPr>
        <w:pStyle w:val="Standard"/>
        <w:shd w:val="clear" w:color="auto" w:fill="FFFFFF" w:themeFill="background1"/>
        <w:rPr>
          <w:rStyle w:val="Lletraperdefectedelpargraf1"/>
          <w:rFonts w:ascii="Noto Sans" w:hAnsi="Noto Sans" w:cs="Noto Sans"/>
          <w:b/>
          <w:b/>
          <w:bCs/>
          <w:i/>
          <w:i/>
          <w:iCs/>
          <w:lang w:val="ca-ES"/>
        </w:rPr>
      </w:pPr>
      <w:r>
        <w:rPr>
          <w:rStyle w:val="Lletraperdefectedelpargraf1"/>
          <w:rFonts w:cs="Noto Sans" w:ascii="Noto Sans" w:hAnsi="Noto Sans"/>
          <w:b/>
          <w:bCs/>
          <w:lang w:val="ca-ES"/>
        </w:rPr>
        <w:t xml:space="preserve">Aplicació del règim </w:t>
      </w:r>
      <w:r>
        <w:rPr>
          <w:rStyle w:val="Lletraperdefectedelpargraf1"/>
          <w:rFonts w:cs="Noto Sans" w:ascii="Noto Sans" w:hAnsi="Noto Sans"/>
          <w:b/>
          <w:bCs/>
          <w:i/>
          <w:iCs/>
          <w:lang w:val="ca-ES"/>
        </w:rPr>
        <w:t>de minimis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4"/>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Les subvencions previstes en el Programa I s’han de concedir d’acord amb el Reglament (UE) 2023/2832, de 13 de desembre, relatiu a l’aplicació dels articles 107 i 108 del TFUE a les ajudes </w:t>
      </w:r>
      <w:r>
        <w:rPr>
          <w:rStyle w:val="Lletraperdefectedelpargraf1"/>
          <w:rFonts w:cs="Noto Sans" w:ascii="Noto Sans" w:hAnsi="Noto Sans"/>
          <w:i/>
          <w:iCs/>
          <w:lang w:val="ca-ES"/>
        </w:rPr>
        <w:t>de</w:t>
      </w:r>
      <w:r>
        <w:rPr>
          <w:rStyle w:val="Lletraperdefectedelpargraf1"/>
          <w:rFonts w:cs="Noto Sans" w:ascii="Noto Sans" w:hAnsi="Noto Sans"/>
          <w:lang w:val="ca-ES"/>
        </w:rPr>
        <w:t xml:space="preserve"> </w:t>
      </w:r>
      <w:r>
        <w:rPr>
          <w:rStyle w:val="Lletraperdefectedelpargraf1"/>
          <w:rFonts w:cs="Noto Sans" w:ascii="Noto Sans" w:hAnsi="Noto Sans"/>
          <w:i/>
          <w:iCs/>
          <w:lang w:val="ca-ES"/>
        </w:rPr>
        <w:t xml:space="preserve">minimis </w:t>
      </w:r>
      <w:r>
        <w:rPr>
          <w:rStyle w:val="Lletraperdefectedelpargraf1"/>
          <w:rFonts w:cs="Noto Sans" w:ascii="Noto Sans" w:hAnsi="Noto Sans"/>
          <w:lang w:val="ca-ES"/>
        </w:rPr>
        <w:t>concedides a empreses que presten serveis d’interès econòmic general.</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Style w:val="Lletraperdefectedelpargraf1"/>
          <w:rFonts w:ascii="Noto Sans" w:hAnsi="Noto Sans" w:cs="Noto Sans"/>
          <w:lang w:val="ca-ES"/>
        </w:rPr>
      </w:pPr>
      <w:r>
        <w:rPr>
          <w:rStyle w:val="Lletraperdefectedelpargraf1"/>
          <w:rFonts w:cs="Noto Sans" w:ascii="Noto Sans" w:hAnsi="Noto Sans"/>
          <w:lang w:val="ca-ES"/>
        </w:rPr>
        <w:t xml:space="preserve">L’aplicació del Reglament (UE) 2023/2832 implica que la persona beneficiària, com a </w:t>
      </w:r>
      <w:r>
        <w:rPr>
          <w:rStyle w:val="Lletraperdefectedelpargraf1"/>
          <w:rFonts w:cs="Noto Sans" w:ascii="Noto Sans" w:hAnsi="Noto Sans"/>
          <w:i/>
          <w:iCs/>
          <w:lang w:val="ca-ES"/>
        </w:rPr>
        <w:t>empresa única</w:t>
      </w:r>
      <w:r>
        <w:rPr>
          <w:rStyle w:val="Lletraperdefectedelpargraf1"/>
          <w:rFonts w:cs="Noto Sans" w:ascii="Noto Sans" w:hAnsi="Noto Sans"/>
          <w:lang w:val="ca-ES"/>
        </w:rPr>
        <w:t xml:space="preserve">, de conformitat amb la definició establerta en l’article 2.2 del Reglament, no pot percebre ajudes </w:t>
      </w:r>
      <w:r>
        <w:rPr>
          <w:rStyle w:val="Lletraperdefectedelpargraf1"/>
          <w:rFonts w:cs="Noto Sans" w:ascii="Noto Sans" w:hAnsi="Noto Sans"/>
          <w:i/>
          <w:iCs/>
          <w:lang w:val="ca-ES"/>
        </w:rPr>
        <w:t>de minimis</w:t>
      </w:r>
      <w:r>
        <w:rPr>
          <w:rStyle w:val="Lletraperdefectedelpargraf1"/>
          <w:rFonts w:cs="Noto Sans" w:ascii="Noto Sans" w:hAnsi="Noto Sans"/>
          <w:lang w:val="ca-ES"/>
        </w:rPr>
        <w:t xml:space="preserve"> procedents d’administracions o d’entitats públiques o privades finançades amb càrrec als pressuposts públics per un import superior a 750.000 euros en un període de tres anys.</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Style w:val="Lletraperdefectedelpargraf1"/>
          <w:rFonts w:ascii="Noto Sans" w:hAnsi="Noto Sans" w:cs="Noto Sans"/>
          <w:lang w:val="ca-ES"/>
        </w:rPr>
      </w:pPr>
      <w:r>
        <w:rPr>
          <w:rStyle w:val="Lletraperdefectedelpargraf1"/>
          <w:rFonts w:cs="Noto Sans" w:ascii="Noto Sans" w:hAnsi="Noto Sans"/>
          <w:lang w:val="ca-ES"/>
        </w:rPr>
        <w:t>L'esmentat article 2.2 del Reglament (UE) 2023/2832 inclou en la definició d'</w:t>
      </w:r>
      <w:r>
        <w:rPr>
          <w:rStyle w:val="Lletraperdefectedelpargraf1"/>
          <w:rFonts w:cs="Noto Sans" w:ascii="Noto Sans" w:hAnsi="Noto Sans"/>
          <w:i/>
          <w:iCs/>
          <w:lang w:val="ca-ES"/>
        </w:rPr>
        <w:t>empresa única</w:t>
      </w:r>
      <w:r>
        <w:rPr>
          <w:rStyle w:val="Lletraperdefectedelpargraf1"/>
          <w:rFonts w:cs="Noto Sans" w:ascii="Noto Sans" w:hAnsi="Noto Sans"/>
          <w:lang w:val="ca-ES"/>
        </w:rPr>
        <w:t xml:space="preserve"> totes les empreses que tenguin entre si almenys un dels vincles següents: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a)</w:t>
      </w:r>
      <w:r>
        <w:rPr>
          <w:rFonts w:cs="Noto Sans" w:ascii="Noto Sans" w:hAnsi="Noto Sans"/>
          <w:lang w:val="ca-ES"/>
        </w:rPr>
        <w:t xml:space="preserve">  Una empresa posseeix la majoria dels drets de vot de les persones accionistes o sòcies d'una altra empresa.</w:t>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b)</w:t>
      </w:r>
      <w:r>
        <w:rPr>
          <w:rFonts w:cs="Noto Sans" w:ascii="Noto Sans" w:hAnsi="Noto Sans"/>
          <w:lang w:val="ca-ES"/>
        </w:rPr>
        <w:t xml:space="preserve"> Una empresa té dret a nomenar o revocar la majoria dels membres de l'òrgan d'administració, direcció o supervisió d'una altra empresa.</w:t>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c)</w:t>
      </w:r>
      <w:r>
        <w:rPr>
          <w:rFonts w:cs="Noto Sans" w:ascii="Noto Sans" w:hAnsi="Noto Sans"/>
          <w:lang w:val="ca-ES"/>
        </w:rPr>
        <w:t xml:space="preserve">  Una empresa té dret a exercir una influència dominant sobre una altra en virtut d'un contracte subscrit amb aqueixa o una disposició continguda en els seus estatuts o escriptura de constitució.</w:t>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d)</w:t>
      </w:r>
      <w:r>
        <w:rPr>
          <w:rFonts w:cs="Noto Sans" w:ascii="Noto Sans" w:hAnsi="Noto Sans"/>
          <w:lang w:val="ca-ES"/>
        </w:rPr>
        <w:t xml:space="preserve"> Una empresa, accionista o associada a una altra, controla sola, en virtut d'un acord subscrit amb altres persones accionistes o sòcies de la segona, la majoria dels drets de vot de l'accionariat o persones sòcies d'aquesta.</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r>
    </w:p>
    <w:p>
      <w:pPr>
        <w:pStyle w:val="Standard"/>
        <w:shd w:val="clear" w:color="auto" w:fill="FFFFFF" w:themeFill="background1"/>
        <w:ind w:left="426" w:hanging="0"/>
        <w:rPr/>
      </w:pPr>
      <w:r>
        <w:rPr>
          <w:rFonts w:cs="Noto Sans" w:ascii="Noto Sans" w:hAnsi="Noto Sans"/>
          <w:lang w:val="ca-ES"/>
        </w:rPr>
        <w:t xml:space="preserve">Les empreses que mantinguin qualsevol de les relacions previstes en les lletres de la </w:t>
      </w:r>
      <w:r>
        <w:rPr>
          <w:rFonts w:cs="Noto Sans" w:ascii="Noto Sans" w:hAnsi="Noto Sans"/>
          <w:i/>
          <w:iCs/>
          <w:lang w:val="ca-ES"/>
        </w:rPr>
        <w:t>a)</w:t>
      </w:r>
      <w:r>
        <w:rPr>
          <w:rFonts w:cs="Noto Sans" w:ascii="Noto Sans" w:hAnsi="Noto Sans"/>
          <w:lang w:val="ca-ES"/>
        </w:rPr>
        <w:t xml:space="preserve"> a la </w:t>
      </w:r>
      <w:r>
        <w:rPr>
          <w:rFonts w:cs="Noto Sans" w:ascii="Noto Sans" w:hAnsi="Noto Sans"/>
          <w:i/>
          <w:iCs/>
          <w:lang w:val="ca-ES"/>
        </w:rPr>
        <w:t>d)</w:t>
      </w:r>
      <w:r>
        <w:rPr>
          <w:rFonts w:cs="Noto Sans" w:ascii="Noto Sans" w:hAnsi="Noto Sans"/>
          <w:lang w:val="ca-ES"/>
        </w:rPr>
        <w:t xml:space="preserve"> a través d'una altra o altres empreses també es consideren empresa única. No obstant això, les empreses que presten serveis d’interès econòmic general i que no tenen relació entre si, excepte el fet que cada una  tengui un vincle directe amb el mateix organisme o organismes públics o amb la mateixa o les mateixes entitats sense ànim de lucre, no han de ser tractades com a empresa única a l’efecte d’aquest Reglament.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4"/>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Les subvencions previstes en el Programa II s’han de concedir d’acord amb el Reglament (UE) 2023/2831, de 13 de desembre, relatiu a l’aplicació dels articles 107 i 108 del TFUE a les ajudes </w:t>
      </w:r>
      <w:r>
        <w:rPr>
          <w:rStyle w:val="Lletraperdefectedelpargraf1"/>
          <w:rFonts w:cs="Noto Sans" w:ascii="Noto Sans" w:hAnsi="Noto Sans"/>
          <w:i/>
          <w:iCs/>
          <w:lang w:val="ca-ES"/>
        </w:rPr>
        <w:t>de</w:t>
      </w:r>
      <w:r>
        <w:rPr>
          <w:rStyle w:val="Lletraperdefectedelpargraf1"/>
          <w:rFonts w:cs="Noto Sans" w:ascii="Noto Sans" w:hAnsi="Noto Sans"/>
          <w:lang w:val="ca-ES"/>
        </w:rPr>
        <w:t xml:space="preserve"> </w:t>
      </w:r>
      <w:r>
        <w:rPr>
          <w:rStyle w:val="Lletraperdefectedelpargraf1"/>
          <w:rFonts w:cs="Noto Sans" w:ascii="Noto Sans" w:hAnsi="Noto Sans"/>
          <w:i/>
          <w:iCs/>
          <w:lang w:val="ca-ES"/>
        </w:rPr>
        <w:t>minimis</w:t>
      </w:r>
      <w:r>
        <w:rPr>
          <w:rStyle w:val="Lletraperdefectedelpargraf1"/>
          <w:rFonts w:cs="Noto Sans" w:ascii="Noto Sans" w:hAnsi="Noto Sans"/>
          <w:lang w:val="ca-ES"/>
        </w:rPr>
        <w:t>.</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Style w:val="Lletraperdefectedelpargraf1"/>
          <w:rFonts w:ascii="Noto Sans" w:hAnsi="Noto Sans" w:cs="Noto Sans"/>
          <w:lang w:val="ca-ES"/>
        </w:rPr>
      </w:pPr>
      <w:r>
        <w:rPr>
          <w:rStyle w:val="Lletraperdefectedelpargraf1"/>
          <w:rFonts w:cs="Noto Sans" w:ascii="Noto Sans" w:hAnsi="Noto Sans"/>
          <w:lang w:val="ca-ES"/>
        </w:rPr>
        <w:t xml:space="preserve">L’aplicació del Reglament (UE) 2023/2831 implica que la persona beneficiària, com a </w:t>
      </w:r>
      <w:r>
        <w:rPr>
          <w:rStyle w:val="Lletraperdefectedelpargraf1"/>
          <w:rFonts w:cs="Noto Sans" w:ascii="Noto Sans" w:hAnsi="Noto Sans"/>
          <w:i/>
          <w:iCs/>
          <w:lang w:val="ca-ES"/>
        </w:rPr>
        <w:t>empresa única</w:t>
      </w:r>
      <w:r>
        <w:rPr>
          <w:rStyle w:val="Lletraperdefectedelpargraf1"/>
          <w:rFonts w:cs="Noto Sans" w:ascii="Noto Sans" w:hAnsi="Noto Sans"/>
          <w:lang w:val="ca-ES"/>
        </w:rPr>
        <w:t xml:space="preserve">, de conformitat amb la definició establerta en l’article 2.2 del Reglament, no pot percebre ajudes </w:t>
      </w:r>
      <w:r>
        <w:rPr>
          <w:rStyle w:val="Lletraperdefectedelpargraf1"/>
          <w:rFonts w:cs="Noto Sans" w:ascii="Noto Sans" w:hAnsi="Noto Sans"/>
          <w:i/>
          <w:iCs/>
          <w:lang w:val="ca-ES"/>
        </w:rPr>
        <w:t>de minimis</w:t>
      </w:r>
      <w:r>
        <w:rPr>
          <w:rStyle w:val="Lletraperdefectedelpargraf1"/>
          <w:rFonts w:cs="Noto Sans" w:ascii="Noto Sans" w:hAnsi="Noto Sans"/>
          <w:lang w:val="ca-ES"/>
        </w:rPr>
        <w:t xml:space="preserve"> procedents d’administracions o d’entitats públiques o privades finançades amb càrrec als pressuposts públics per un import superior a 300.000 euros en un període de tres anys.</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Style w:val="Lletraperdefectedelpargraf1"/>
          <w:rFonts w:ascii="Noto Sans" w:hAnsi="Noto Sans" w:cs="Noto Sans"/>
          <w:lang w:val="ca-ES"/>
        </w:rPr>
      </w:pPr>
      <w:r>
        <w:rPr>
          <w:rStyle w:val="Lletraperdefectedelpargraf1"/>
          <w:rFonts w:cs="Noto Sans" w:ascii="Noto Sans" w:hAnsi="Noto Sans"/>
          <w:lang w:val="ca-ES"/>
        </w:rPr>
        <w:t>En concret, l'esmentat article 2.2 del Reglament (UE) 2023/2831 inclou en la definició d'</w:t>
      </w:r>
      <w:r>
        <w:rPr>
          <w:rStyle w:val="Lletraperdefectedelpargraf1"/>
          <w:rFonts w:cs="Noto Sans" w:ascii="Noto Sans" w:hAnsi="Noto Sans"/>
          <w:i/>
          <w:iCs/>
          <w:lang w:val="ca-ES"/>
        </w:rPr>
        <w:t>empresa única</w:t>
      </w:r>
      <w:r>
        <w:rPr>
          <w:rStyle w:val="Lletraperdefectedelpargraf1"/>
          <w:rFonts w:cs="Noto Sans" w:ascii="Noto Sans" w:hAnsi="Noto Sans"/>
          <w:lang w:val="ca-ES"/>
        </w:rPr>
        <w:t xml:space="preserve"> totes les empreses que tenguin entre si almenys un dels vincles següents: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a)</w:t>
      </w:r>
      <w:r>
        <w:rPr>
          <w:rFonts w:cs="Noto Sans" w:ascii="Noto Sans" w:hAnsi="Noto Sans"/>
          <w:lang w:val="ca-ES"/>
        </w:rPr>
        <w:t xml:space="preserve">  Una empresa posseeix la majoria dels drets de vot de les persones accionistes o sòcies d'una altra empresa.</w:t>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b)</w:t>
      </w:r>
      <w:r>
        <w:rPr>
          <w:rFonts w:cs="Noto Sans" w:ascii="Noto Sans" w:hAnsi="Noto Sans"/>
          <w:lang w:val="ca-ES"/>
        </w:rPr>
        <w:t xml:space="preserve"> Una empresa té dret a nomenar o revocar la majoria dels membres de l'òrgan d'administració, direcció o supervisió d'una altra empresa.</w:t>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c)</w:t>
      </w:r>
      <w:r>
        <w:rPr>
          <w:rFonts w:cs="Noto Sans" w:ascii="Noto Sans" w:hAnsi="Noto Sans"/>
          <w:lang w:val="ca-ES"/>
        </w:rPr>
        <w:t xml:space="preserve">  Una empresa té dret a exercir una influència dominant sobre una altra en virtut d'un contracte subscrit amb aqueixa o una disposició continguda en els seus estatuts o escriptura de constitució.</w:t>
      </w:r>
    </w:p>
    <w:p>
      <w:pPr>
        <w:pStyle w:val="Standard"/>
        <w:shd w:val="clear" w:color="auto" w:fill="FFFFFF" w:themeFill="background1"/>
        <w:ind w:left="720" w:hanging="0"/>
        <w:rPr>
          <w:rFonts w:ascii="Noto Sans" w:hAnsi="Noto Sans" w:cs="Noto Sans"/>
          <w:lang w:val="ca-ES"/>
        </w:rPr>
      </w:pPr>
      <w:r>
        <w:rPr>
          <w:rFonts w:cs="Noto Sans" w:ascii="Noto Sans" w:hAnsi="Noto Sans"/>
          <w:i/>
          <w:iCs/>
          <w:lang w:val="ca-ES"/>
        </w:rPr>
        <w:t>d)</w:t>
      </w:r>
      <w:r>
        <w:rPr>
          <w:rFonts w:cs="Noto Sans" w:ascii="Noto Sans" w:hAnsi="Noto Sans"/>
          <w:lang w:val="ca-ES"/>
        </w:rPr>
        <w:t xml:space="preserve"> Una empresa, accionista o associada a una altra, controla sola, en virtut d'un acord subscrit amb altres persones accionistes o sòcies de la segona, la majoria dels drets de vot de l'accionariat o persones sòcies d'aquesta.</w:t>
      </w:r>
    </w:p>
    <w:p>
      <w:pPr>
        <w:pStyle w:val="Standard"/>
        <w:shd w:val="clear" w:color="auto" w:fill="FFFFFF" w:themeFill="background1"/>
        <w:ind w:left="720" w:hanging="0"/>
        <w:rPr>
          <w:rFonts w:ascii="Noto Sans" w:hAnsi="Noto Sans" w:cs="Noto Sans"/>
          <w:i/>
          <w:i/>
          <w:iCs/>
          <w:highlight w:val="yellow"/>
          <w:lang w:val="ca-ES"/>
        </w:rPr>
      </w:pPr>
      <w:r>
        <w:rPr>
          <w:rFonts w:cs="Noto Sans" w:ascii="Noto Sans" w:hAnsi="Noto Sans"/>
          <w:i/>
          <w:iCs/>
          <w:highlight w:val="yellow"/>
          <w:lang w:val="ca-ES"/>
        </w:rPr>
      </w:r>
    </w:p>
    <w:p>
      <w:pPr>
        <w:pStyle w:val="Standard"/>
        <w:shd w:val="clear" w:color="auto" w:fill="FFFFFF" w:themeFill="background1"/>
        <w:ind w:left="426" w:hanging="0"/>
        <w:rPr>
          <w:rFonts w:ascii="Noto Sans" w:hAnsi="Noto Sans" w:cs="Noto Sans"/>
          <w:lang w:val="ca-ES"/>
        </w:rPr>
      </w:pPr>
      <w:r>
        <w:rPr>
          <w:rFonts w:cs="Noto Sans" w:ascii="Noto Sans" w:hAnsi="Noto Sans"/>
          <w:lang w:val="ca-ES"/>
        </w:rPr>
        <w:t xml:space="preserve">Les empreses que mantinguin qualsevol de les relacions previstes en les lletres de la </w:t>
      </w:r>
      <w:r>
        <w:rPr>
          <w:rFonts w:cs="Noto Sans" w:ascii="Noto Sans" w:hAnsi="Noto Sans"/>
          <w:i/>
          <w:iCs/>
          <w:lang w:val="ca-ES"/>
        </w:rPr>
        <w:t>a)</w:t>
      </w:r>
      <w:r>
        <w:rPr>
          <w:rFonts w:cs="Noto Sans" w:ascii="Noto Sans" w:hAnsi="Noto Sans"/>
          <w:lang w:val="ca-ES"/>
        </w:rPr>
        <w:t xml:space="preserve"> a la </w:t>
      </w:r>
      <w:r>
        <w:rPr>
          <w:rFonts w:cs="Noto Sans" w:ascii="Noto Sans" w:hAnsi="Noto Sans"/>
          <w:i/>
          <w:iCs/>
          <w:lang w:val="ca-ES"/>
        </w:rPr>
        <w:t>d)</w:t>
      </w:r>
      <w:r>
        <w:rPr>
          <w:rFonts w:cs="Noto Sans" w:ascii="Noto Sans" w:hAnsi="Noto Sans"/>
          <w:lang w:val="ca-ES"/>
        </w:rPr>
        <w:t xml:space="preserve"> a través d'una altra o altres empreses també es consideren empresa única.</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13</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 xml:space="preserve"> </w:t>
      </w:r>
      <w:r>
        <w:rPr>
          <w:rFonts w:cs="Noto Sans" w:ascii="Noto Sans" w:hAnsi="Noto Sans"/>
          <w:b/>
          <w:bCs/>
          <w:lang w:val="ca-ES"/>
        </w:rPr>
        <w:t>Incompatibilitat amb altres subvencions i prevenció del doble finançament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Aquesta subvenció no és compatible amb altres subvencions, ajudes, ingressos o recursos per a la mateixa finalitat procedents de qualsevol administració o ens públic o privat finançat amb càrrec als pressuposts públics, amb l’objectiu de garantir l’absència de doble finançament.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Article 14</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Terminis i forma de presentació de les sol·licituds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13"/>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El termini de presentació de sol·licituds és d’un mes comptador des de l’endemà de la publicació de la convocatòria en el </w:t>
      </w:r>
      <w:r>
        <w:rPr>
          <w:rStyle w:val="Lletraperdefectedelpargraf1"/>
          <w:rFonts w:cs="Noto Sans" w:ascii="Noto Sans" w:hAnsi="Noto Sans"/>
          <w:i/>
          <w:iCs/>
          <w:lang w:val="ca-ES"/>
        </w:rPr>
        <w:t xml:space="preserve">Butlletí Oficial de les Illes Balears. </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Style w:val="Lletraperdefectedelpargraf1"/>
          <w:rFonts w:ascii="Noto Sans" w:hAnsi="Noto Sans" w:cs="Noto Sans"/>
          <w:lang w:val="ca-ES"/>
        </w:rPr>
      </w:pPr>
      <w:r>
        <w:rPr>
          <w:rFonts w:cs="Noto Sans" w:ascii="Noto Sans" w:hAnsi="Noto Sans"/>
          <w:lang w:val="ca-ES"/>
        </w:rPr>
        <w:t>Les persones beneficiàries han de ser seleccionades per rigorós ordre de presentació de les sol·licituds i fins a haver-se exhaurit el crèdit pressupostari assignat en la convocatòria.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Fonts w:ascii="Noto Sans" w:hAnsi="Noto Sans" w:cs="Noto Sans"/>
          <w:lang w:val="ca-ES"/>
        </w:rPr>
      </w:pPr>
      <w:r>
        <w:rPr>
          <w:rFonts w:cs="Noto Sans" w:ascii="Noto Sans" w:hAnsi="Noto Sans"/>
          <w:lang w:val="ca-ES"/>
        </w:rPr>
        <w:t>Quan en un moment posterior a la data de presentació de la sol·licitud, la persona interessada augmenti l’import total sol·licitat inicialment, s’ha de considerar que es presenta una nova sol·licitud i, consegüentment, s’ha de considerar com a data de presentació de la sol·licitud la data d’aquesta modificació.</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Fonts w:ascii="Noto Sans" w:hAnsi="Noto Sans" w:cs="Noto Sans"/>
          <w:lang w:val="ca-ES"/>
        </w:rPr>
      </w:pPr>
      <w:r>
        <w:rPr>
          <w:rFonts w:cs="Noto Sans" w:ascii="Noto Sans" w:hAnsi="Noto Sans"/>
          <w:lang w:val="ca-ES"/>
        </w:rPr>
        <w:t>Es considera exhaurit el pressupost quan s'efectuï el registre de la darrera sol·licitud d'ajuda que totalitzi l'import assignat a la convocatòria. En el cas que s'exhaureixi el pressupost assignat i sempre que no hagi expirat la vigència del programa, es poden continuar registrant sol·licituds, que formaran una llista de reserva provisional, que seran ateses per rigorós ordre d'entrada, supeditades que es produeixin desestimacions o revocacions de les sol·licituds d'ajuda prèvies que puguin alliberar pressupost o bé s'incorpori nou pressupost a la convocatòria. En cap cas la presentació d'una sol·licitud a la llista de reserva provisional no genera cap dret per a la persona sol·licitant fins que no es concedeixi la subvenció.</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Fonts w:ascii="Noto Sans" w:hAnsi="Noto Sans" w:cs="Noto Sans"/>
          <w:lang w:val="ca-ES"/>
        </w:rPr>
      </w:pPr>
      <w:r>
        <w:rPr>
          <w:rFonts w:cs="Noto Sans" w:ascii="Noto Sans" w:hAnsi="Noto Sans"/>
          <w:lang w:val="ca-ES"/>
        </w:rPr>
        <w:t>En el cas que el crèdit disponible no sigui suficient per atendre la sol·licitud que pertoqui segons l'ordre anterior, es proposarà a la persona sol·licitant si accepta o no l'import disponible.</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Normal"/>
        <w:shd w:val="clear" w:color="auto" w:fill="FFFFFF" w:themeFill="background1"/>
        <w:ind w:left="360" w:hanging="0"/>
        <w:rPr>
          <w:rFonts w:ascii="Noto Sans" w:hAnsi="Noto Sans" w:cs="Noto Sans"/>
        </w:rPr>
      </w:pPr>
      <w:r>
        <w:rPr>
          <w:rFonts w:cs="Noto Sans" w:ascii="Noto Sans" w:hAnsi="Noto Sans"/>
        </w:rPr>
        <w:t>Si accepta l'import proposat, aquesta haurà d'assumir amb fons propis l'import no subvencionat per executar l'actuació presentada. En canvi, si la persona sol·licitant no l'accepta, es proposarà a l'entitat següent, i així fins que no s'esgoti el crèdit o les sol·licituds presentades.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Fonts w:ascii="Noto Sans" w:hAnsi="Noto Sans" w:cs="Noto Sans"/>
          <w:lang w:val="ca-ES"/>
        </w:rPr>
      </w:pPr>
      <w:r>
        <w:rPr>
          <w:rFonts w:cs="Noto Sans" w:ascii="Noto Sans" w:hAnsi="Noto Sans"/>
          <w:lang w:val="ca-ES"/>
        </w:rPr>
        <w:t>Les sol·licituds de participació en el procediment de concessió de la subvenció i la justificació de les despeses, com també qualsevol altre tràmit a què es refereixi aquesta convocatòria, s’han de realitzar exclusivament per mitjans electrònics, fent servir el tràmit telemàtic específic en el procediment de la Seu Electrònica. S’hi podrà accedir des del portal web de l’AETIB, la Seu Electrònica de la CAIB i la web invertimenturisme.caib.es.</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Fonts w:ascii="Noto Sans" w:hAnsi="Noto Sans" w:cs="Noto Sans"/>
          <w:lang w:val="ca-ES"/>
        </w:rPr>
      </w:pPr>
      <w:r>
        <w:rPr>
          <w:rFonts w:cs="Noto Sans" w:ascii="Noto Sans" w:hAnsi="Noto Sans"/>
          <w:lang w:val="ca-ES"/>
        </w:rPr>
        <w:t>No s’han de tenir per presentats en el registre les sol·licituds, escrits o documents que es presentin per qualsevol mitjà diferent al del tràmit assenyalat en aquest apartat.</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3"/>
        </w:numPr>
        <w:shd w:val="clear" w:color="auto" w:fill="FFFFFF" w:themeFill="background1"/>
        <w:rPr>
          <w:rFonts w:ascii="Noto Sans" w:hAnsi="Noto Sans" w:cs="Noto Sans"/>
          <w:lang w:val="ca-ES"/>
        </w:rPr>
      </w:pPr>
      <w:r>
        <w:rPr>
          <w:rFonts w:cs="Noto Sans" w:ascii="Noto Sans" w:hAnsi="Noto Sans"/>
          <w:lang w:val="ca-ES"/>
        </w:rPr>
        <w:t xml:space="preserve">Les notificacions que hagi de fer l'Administració s'han d'efectuar </w:t>
      </w:r>
      <w:r>
        <w:rPr>
          <w:rFonts w:cs="Noto Sans" w:ascii="Noto Sans" w:hAnsi="Noto Sans"/>
          <w:color w:val="000000" w:themeColor="text1"/>
          <w:lang w:val="ca-ES"/>
        </w:rPr>
        <w:t xml:space="preserve">individualment </w:t>
      </w:r>
      <w:r>
        <w:rPr>
          <w:rFonts w:cs="Noto Sans" w:ascii="Noto Sans" w:hAnsi="Noto Sans"/>
          <w:lang w:val="ca-ES"/>
        </w:rPr>
        <w:t>per mitjans electrònics, de conformitat amb el que disposen els articles 40 i 41 de la Llei 39/2015.</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Article 15</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Sol·licituds i documentació per aportar</w:t>
      </w:r>
    </w:p>
    <w:p>
      <w:pPr>
        <w:pStyle w:val="Normal"/>
        <w:shd w:val="clear" w:color="auto" w:fill="FFFFFF" w:themeFill="background1"/>
        <w:rPr>
          <w:rFonts w:ascii="Noto Sans" w:hAnsi="Noto Sans" w:cs="Noto Sans"/>
        </w:rPr>
      </w:pPr>
      <w:r>
        <w:rPr>
          <w:rFonts w:cs="Noto Sans" w:ascii="Noto Sans" w:hAnsi="Noto Sans"/>
        </w:rPr>
      </w:r>
    </w:p>
    <w:p>
      <w:pPr>
        <w:pStyle w:val="Standard"/>
        <w:numPr>
          <w:ilvl w:val="0"/>
          <w:numId w:val="12"/>
        </w:numPr>
        <w:shd w:val="clear" w:color="auto" w:fill="FFFFFF" w:themeFill="background1"/>
        <w:rPr>
          <w:rFonts w:ascii="Noto Sans" w:hAnsi="Noto Sans" w:cs="Noto Sans"/>
          <w:lang w:val="ca-ES"/>
        </w:rPr>
      </w:pPr>
      <w:r>
        <w:rPr>
          <w:rFonts w:cs="Noto Sans" w:ascii="Noto Sans" w:hAnsi="Noto Sans"/>
          <w:lang w:val="ca-ES"/>
        </w:rPr>
        <w:t xml:space="preserve">La sol·licitud ha d'anar acompanyada de la documentació que es relaciona en aquesta convocatòria, i en  el tràmit electrònic, juntament amb les declaracions responsables i els annexos del compliment de les obligacions establertes en l'Ordre HFP/1030/2021, que s'incorporen en el formulari de la sol·licitud. </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2"/>
        </w:numPr>
        <w:shd w:val="clear" w:color="auto" w:fill="FFFFFF" w:themeFill="background1"/>
        <w:rPr>
          <w:rFonts w:ascii="Noto Sans" w:hAnsi="Noto Sans" w:cs="Noto Sans"/>
          <w:lang w:val="ca-ES"/>
        </w:rPr>
      </w:pPr>
      <w:r>
        <w:rPr>
          <w:rFonts w:cs="Noto Sans" w:ascii="Noto Sans" w:hAnsi="Noto Sans"/>
          <w:lang w:val="ca-ES"/>
        </w:rPr>
        <w:t>Amb la presentació de la sol·licitud de subvenció, la persona sol·licitant autoritza  l’Administració a comprovar d’ofici que es troba al corrent de les seves obligacions tributàries amb l’AEAT, l’ATIB i la Seguretat Social, llevat que marqui expressament que no autoritza l'Administració a fer aquestes consultes en la sol·licitud. En el cas en què no autoritzi l'Administració per fer aquestes consultes, la persona interessada haurà d'aportar la documentació corresponent amb la sol·licitud.</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2"/>
        </w:numPr>
        <w:shd w:val="clear" w:color="auto" w:fill="FFFFFF" w:themeFill="background1"/>
        <w:spacing w:lineRule="auto" w:line="259"/>
        <w:rPr/>
      </w:pPr>
      <w:r>
        <w:rPr>
          <w:rFonts w:eastAsia="Noto Sans" w:cs="Noto Sans" w:ascii="Noto Sans" w:hAnsi="Noto Sans"/>
          <w:lang w:val="ca-ES"/>
        </w:rPr>
        <w:t xml:space="preserve">Així mateix, amb la presentació de la sol·licitud, declara que es compromet a respectar els principis d'economia circular i evitar impactes negatius significatius en el medi ambient (DNSH) en l'execució de les actuacions dutes a terme en el marc d'aquest Pla, un dels principis transversals, per executar el que preveu la normativa europea d'aplicació, especialment per a tot el que fa referència a l'execució dels projectes del PRTR, d'acord amb el model de </w:t>
      </w:r>
      <w:r>
        <w:rPr>
          <w:rFonts w:eastAsia="Noto Sans" w:cs="Noto Sans" w:ascii="Noto Sans" w:hAnsi="Noto Sans"/>
          <w:lang w:val="ca-ES"/>
        </w:rPr>
        <w:t>l’</w:t>
      </w:r>
      <w:r>
        <w:rPr>
          <w:rFonts w:eastAsia="Noto Sans" w:cs="Noto Sans" w:ascii="Noto Sans" w:hAnsi="Noto Sans"/>
          <w:lang w:val="ca-ES"/>
        </w:rPr>
        <w:t xml:space="preserve">annex III de la Guia MITECO, que s'incorpora al formulari de la sol·licitud. </w:t>
      </w:r>
    </w:p>
    <w:p>
      <w:pPr>
        <w:pStyle w:val="Standard"/>
        <w:shd w:val="clear" w:color="auto" w:fill="FFFFFF" w:themeFill="background1"/>
        <w:spacing w:lineRule="auto" w:line="259"/>
        <w:ind w:left="360" w:hanging="360"/>
        <w:rPr>
          <w:rFonts w:ascii="Noto Sans" w:hAnsi="Noto Sans" w:eastAsia="Noto Sans" w:cs="Noto Sans"/>
          <w:lang w:val="ca-ES"/>
        </w:rPr>
      </w:pPr>
      <w:r>
        <w:rPr>
          <w:rFonts w:eastAsia="Noto Sans" w:cs="Noto Sans" w:ascii="Noto Sans" w:hAnsi="Noto Sans"/>
          <w:lang w:val="ca-ES"/>
        </w:rPr>
      </w:r>
    </w:p>
    <w:p>
      <w:pPr>
        <w:pStyle w:val="Standard"/>
        <w:numPr>
          <w:ilvl w:val="0"/>
          <w:numId w:val="12"/>
        </w:numPr>
        <w:shd w:val="clear" w:color="auto" w:fill="FFFFFF" w:themeFill="background1"/>
        <w:rPr>
          <w:rFonts w:ascii="Noto Sans" w:hAnsi="Noto Sans" w:cs="Noto Sans"/>
          <w:lang w:val="ca-ES"/>
        </w:rPr>
      </w:pPr>
      <w:r>
        <w:rPr>
          <w:rFonts w:cs="Noto Sans" w:ascii="Noto Sans" w:hAnsi="Noto Sans"/>
          <w:lang w:val="ca-ES"/>
        </w:rPr>
        <w:t xml:space="preserve">Tot i que la persona sol·licitant ha de declarar si ha rebut ajuts d’altres administracions, locals, autonòmiques, nacionals o europees, l’Administració ha de comprovar l’absència de doble finançament i les subvencions </w:t>
      </w:r>
      <w:r>
        <w:rPr>
          <w:rFonts w:cs="Noto Sans" w:ascii="Noto Sans" w:hAnsi="Noto Sans"/>
          <w:i/>
          <w:iCs/>
          <w:lang w:val="ca-ES"/>
        </w:rPr>
        <w:t>de minimis</w:t>
      </w:r>
      <w:r>
        <w:rPr>
          <w:rFonts w:cs="Noto Sans" w:ascii="Noto Sans" w:hAnsi="Noto Sans"/>
          <w:lang w:val="ca-ES"/>
        </w:rPr>
        <w:t xml:space="preserve"> concedides a la persona sol·licitant.  </w:t>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t xml:space="preserve">Una vegada comprovat en les diferents plataformes públiques si la persona sol·licitant ha obtingut altres subvencions </w:t>
      </w:r>
      <w:r>
        <w:rPr>
          <w:rFonts w:cs="Noto Sans" w:ascii="Noto Sans" w:hAnsi="Noto Sans"/>
          <w:i/>
          <w:iCs/>
          <w:lang w:val="ca-ES"/>
        </w:rPr>
        <w:t>de minimis</w:t>
      </w:r>
      <w:r>
        <w:rPr>
          <w:rFonts w:cs="Noto Sans" w:ascii="Noto Sans" w:hAnsi="Noto Sans"/>
          <w:lang w:val="ca-ES"/>
        </w:rPr>
        <w:t xml:space="preserve">, aquest import afectarà la intensitat de l’ajut, com estableix l’article 10 d’aquesta convocatòria. </w:t>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r>
    </w:p>
    <w:p>
      <w:pPr>
        <w:pStyle w:val="Standard"/>
        <w:numPr>
          <w:ilvl w:val="0"/>
          <w:numId w:val="12"/>
        </w:numPr>
        <w:shd w:val="clear" w:color="auto" w:fill="FFFFFF" w:themeFill="background1"/>
        <w:rPr>
          <w:rFonts w:ascii="Noto Sans" w:hAnsi="Noto Sans" w:cs="Noto Sans"/>
          <w:lang w:val="ca-ES"/>
        </w:rPr>
      </w:pPr>
      <w:r>
        <w:rPr>
          <w:rStyle w:val="Lletraperdefectedelpargraf1"/>
          <w:rFonts w:cs="Noto Sans" w:ascii="Noto Sans" w:hAnsi="Noto Sans"/>
          <w:shd w:fill="FFFFFF" w:val="clear"/>
          <w:lang w:val="ca-ES"/>
        </w:rPr>
        <w:t>La sol·licitud ha d’anar acompanyada de la documentació següent:</w:t>
      </w:r>
    </w:p>
    <w:p>
      <w:pPr>
        <w:pStyle w:val="Standard"/>
        <w:shd w:val="clear" w:color="auto" w:fill="FFFFFF" w:themeFill="background1"/>
        <w:rPr>
          <w:rFonts w:ascii="Noto Sans" w:hAnsi="Noto Sans" w:cs="Noto Sans"/>
          <w:highlight w:val="white"/>
          <w:lang w:val="ca-ES"/>
        </w:rPr>
      </w:pPr>
      <w:r>
        <w:rPr>
          <w:rFonts w:cs="Noto Sans" w:ascii="Noto Sans" w:hAnsi="Noto Sans"/>
          <w:highlight w:val="white"/>
          <w:lang w:val="ca-ES"/>
        </w:rPr>
      </w:r>
    </w:p>
    <w:p>
      <w:pPr>
        <w:pStyle w:val="Standard"/>
        <w:numPr>
          <w:ilvl w:val="0"/>
          <w:numId w:val="30"/>
        </w:numPr>
        <w:shd w:val="clear" w:color="auto" w:fill="FFFFFF" w:themeFill="background1"/>
        <w:rPr/>
      </w:pPr>
      <w:r>
        <w:rPr>
          <w:rFonts w:cs="Noto Sans" w:ascii="Noto Sans" w:hAnsi="Noto Sans"/>
          <w:shd w:fill="FFFFFF" w:val="clear"/>
          <w:lang w:val="ca-ES"/>
        </w:rPr>
        <w:t>Model de sol·licitud, degudament emplenat i signat digitalment per l’entitat sol·licitant o la persona representant d’aquesta, per qualsevol dels sistemes prevists en l'article 10 de la Llei 39/2015.</w:t>
      </w:r>
    </w:p>
    <w:p>
      <w:pPr>
        <w:pStyle w:val="Standard"/>
        <w:numPr>
          <w:ilvl w:val="0"/>
          <w:numId w:val="0"/>
        </w:numPr>
        <w:shd w:val="clear" w:color="auto" w:fill="FFFFFF" w:themeFill="background1"/>
        <w:ind w:left="720" w:hanging="0"/>
        <w:rPr>
          <w:rFonts w:ascii="Noto Sans" w:hAnsi="Noto Sans" w:cs="Noto Sans"/>
          <w:highlight w:val="white"/>
          <w:highlight w:val="white"/>
          <w:lang w:val="ca-ES"/>
        </w:rPr>
      </w:pPr>
      <w:r>
        <w:rPr/>
      </w:r>
    </w:p>
    <w:p>
      <w:pPr>
        <w:pStyle w:val="Standard"/>
        <w:numPr>
          <w:ilvl w:val="0"/>
          <w:numId w:val="30"/>
        </w:numPr>
        <w:shd w:val="clear" w:color="auto" w:fill="FFFFFF" w:themeFill="background1"/>
        <w:rPr/>
      </w:pPr>
      <w:r>
        <w:rPr>
          <w:rFonts w:cs="Noto Sans" w:ascii="Noto Sans" w:hAnsi="Noto Sans"/>
          <w:lang w:val="ca-ES"/>
        </w:rPr>
        <w:t>Còpia del DNI/NIE/targeta d'identificació fiscal de la persona sol·licitant i de la representant d'aquesta, si escau. No és necessària l'aportació de còpia de DNI/NIE/targeta d'identificació fiscal, si la persona interessada i la representant d'aquesta, si escau, presten el consentiment exprés perquè les seves dades d'identitat personal puguin ser consultades per l'òrgan instructor mitjançant el Sistema de Verificació de Dades d'Identitat.</w:t>
      </w:r>
    </w:p>
    <w:p>
      <w:pPr>
        <w:pStyle w:val="Standard"/>
        <w:numPr>
          <w:ilvl w:val="0"/>
          <w:numId w:val="0"/>
        </w:numPr>
        <w:shd w:val="clear" w:color="auto" w:fill="FFFFFF" w:themeFill="background1"/>
        <w:ind w:left="720" w:hanging="0"/>
        <w:rPr>
          <w:rFonts w:ascii="Noto Sans" w:hAnsi="Noto Sans" w:cs="Noto Sans"/>
          <w:lang w:val="ca-ES"/>
        </w:rPr>
      </w:pPr>
      <w:r>
        <w:rPr/>
      </w:r>
    </w:p>
    <w:p>
      <w:pPr>
        <w:pStyle w:val="Standard"/>
        <w:numPr>
          <w:ilvl w:val="0"/>
          <w:numId w:val="30"/>
        </w:numPr>
        <w:shd w:val="clear" w:color="auto" w:fill="FFFFFF" w:themeFill="background1"/>
        <w:rPr/>
      </w:pPr>
      <w:r>
        <w:rPr>
          <w:rFonts w:cs="Noto Sans" w:ascii="Noto Sans" w:hAnsi="Noto Sans"/>
          <w:shd w:fill="FFFFFF" w:val="clear"/>
          <w:lang w:val="ca-ES"/>
        </w:rPr>
        <w:t xml:space="preserve">La representació pot acreditar-se per qualsevol mitjà vàlid en dret, com pugui ser, entre d’altres, </w:t>
      </w:r>
      <w:r>
        <w:rPr>
          <w:rFonts w:cs="Noto Sans" w:ascii="Noto Sans" w:hAnsi="Noto Sans"/>
          <w:lang w:val="ca-ES"/>
        </w:rPr>
        <w:t xml:space="preserve">un certificat electrònic qualificat de signatura electrònica emès per un prestador qualificat de serveis electrònics de confiança. En el cas de representació mitjançant la inscripció en el Registre electrònic d'apoderaments (REA), és suficient indicar el número de registre. En la resta dels casos, s’ha d’aportar documentació fefaent que acrediti les facultats de </w:t>
      </w:r>
      <w:r>
        <w:rPr>
          <w:rFonts w:cs="Noto Sans" w:ascii="Noto Sans" w:hAnsi="Noto Sans"/>
          <w:shd w:fill="FFFFFF" w:val="clear"/>
          <w:lang w:val="ca-ES"/>
        </w:rPr>
        <w:t xml:space="preserve">representació de la persona que formula la sol·licitud d'ajuda com a representant de la persona sol·licitant, inscrita degudament, si escau, en els registres públics corresponents. </w:t>
      </w:r>
    </w:p>
    <w:p>
      <w:pPr>
        <w:pStyle w:val="Standard"/>
        <w:numPr>
          <w:ilvl w:val="0"/>
          <w:numId w:val="0"/>
        </w:numPr>
        <w:shd w:val="clear" w:color="auto" w:fill="FFFFFF" w:themeFill="background1"/>
        <w:ind w:left="720" w:hanging="0"/>
        <w:rPr>
          <w:rFonts w:ascii="Noto Sans" w:hAnsi="Noto Sans" w:cs="Noto Sans"/>
          <w:highlight w:val="white"/>
          <w:highlight w:val="white"/>
          <w:lang w:val="ca-ES"/>
        </w:rPr>
      </w:pPr>
      <w:r>
        <w:rPr/>
      </w:r>
    </w:p>
    <w:p>
      <w:pPr>
        <w:pStyle w:val="Standard"/>
        <w:numPr>
          <w:ilvl w:val="0"/>
          <w:numId w:val="30"/>
        </w:numPr>
        <w:shd w:val="clear" w:color="auto" w:fill="FFFFFF" w:themeFill="background1"/>
        <w:rPr/>
      </w:pPr>
      <w:r>
        <w:rPr>
          <w:rFonts w:cs="Noto Sans" w:ascii="Noto Sans" w:hAnsi="Noto Sans"/>
          <w:shd w:fill="FFFFFF" w:val="clear"/>
          <w:lang w:val="ca-ES"/>
        </w:rPr>
        <w:t>Certificat tributari de situació censal que acrediti les dades de la persona sol·licitant en el Cens d'empresaris, professionals i retenidors de l'Agència Estatal d'Administració Tributària o en el cens equivalent de l'Administració tributària foral, que ha de reflectir l'activitat econòmica efectivament desenvolupada, si legalment hi estan obligats.</w:t>
      </w:r>
    </w:p>
    <w:p>
      <w:pPr>
        <w:pStyle w:val="Standard"/>
        <w:numPr>
          <w:ilvl w:val="0"/>
          <w:numId w:val="0"/>
        </w:numPr>
        <w:shd w:val="clear" w:color="auto" w:fill="FFFFFF" w:themeFill="background1"/>
        <w:ind w:left="720" w:hanging="0"/>
        <w:rPr>
          <w:rFonts w:ascii="Noto Sans" w:hAnsi="Noto Sans" w:cs="Noto Sans"/>
          <w:highlight w:val="white"/>
          <w:highlight w:val="white"/>
          <w:lang w:val="ca-ES"/>
        </w:rPr>
      </w:pPr>
      <w:r>
        <w:rPr/>
      </w:r>
    </w:p>
    <w:p>
      <w:pPr>
        <w:pStyle w:val="Standard"/>
        <w:numPr>
          <w:ilvl w:val="0"/>
          <w:numId w:val="30"/>
        </w:numPr>
        <w:shd w:val="clear" w:color="auto" w:fill="FFFFFF" w:themeFill="background1"/>
        <w:rPr/>
      </w:pPr>
      <w:r>
        <w:rPr>
          <w:rStyle w:val="Lletraperdefectedelpargraf1"/>
          <w:rFonts w:cs="Noto Sans" w:ascii="Noto Sans" w:hAnsi="Noto Sans"/>
          <w:lang w:val="ca-ES"/>
        </w:rPr>
        <w:t>En el cas de les persones propietàries d’establiments turístics, l’acord amb la persona explotadora per dur a terme les actuacions objecte de la convocatòria, acreditable per qualsevol mitjà vàlid en dret.</w:t>
      </w:r>
    </w:p>
    <w:p>
      <w:pPr>
        <w:pStyle w:val="Standard"/>
        <w:numPr>
          <w:ilvl w:val="0"/>
          <w:numId w:val="0"/>
        </w:numPr>
        <w:shd w:val="clear" w:color="auto" w:fill="FFFFFF" w:themeFill="background1"/>
        <w:ind w:left="720" w:hanging="0"/>
        <w:rPr>
          <w:rStyle w:val="Lletraperdefectedelpargraf1"/>
          <w:rFonts w:ascii="Noto Sans" w:hAnsi="Noto Sans" w:cs="Noto Sans"/>
          <w:lang w:val="ca-ES"/>
        </w:rPr>
      </w:pPr>
      <w:r>
        <w:rPr/>
      </w:r>
    </w:p>
    <w:p>
      <w:pPr>
        <w:pStyle w:val="Standard"/>
        <w:numPr>
          <w:ilvl w:val="0"/>
          <w:numId w:val="30"/>
        </w:numPr>
        <w:shd w:val="clear" w:color="auto" w:fill="FFFFFF" w:themeFill="background1"/>
        <w:rPr>
          <w:rFonts w:ascii="Noto Sans" w:hAnsi="Noto Sans" w:cs="Noto Sans"/>
          <w:highlight w:val="white"/>
          <w:lang w:val="ca-ES"/>
        </w:rPr>
      </w:pPr>
      <w:r>
        <w:rPr>
          <w:rFonts w:cs="Noto Sans" w:ascii="Noto Sans" w:hAnsi="Noto Sans"/>
          <w:shd w:fill="FFFFFF" w:val="clear"/>
          <w:lang w:val="ca-ES"/>
        </w:rPr>
        <w:t>Declaració responsable inclosa en el model de sol·licitud, signada digitalment per la persona sol·licitant o la representant d'aquesta per qualsevol dels sistemes prevists en l'article 10 de la Llei 39/2015, on consti que la persona sol·licitant de l'actuació:</w:t>
      </w:r>
    </w:p>
    <w:p>
      <w:pPr>
        <w:pStyle w:val="Standard"/>
        <w:shd w:val="clear" w:color="auto" w:fill="FFFFFF" w:themeFill="background1"/>
        <w:rPr>
          <w:rFonts w:ascii="Noto Sans" w:hAnsi="Noto Sans" w:cs="Noto Sans"/>
          <w:highlight w:val="white"/>
          <w:lang w:val="ca-ES"/>
        </w:rPr>
      </w:pPr>
      <w:r>
        <w:rPr>
          <w:rFonts w:cs="Noto Sans" w:ascii="Noto Sans" w:hAnsi="Noto Sans"/>
          <w:highlight w:val="white"/>
          <w:lang w:val="ca-ES"/>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1r. No es troba en cap de les situacions previstes en l'article 10 del Text refós de la Llei de subvencions aprovat pel Decret legislatiu 2/2005 ni en l'article 13 de la Llei 38/2003. En particular, que es troba al corrent de les seves obligacions de reintegrament d'altres subvencions o ajudes, conforme als termes establerts en l'article 21 del Reglament de la Llei de subvencions.</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2n. Es troba al corrent en el compliment de les seves obligacions tributàries (AEAT i ATIB) i amb la Seguretat Social i que la persona sol·licitant, amb la presentació de la seva sol·licitud d'ajuda, autoritza l'òrgan instructor perquè pugui consultar directament aquesta informació. No obstant això, la persona sol·licitant pot denegar-ne expressament el consentiment i ha d'aportar, per tant, els certificats corresponents.</w:t>
      </w:r>
    </w:p>
    <w:p>
      <w:pPr>
        <w:pStyle w:val="Standard"/>
        <w:ind w:left="720" w:hanging="0"/>
        <w:rPr>
          <w:rFonts w:ascii="Noto Sans" w:hAnsi="Noto Sans" w:cs="Noto Sans"/>
          <w:highlight w:val="white"/>
          <w:lang w:val="ca-ES"/>
        </w:rPr>
      </w:pPr>
      <w:r>
        <w:rPr/>
      </w:r>
    </w:p>
    <w:p>
      <w:pPr>
        <w:pStyle w:val="Standard"/>
        <w:ind w:left="720" w:hanging="0"/>
        <w:rPr>
          <w:rFonts w:ascii="Noto Sans" w:hAnsi="Noto Sans" w:cs="Noto Sans"/>
          <w:highlight w:val="red"/>
          <w:lang w:val="ca-ES"/>
        </w:rPr>
      </w:pPr>
      <w:r>
        <w:rPr>
          <w:rFonts w:cs="Noto Sans" w:ascii="Noto Sans" w:hAnsi="Noto Sans"/>
          <w:shd w:fill="FFFFFF" w:val="clear"/>
          <w:lang w:val="ca-ES"/>
        </w:rPr>
        <w:t>3r. No ha sol·licitat o rebut altres ajudes per a la mateixa actuació o finalitat prevista en aquesta convocatòria i es compromet a informar d'aquelles que pugui sol·licitar o obtenir durant la tramitació d'aquesta ajuda, atesa la incompatibilitat establerta en l'article 13 d'aquesta convocatòria.</w:t>
      </w:r>
    </w:p>
    <w:p>
      <w:pPr>
        <w:pStyle w:val="Standard"/>
        <w:shd w:val="clear" w:color="auto" w:fill="FFFFFF" w:themeFill="background1"/>
        <w:ind w:left="720" w:hanging="0"/>
        <w:rPr>
          <w:rStyle w:val="Lletraperdefectedelpargraf1"/>
          <w:rFonts w:ascii="Noto Sans" w:hAnsi="Noto Sans" w:cs="Noto Sans"/>
          <w:highlight w:val="white"/>
          <w:lang w:val="ca-ES"/>
        </w:rPr>
      </w:pPr>
      <w:r>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shd w:fill="FFFFFF" w:val="clear"/>
          <w:lang w:val="ca-ES"/>
        </w:rPr>
        <w:t xml:space="preserve">4t. Pel que fa a les </w:t>
      </w:r>
      <w:r>
        <w:rPr>
          <w:rStyle w:val="Lletraperdefectedelpargraf1"/>
          <w:rFonts w:cs="Noto Sans" w:ascii="Noto Sans" w:hAnsi="Noto Sans"/>
          <w:lang w:val="ca-ES"/>
        </w:rPr>
        <w:t>empreses que presten serveis d’interès econòmic general</w:t>
      </w:r>
      <w:r>
        <w:rPr>
          <w:rStyle w:val="Lletraperdefectedelpargraf1"/>
          <w:rFonts w:cs="Noto Sans" w:ascii="Noto Sans" w:hAnsi="Noto Sans"/>
          <w:shd w:fill="FFFFFF" w:val="clear"/>
          <w:lang w:val="ca-ES"/>
        </w:rPr>
        <w:t xml:space="preserve">, coneix que l'ajuda sol·licitada, per la seva naturalesa específica com a ajuda </w:t>
      </w:r>
      <w:r>
        <w:rPr>
          <w:rStyle w:val="Lletraperdefectedelpargraf1"/>
          <w:rFonts w:cs="Noto Sans" w:ascii="Noto Sans" w:hAnsi="Noto Sans"/>
          <w:i/>
          <w:iCs/>
          <w:shd w:fill="FFFFFF" w:val="clear"/>
          <w:lang w:val="ca-ES"/>
        </w:rPr>
        <w:t>de minimis</w:t>
      </w:r>
      <w:r>
        <w:rPr>
          <w:rStyle w:val="Lletraperdefectedelpargraf1"/>
          <w:rFonts w:cs="Noto Sans" w:ascii="Noto Sans" w:hAnsi="Noto Sans"/>
          <w:shd w:fill="FFFFFF" w:val="clear"/>
          <w:lang w:val="ca-ES"/>
        </w:rPr>
        <w:t xml:space="preserve">, està subjecta als requisits i exigències del Reglament UE 2023/2832 i que, en conseqüència, la quantia total d'ajudes </w:t>
      </w:r>
      <w:r>
        <w:rPr>
          <w:rStyle w:val="Lletraperdefectedelpargraf1"/>
          <w:rFonts w:cs="Noto Sans" w:ascii="Noto Sans" w:hAnsi="Noto Sans"/>
          <w:i/>
          <w:iCs/>
          <w:shd w:fill="FFFFFF" w:val="clear"/>
          <w:lang w:val="ca-ES"/>
        </w:rPr>
        <w:t>de minimis</w:t>
      </w:r>
      <w:r>
        <w:rPr>
          <w:rStyle w:val="Lletraperdefectedelpargraf1"/>
          <w:rFonts w:cs="Noto Sans" w:ascii="Noto Sans" w:hAnsi="Noto Sans"/>
          <w:shd w:fill="FFFFFF" w:val="clear"/>
          <w:lang w:val="ca-ES"/>
        </w:rPr>
        <w:t xml:space="preserve"> percebudes com a empresa única procedents d'ajudes públiques o d'entitats públiques o privades finançades amb càrrec als pressuposts públics no pot superar els 750.000 euros en el període de tres anys. La definició d'</w:t>
      </w:r>
      <w:r>
        <w:rPr>
          <w:rStyle w:val="Lletraperdefectedelpargraf1"/>
          <w:rFonts w:cs="Noto Sans" w:ascii="Noto Sans" w:hAnsi="Noto Sans"/>
          <w:i/>
          <w:iCs/>
          <w:shd w:fill="FFFFFF" w:val="clear"/>
          <w:lang w:val="ca-ES"/>
        </w:rPr>
        <w:t>empresa única</w:t>
      </w:r>
      <w:r>
        <w:rPr>
          <w:rStyle w:val="Lletraperdefectedelpargraf1"/>
          <w:rFonts w:cs="Noto Sans" w:ascii="Noto Sans" w:hAnsi="Noto Sans"/>
          <w:shd w:fill="FFFFFF" w:val="clear"/>
          <w:lang w:val="ca-ES"/>
        </w:rPr>
        <w:t xml:space="preserve"> és l'establerta en l'article 2.2 del Reglament.</w:t>
      </w:r>
    </w:p>
    <w:p>
      <w:pPr>
        <w:pStyle w:val="Standard"/>
        <w:shd w:val="clear" w:color="auto" w:fill="FFFFFF" w:themeFill="background1"/>
        <w:spacing w:lineRule="auto" w:line="259"/>
        <w:ind w:left="720" w:hanging="0"/>
        <w:rPr>
          <w:rStyle w:val="Lletraperdefectedelpargraf1"/>
          <w:rFonts w:ascii="Noto Sans" w:hAnsi="Noto Sans" w:cs="Noto Sans"/>
          <w:lang w:val="ca-ES"/>
        </w:rPr>
      </w:pPr>
      <w:r>
        <w:rPr/>
      </w:r>
    </w:p>
    <w:p>
      <w:pPr>
        <w:pStyle w:val="Standard"/>
        <w:shd w:val="clear" w:color="auto" w:fill="FFFFFF" w:themeFill="background1"/>
        <w:spacing w:lineRule="auto" w:line="259"/>
        <w:ind w:left="720" w:hanging="0"/>
        <w:rPr>
          <w:rStyle w:val="Lletraperdefectedelpargraf1"/>
          <w:rFonts w:ascii="Noto Sans" w:hAnsi="Noto Sans" w:cs="Noto Sans"/>
          <w:lang w:val="ca-ES"/>
        </w:rPr>
      </w:pPr>
      <w:r>
        <w:rPr>
          <w:rStyle w:val="Lletraperdefectedelpargraf1"/>
          <w:rFonts w:cs="Noto Sans" w:ascii="Noto Sans" w:hAnsi="Noto Sans"/>
          <w:lang w:val="ca-ES"/>
        </w:rPr>
        <w:t xml:space="preserve">5è. En aquests casos, declara que no ha rebut ni sol·licitat com a empresa única ajudes </w:t>
      </w:r>
      <w:r>
        <w:rPr>
          <w:rStyle w:val="Lletraperdefectedelpargraf1"/>
          <w:rFonts w:cs="Noto Sans" w:ascii="Noto Sans" w:hAnsi="Noto Sans"/>
          <w:i/>
          <w:iCs/>
          <w:lang w:val="ca-ES"/>
        </w:rPr>
        <w:t>de minimis</w:t>
      </w:r>
      <w:r>
        <w:rPr>
          <w:rStyle w:val="Lletraperdefectedelpargraf1"/>
          <w:rFonts w:cs="Noto Sans" w:ascii="Noto Sans" w:hAnsi="Noto Sans"/>
          <w:lang w:val="ca-ES"/>
        </w:rPr>
        <w:t xml:space="preserve"> procedents d'administracions o d'entitats públiques o privades finançades amb càrrec als pressuposts públics per import superior a 750.000 euros en el període de tres anys. La definició d'</w:t>
      </w:r>
      <w:r>
        <w:rPr>
          <w:rStyle w:val="Lletraperdefectedelpargraf1"/>
          <w:rFonts w:cs="Noto Sans" w:ascii="Noto Sans" w:hAnsi="Noto Sans"/>
          <w:i/>
          <w:iCs/>
          <w:lang w:val="ca-ES"/>
        </w:rPr>
        <w:t>empresa única</w:t>
      </w:r>
      <w:r>
        <w:rPr>
          <w:rStyle w:val="Lletraperdefectedelpargraf1"/>
          <w:rFonts w:cs="Noto Sans" w:ascii="Noto Sans" w:hAnsi="Noto Sans"/>
          <w:lang w:val="ca-ES"/>
        </w:rPr>
        <w:t xml:space="preserve"> és l'establerta en l'article 2.2 del Reglament. En el cas d'haver-les sol·licitat, es fa constar l'import de l'ajuda sol·licitada i, si escau, l'obtingut, i també l'Administració o entitat pública o privada atorgant, i es compromet a informar d'aquelles que pugui sol·licitar o obtenir durant la tramitació d'aquesta ajuda.</w:t>
      </w:r>
    </w:p>
    <w:p>
      <w:pPr>
        <w:pStyle w:val="Standard"/>
        <w:shd w:val="clear" w:color="auto" w:fill="FFFFFF" w:themeFill="background1"/>
        <w:ind w:left="720" w:hanging="0"/>
        <w:rPr>
          <w:rStyle w:val="Lletraperdefectedelpargraf1"/>
          <w:rFonts w:ascii="Noto Sans" w:hAnsi="Noto Sans" w:cs="Noto Sans"/>
          <w:highlight w:val="white"/>
          <w:lang w:val="ca-ES"/>
        </w:rPr>
      </w:pPr>
      <w:r>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shd w:fill="FFFFFF" w:val="clear"/>
          <w:lang w:val="ca-ES"/>
        </w:rPr>
        <w:t xml:space="preserve">6è. En la resta dels casos, coneix que l'ajuda sol·licitada, per la seva naturalesa específica com a ajuda </w:t>
      </w:r>
      <w:r>
        <w:rPr>
          <w:rStyle w:val="Lletraperdefectedelpargraf1"/>
          <w:rFonts w:cs="Noto Sans" w:ascii="Noto Sans" w:hAnsi="Noto Sans"/>
          <w:i/>
          <w:iCs/>
          <w:shd w:fill="FFFFFF" w:val="clear"/>
          <w:lang w:val="ca-ES"/>
        </w:rPr>
        <w:t>de minimis</w:t>
      </w:r>
      <w:r>
        <w:rPr>
          <w:rStyle w:val="Lletraperdefectedelpargraf1"/>
          <w:rFonts w:cs="Noto Sans" w:ascii="Noto Sans" w:hAnsi="Noto Sans"/>
          <w:shd w:fill="FFFFFF" w:val="clear"/>
          <w:lang w:val="ca-ES"/>
        </w:rPr>
        <w:t xml:space="preserve">, està subjecta als requisits i exigències del Reglament UE 2023/2831 i que, en conseqüència, la quantia total d'ajudes </w:t>
      </w:r>
      <w:r>
        <w:rPr>
          <w:rStyle w:val="Lletraperdefectedelpargraf1"/>
          <w:rFonts w:cs="Noto Sans" w:ascii="Noto Sans" w:hAnsi="Noto Sans"/>
          <w:i/>
          <w:iCs/>
          <w:shd w:fill="FFFFFF" w:val="clear"/>
          <w:lang w:val="ca-ES"/>
        </w:rPr>
        <w:t>de minimis</w:t>
      </w:r>
      <w:r>
        <w:rPr>
          <w:rStyle w:val="Lletraperdefectedelpargraf1"/>
          <w:rFonts w:cs="Noto Sans" w:ascii="Noto Sans" w:hAnsi="Noto Sans"/>
          <w:shd w:fill="FFFFFF" w:val="clear"/>
          <w:lang w:val="ca-ES"/>
        </w:rPr>
        <w:t xml:space="preserve"> percebudes com a empresa única procedents d'ajudes públiques o d'entitats públiques o privades finançades amb càrrec als pressuposts públics no pot superar els 300.000 euros en el període de tres anys. La definició d'</w:t>
      </w:r>
      <w:r>
        <w:rPr>
          <w:rStyle w:val="Lletraperdefectedelpargraf1"/>
          <w:rFonts w:cs="Noto Sans" w:ascii="Noto Sans" w:hAnsi="Noto Sans"/>
          <w:i/>
          <w:iCs/>
          <w:shd w:fill="FFFFFF" w:val="clear"/>
          <w:lang w:val="ca-ES"/>
        </w:rPr>
        <w:t>empresa única</w:t>
      </w:r>
      <w:r>
        <w:rPr>
          <w:rStyle w:val="Lletraperdefectedelpargraf1"/>
          <w:rFonts w:cs="Noto Sans" w:ascii="Noto Sans" w:hAnsi="Noto Sans"/>
          <w:shd w:fill="FFFFFF" w:val="clear"/>
          <w:lang w:val="ca-ES"/>
        </w:rPr>
        <w:t xml:space="preserve"> és l'establerta en l'article 2.2 del Reglament.</w:t>
      </w:r>
    </w:p>
    <w:p>
      <w:pPr>
        <w:pStyle w:val="Standard"/>
        <w:shd w:val="clear" w:color="auto" w:fill="FFFFFF" w:themeFill="background1"/>
        <w:ind w:left="720" w:hanging="0"/>
        <w:rPr>
          <w:rStyle w:val="Lletraperdefectedelpargraf1"/>
          <w:rFonts w:ascii="Noto Sans" w:hAnsi="Noto Sans" w:cs="Noto Sans"/>
          <w:highlight w:val="white"/>
          <w:lang w:val="ca-ES"/>
        </w:rPr>
      </w:pPr>
      <w:r>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shd w:fill="FFFFFF" w:val="clear"/>
          <w:lang w:val="ca-ES"/>
        </w:rPr>
        <w:t xml:space="preserve">7è. En aquests casos, declara que no ha rebut ni sol·licitat com a empresa única ajudes </w:t>
      </w:r>
      <w:r>
        <w:rPr>
          <w:rStyle w:val="Lletraperdefectedelpargraf1"/>
          <w:rFonts w:cs="Noto Sans" w:ascii="Noto Sans" w:hAnsi="Noto Sans"/>
          <w:i/>
          <w:iCs/>
          <w:shd w:fill="FFFFFF" w:val="clear"/>
          <w:lang w:val="ca-ES"/>
        </w:rPr>
        <w:t>de minimis</w:t>
      </w:r>
      <w:r>
        <w:rPr>
          <w:rStyle w:val="Lletraperdefectedelpargraf1"/>
          <w:rFonts w:cs="Noto Sans" w:ascii="Noto Sans" w:hAnsi="Noto Sans"/>
          <w:shd w:fill="FFFFFF" w:val="clear"/>
          <w:lang w:val="ca-ES"/>
        </w:rPr>
        <w:t xml:space="preserve"> procedents d'administracions o d'entitats públiques o privades finançades amb càrrec als pressuposts públics per import superior a 300.000 euros en el període de tres anys. La definició d'</w:t>
      </w:r>
      <w:r>
        <w:rPr>
          <w:rStyle w:val="Lletraperdefectedelpargraf1"/>
          <w:rFonts w:cs="Noto Sans" w:ascii="Noto Sans" w:hAnsi="Noto Sans"/>
          <w:i/>
          <w:iCs/>
          <w:shd w:fill="FFFFFF" w:val="clear"/>
          <w:lang w:val="ca-ES"/>
        </w:rPr>
        <w:t>empresa única</w:t>
      </w:r>
      <w:r>
        <w:rPr>
          <w:rStyle w:val="Lletraperdefectedelpargraf1"/>
          <w:rFonts w:cs="Noto Sans" w:ascii="Noto Sans" w:hAnsi="Noto Sans"/>
          <w:shd w:fill="FFFFFF" w:val="clear"/>
          <w:lang w:val="ca-ES"/>
        </w:rPr>
        <w:t xml:space="preserve"> és l'establerta en l'article 2.2 del Reglament.  En el cas d'haver-les sol·licitat, es fa constar l'import de l'ajuda sol·licitada i, si escau, l'obtingut, i també l'Administració o entitat pública o privada atorgant, i es compromet a informar d'aquelles que pugui sol·licitar o obtenir durant la tramitació d'aquesta ajuda.</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8è. Si escau, no es troba en crisi, segons l'establert en els articles 2.18 i 1.4. del Reglament (UE) 651/2014.</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9è. Respecta el principi DNSH així com la normativa comunitària i nacional, especialment, el Reglament (UE) 2021/241; el Reglament (UE) 2020/852 (Reglament de taxonomia), i la Guia tècnica de la Comissió Europea 2021/C 58/01 sobre l'aplicació d'aquest principi.</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10è. No incorre en doble finançament de les actuacions que s'han d'executar i, si escau, no li consta risc d'incompatibilitat amb el règim d'ajudes d'estat.</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11è. Manifesta el seu compromís amb els estàndards més exigents amb relació al compliment de les normes jurídiques, ètiques i morals; adopta les mesures necessàries per prevenir i detectar el frau, la corrupció i els conflictes d'interessos, i comunica els incompliments observats, si escau, a les autoritats que procedeixin.</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12è. Coneix la normativa aplicable en matèria de cessió i tractament de dades, en particular, l'article 22 del Reglament (UE) 2021/241.</w:t>
      </w:r>
    </w:p>
    <w:p>
      <w:pPr>
        <w:pStyle w:val="Standard"/>
        <w:shd w:val="clear" w:color="auto" w:fill="FFFFFF" w:themeFill="background1"/>
        <w:ind w:left="720" w:hanging="0"/>
        <w:rPr>
          <w:rFonts w:ascii="Noto Sans" w:hAnsi="Noto Sans" w:cs="Noto Sans"/>
          <w:highlight w:val="white"/>
          <w:lang w:val="ca-ES"/>
        </w:rPr>
      </w:pPr>
      <w:r>
        <w:rPr/>
      </w:r>
    </w:p>
    <w:p>
      <w:pPr>
        <w:pStyle w:val="Standard"/>
        <w:shd w:val="clear" w:color="auto" w:fill="FFFFFF" w:themeFill="background1"/>
        <w:ind w:left="720" w:hanging="0"/>
        <w:rPr>
          <w:rFonts w:ascii="Noto Sans" w:hAnsi="Noto Sans" w:cs="Noto Sans"/>
          <w:highlight w:val="white"/>
          <w:lang w:val="ca-ES"/>
        </w:rPr>
      </w:pPr>
      <w:r>
        <w:rPr>
          <w:rFonts w:cs="Noto Sans" w:ascii="Noto Sans" w:hAnsi="Noto Sans"/>
          <w:shd w:fill="FFFFFF" w:val="clear"/>
          <w:lang w:val="ca-ES"/>
        </w:rPr>
        <w:t>13è. En el cas de ser persona jurídica, que està degudament constituïda conforme a la normativa que resulta d’aplicació, disposa d’escriptura pública de constitució i consta inscrita en el Registre corresponent.</w:t>
      </w:r>
    </w:p>
    <w:p>
      <w:pPr>
        <w:pStyle w:val="Standard"/>
        <w:shd w:val="clear" w:color="auto" w:fill="FFFFFF" w:themeFill="background1"/>
        <w:spacing w:lineRule="auto" w:line="259"/>
        <w:ind w:left="720" w:hanging="0"/>
        <w:rPr>
          <w:rStyle w:val="Lletraperdefectedelpargraf1"/>
          <w:rFonts w:ascii="Noto Sans" w:hAnsi="Noto Sans" w:cs="Noto Sans"/>
          <w:highlight w:val="white"/>
          <w:lang w:val="ca-ES"/>
        </w:rPr>
      </w:pPr>
      <w:r>
        <w:rPr/>
      </w:r>
    </w:p>
    <w:p>
      <w:pPr>
        <w:pStyle w:val="Standard"/>
        <w:shd w:val="clear" w:color="auto" w:fill="FFFFFF" w:themeFill="background1"/>
        <w:spacing w:lineRule="auto" w:line="259"/>
        <w:ind w:left="720" w:hanging="0"/>
        <w:rPr>
          <w:rStyle w:val="Lletraperdefectedelpargraf1"/>
          <w:rFonts w:ascii="Noto Sans" w:hAnsi="Noto Sans" w:cs="Noto Sans"/>
          <w:lang w:val="ca-ES"/>
        </w:rPr>
      </w:pPr>
      <w:r>
        <w:rPr>
          <w:rStyle w:val="Lletraperdefectedelpargraf1"/>
          <w:rFonts w:cs="Noto Sans" w:ascii="Noto Sans" w:hAnsi="Noto Sans"/>
          <w:shd w:fill="FFFFFF" w:val="clear"/>
          <w:lang w:val="ca-ES"/>
        </w:rPr>
        <w:t>14è.  No ha estat sancionada  o condemnada per resolució ferma en els darrers tres anys per haver exercit o tolerat pràctiques laborals considerades discriminatòries per raó de sexe o de gènere, d'acord amb el que estableix l'article 11 de la Llei autonòmica 11/2016, de 28 de juliol, d'igualtat de dones i homes</w:t>
      </w:r>
      <w:r>
        <w:rPr>
          <w:rStyle w:val="Lletraperdefectedelpargraf1"/>
          <w:rFonts w:cs="Noto Sans" w:ascii="Noto Sans" w:hAnsi="Noto Sans"/>
          <w:lang w:val="ca-ES"/>
        </w:rPr>
        <w:t>.</w:t>
      </w:r>
    </w:p>
    <w:p>
      <w:pPr>
        <w:pStyle w:val="Standard"/>
        <w:shd w:val="clear" w:color="auto" w:fill="FFFFFF" w:themeFill="background1"/>
        <w:ind w:left="720" w:hanging="0"/>
        <w:rPr>
          <w:rStyle w:val="Lletraperdefectedelpargraf1"/>
          <w:rFonts w:ascii="Noto Sans" w:hAnsi="Noto Sans" w:cs="Noto Sans"/>
          <w:lang w:val="ca-ES"/>
        </w:rPr>
      </w:pPr>
      <w:r>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15è. Si escau, manifesta que l’actuació presentada es durà a terme o destinarà íntegrament a l’establiment per al qual se sol·licita la subvenció.</w:t>
      </w:r>
    </w:p>
    <w:p>
      <w:pPr>
        <w:pStyle w:val="Standard"/>
        <w:shd w:val="clear" w:color="auto" w:fill="FFFFFF" w:themeFill="background1"/>
        <w:ind w:left="720" w:hanging="0"/>
        <w:rPr>
          <w:rStyle w:val="Lletraperdefectedelpargraf1"/>
          <w:rFonts w:ascii="Noto Sans" w:hAnsi="Noto Sans" w:cs="Noto Sans"/>
          <w:lang w:val="ca-ES"/>
        </w:rPr>
      </w:pPr>
      <w:r>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16è. Si escau, manifesta que les dades aportades en aquesta sol·licitud sobre l’establiment són les que figuren en el corresponent registre insular d’empreses, activitats i establiments turístics de les Illes Balears, especialment, les referides a número d’inscripció, nom de l’establiment, persona propietària, persona explotadora i tipologia de l’establiment.</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r>
    </w:p>
    <w:p>
      <w:pPr>
        <w:pStyle w:val="Standard"/>
        <w:numPr>
          <w:ilvl w:val="0"/>
          <w:numId w:val="30"/>
        </w:numPr>
        <w:shd w:val="clear" w:color="auto" w:fill="FFFFFF" w:themeFill="background1"/>
        <w:rPr/>
      </w:pPr>
      <w:r>
        <w:rPr>
          <w:rStyle w:val="Lletraperdefectedelpargraf1"/>
          <w:rFonts w:cs="Noto Sans" w:ascii="Noto Sans" w:hAnsi="Noto Sans"/>
          <w:lang w:val="ca-ES"/>
        </w:rPr>
        <w:t>Declaració de veracitat de les dades bancàries, a l'efecte de l'ingrés derivat del procediment, amb indicació del número IBAN i de la persona titular del compte bancari, que ha de coincidir amb la persona sol·licitant. L'Administració de la Comunitat Autònoma de les Illes Balears, una vegada realitzat l'ingrés en el número de compte indicat, queda eximida de responsabilitat per les actuacions que derivin d'errors en la informació indicada per la persona sol·licitant.</w:t>
      </w:r>
    </w:p>
    <w:p>
      <w:pPr>
        <w:pStyle w:val="Standard"/>
        <w:numPr>
          <w:ilvl w:val="0"/>
          <w:numId w:val="0"/>
        </w:numPr>
        <w:shd w:val="clear" w:color="auto" w:fill="FFFFFF" w:themeFill="background1"/>
        <w:ind w:left="720" w:hanging="0"/>
        <w:rPr>
          <w:rStyle w:val="Lletraperdefectedelpargraf1"/>
          <w:rFonts w:ascii="Noto Sans" w:hAnsi="Noto Sans" w:cs="Noto Sans"/>
          <w:lang w:val="ca-ES"/>
        </w:rPr>
      </w:pPr>
      <w:r>
        <w:rPr/>
      </w:r>
    </w:p>
    <w:p>
      <w:pPr>
        <w:pStyle w:val="Standard"/>
        <w:numPr>
          <w:ilvl w:val="0"/>
          <w:numId w:val="30"/>
        </w:numPr>
        <w:shd w:val="clear" w:color="auto" w:fill="FFFFFF" w:themeFill="background1"/>
        <w:rPr/>
      </w:pPr>
      <w:r>
        <w:rPr>
          <w:rFonts w:cs="Noto Sans" w:ascii="Noto Sans" w:hAnsi="Noto Sans"/>
          <w:lang w:val="ca-ES"/>
        </w:rPr>
        <w:t>Acceptació de la cessió de dades entre les administracions públiques implicades per donar compliment al que preveu la normativa europea que és aplicable i de conformitat amb la Llei orgànica 3/2018.</w:t>
      </w:r>
    </w:p>
    <w:p>
      <w:pPr>
        <w:pStyle w:val="Standard"/>
        <w:numPr>
          <w:ilvl w:val="0"/>
          <w:numId w:val="0"/>
        </w:numPr>
        <w:shd w:val="clear" w:color="auto" w:fill="FFFFFF" w:themeFill="background1"/>
        <w:ind w:left="720" w:hanging="0"/>
        <w:rPr>
          <w:rFonts w:ascii="Noto Sans" w:hAnsi="Noto Sans" w:cs="Noto Sans"/>
          <w:lang w:val="ca-ES"/>
        </w:rPr>
      </w:pPr>
      <w:r>
        <w:rPr/>
      </w:r>
    </w:p>
    <w:p>
      <w:pPr>
        <w:pStyle w:val="Standard"/>
        <w:numPr>
          <w:ilvl w:val="0"/>
          <w:numId w:val="30"/>
        </w:numPr>
        <w:shd w:val="clear" w:color="auto" w:fill="FFFFFF" w:themeFill="background1"/>
        <w:rPr>
          <w:rFonts w:ascii="Noto Sans" w:hAnsi="Noto Sans" w:cs="Noto Sans"/>
          <w:lang w:val="ca-ES"/>
        </w:rPr>
      </w:pPr>
      <w:r>
        <w:rPr>
          <w:rFonts w:cs="Noto Sans" w:ascii="Noto Sans" w:hAnsi="Noto Sans"/>
          <w:lang w:val="ca-ES"/>
        </w:rPr>
        <w:t>Estudi detallat explicatiu de l'actuació que s'ha de subvencionar, que inclogui, com a mínim:</w:t>
      </w:r>
    </w:p>
    <w:p>
      <w:pPr>
        <w:pStyle w:val="Standard"/>
        <w:shd w:val="clear" w:color="auto" w:fill="FFFFFF" w:themeFill="background1"/>
        <w:ind w:left="72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1r. La descripció de l’actuació per realitzar.</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t>2n. El cronograma detallat per dur-la a terme.</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t>3r. El pressupost previst i detallat de l’actuació.</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30"/>
        </w:numPr>
        <w:shd w:val="clear" w:color="auto" w:fill="FFFFFF" w:themeFill="background1"/>
        <w:spacing w:lineRule="auto" w:line="259"/>
        <w:rPr/>
      </w:pPr>
      <w:r>
        <w:rPr>
          <w:rFonts w:cs="Noto Sans" w:ascii="Noto Sans" w:hAnsi="Noto Sans"/>
          <w:lang w:val="ca-ES"/>
        </w:rPr>
        <w:t>L’annex II de la Guia per al disseny i desenvolupament d'actuacions d’acord amb el principi de no causar un perjudici significatiu al medi ambient (MITECO) degudament emplenat i signat digitalment.</w:t>
      </w:r>
    </w:p>
    <w:p>
      <w:pPr>
        <w:pStyle w:val="Standard"/>
        <w:numPr>
          <w:ilvl w:val="0"/>
          <w:numId w:val="0"/>
        </w:numPr>
        <w:shd w:val="clear" w:color="auto" w:fill="FFFFFF" w:themeFill="background1"/>
        <w:spacing w:lineRule="auto" w:line="259"/>
        <w:ind w:left="720" w:hanging="0"/>
        <w:rPr>
          <w:rFonts w:ascii="Noto Sans" w:hAnsi="Noto Sans" w:cs="Noto Sans"/>
          <w:lang w:val="ca-ES"/>
        </w:rPr>
      </w:pPr>
      <w:r>
        <w:rPr/>
      </w:r>
    </w:p>
    <w:p>
      <w:pPr>
        <w:pStyle w:val="Standard"/>
        <w:numPr>
          <w:ilvl w:val="0"/>
          <w:numId w:val="30"/>
        </w:numPr>
        <w:shd w:val="clear" w:color="auto" w:fill="FFFFFF" w:themeFill="background1"/>
        <w:spacing w:lineRule="auto" w:line="259"/>
        <w:rPr/>
      </w:pPr>
      <w:r>
        <w:rPr>
          <w:rFonts w:cs="Noto Sans" w:ascii="Noto Sans" w:hAnsi="Noto Sans"/>
          <w:lang w:val="ca-ES"/>
        </w:rPr>
        <w:t>Quan l’import d’alguna de les despeses subvencionables superi els 15.000 euros si es tracta de subministraments o serveis, o els 40.000 euros si es tracta d’obres</w:t>
      </w:r>
      <w:r>
        <w:rPr>
          <w:rStyle w:val="Lletraperdefectedelpargraf1"/>
          <w:rFonts w:cs="Noto Sans" w:ascii="Noto Sans" w:hAnsi="Noto Sans"/>
          <w:lang w:val="ca-ES"/>
        </w:rPr>
        <w:t>, l’entitat sol·licitant haurà de presentar com a mínim tres pressuposts de diferents empreses proveïdores amb caràcter previ a la contracció del compromís per a la prestació del servei o l’entrega del bé, excepte que per les característiques especials de les despeses no hi hagi en el mercat suficient nombre d’empreses que el subministrin o prestin, o excepte que la despesa s’hagi efectuat abans de la sol·licitud de subvenció. L’elecció dels pressuposts presentats s’ha de fer conforme a criteris d’eficiència i economia, i s’ha de justificar expressament en l’estudi detallat quan no hagi recaigut en la proposta econòmica més avantatjosa.</w:t>
      </w:r>
    </w:p>
    <w:p>
      <w:pPr>
        <w:pStyle w:val="Standard"/>
        <w:numPr>
          <w:ilvl w:val="0"/>
          <w:numId w:val="0"/>
        </w:numPr>
        <w:shd w:val="clear" w:color="auto" w:fill="FFFFFF" w:themeFill="background1"/>
        <w:spacing w:lineRule="auto" w:line="259"/>
        <w:ind w:left="720" w:hanging="0"/>
        <w:rPr>
          <w:rStyle w:val="Lletraperdefectedelpargraf1"/>
          <w:rFonts w:ascii="Noto Sans" w:hAnsi="Noto Sans" w:cs="Noto Sans"/>
          <w:lang w:val="ca-ES"/>
        </w:rPr>
      </w:pPr>
      <w:r>
        <w:rPr/>
      </w:r>
    </w:p>
    <w:p>
      <w:pPr>
        <w:pStyle w:val="Standard"/>
        <w:numPr>
          <w:ilvl w:val="0"/>
          <w:numId w:val="30"/>
        </w:numPr>
        <w:shd w:val="clear" w:color="auto" w:fill="FFFFFF" w:themeFill="background1"/>
        <w:spacing w:lineRule="auto" w:line="259"/>
        <w:rPr>
          <w:rStyle w:val="Lletraperdefectedelpargraf1"/>
          <w:rFonts w:ascii="Noto Sans" w:hAnsi="Noto Sans" w:cs="Noto Sans"/>
          <w:lang w:val="ca-ES"/>
        </w:rPr>
      </w:pPr>
      <w:r>
        <w:rPr>
          <w:rStyle w:val="Lletraperdefectedelpargraf1"/>
          <w:rFonts w:cs="Noto Sans" w:ascii="Noto Sans" w:hAnsi="Noto Sans"/>
          <w:lang w:val="ca-ES"/>
        </w:rPr>
        <w:t>En el cas que l’import de la subvenció superi els 30.000 euros, les persones físiques i jurídiques, distintes de les entitats de dret públic, amb ànim de lucre, subjectes a la Llei 3/2004, de 29 de desembre, per la qual s’estableixen mesures de lluita contra la morositat en les operacions comercials, han d’acreditar que compleixen els terminis de pagament que s’estableixen en l’esmentada Llei per obtenir la condició de persona beneficiària. L'acreditació del grau de compliment establert s'ha d'efectuar pels mitjans de prova següents:</w:t>
      </w:r>
    </w:p>
    <w:p>
      <w:pPr>
        <w:pStyle w:val="Standard"/>
        <w:shd w:val="clear" w:color="auto" w:fill="FFFFFF" w:themeFill="background1"/>
        <w:spacing w:lineRule="auto" w:line="259"/>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1r. Les persones físiques i jurídiques que, d'acord amb la normativa comptable, poden presentar compte de pèrdues i guanys abreujat, mitjançant un certificat subscrit per l'òrgan d'administració o equivalent, amb poder de representació suficient, en el qual afirmin que han assolit el grau de compliment dels terminis de pagament que estableix la Llei 3/2004. També poden acreditar aquesta circumstància per algun dels mitjans de prova que estableix el segon punt i amb subjecció a la regulació d'aquests.</w:t>
      </w:r>
    </w:p>
    <w:p>
      <w:pPr>
        <w:pStyle w:val="Standard"/>
        <w:shd w:val="clear" w:color="auto" w:fill="FFFFFF" w:themeFill="background1"/>
        <w:ind w:left="720" w:hanging="0"/>
        <w:rPr>
          <w:rStyle w:val="Lletraperdefectedelpargraf1"/>
          <w:rFonts w:ascii="Noto Sans" w:hAnsi="Noto Sans" w:cs="Noto Sans"/>
          <w:lang w:val="ca-ES"/>
        </w:rPr>
      </w:pPr>
      <w:r>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2n. Les persones jurídiques que, d'acord amb la normativa comptable, no poden presentar compte de pèrdues i guanys abreujat, mitjançant un certificat emès per un auditor o auditora inscrit en el Registre oficial d'auditors de comptes, que contingui una transcripció desglossada de la informació en matèria de pagaments descrita en la memòria dels últims comptes anuals auditats, quan se'n desprengui que s'assoleix el grau de compliment dels terminis de pagament que estableix la Llei 3/2004 determinat en aquest apartat, sobre la base de la informació que requereix la disposició addicional tercera de la Llei 15/2010, de 5 de juliol, de modificació de la Llei 3/2004. Aquest certificat és vàlid fins que no siguin auditats els comptes anuals de l'exercici següent.</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 xml:space="preserve">En el cas que no sigui possible emetre el certificat al qual es refereix el paràgraf anterior, un informe de procediments acordats, elaborat per un auditor o auditora inscrit en el Registre oficial d'auditors de comptes, que, sobre la base de la revisió d'una mostra representativa de les factures pendents de pagament a proveïdors de la societat en una data de referència, conclogui sense la detecció d'excepcions al compliment dels terminis de pagament de la Llei 3/2004, o, en el cas que es detectin, que aquestes no impedeixen assolir el grau de compliment que es requereix en el paràgraf anterior. </w:t>
      </w:r>
    </w:p>
    <w:p>
      <w:pPr>
        <w:pStyle w:val="Standard"/>
        <w:shd w:val="clear" w:color="auto" w:fill="FFFFFF" w:themeFill="background1"/>
        <w:spacing w:lineRule="auto" w:line="259"/>
        <w:ind w:left="720" w:hanging="0"/>
        <w:rPr>
          <w:rStyle w:val="Lletraperdefectedelpargraf1"/>
          <w:rFonts w:ascii="Noto Sans" w:hAnsi="Noto Sans" w:cs="Noto Sans"/>
          <w:lang w:val="ca-ES"/>
        </w:rPr>
      </w:pPr>
      <w:r>
        <w:rPr>
          <w:rStyle w:val="Lletraperdefectedelpargraf1"/>
          <w:rFonts w:cs="Noto Sans" w:ascii="Noto Sans" w:hAnsi="Noto Sans"/>
          <w:lang w:val="ca-ES"/>
        </w:rPr>
        <w:t>No obstant això, si el certificat de l’auditor o auditora o l’informe de procediments acordats no es poden obtenir abans de l’acabament d’aquest termini, s’ha d’aportar justificant d’haver-los sol·licitat i, una vegada obtinguts, s’han de presentar immediatament i, en tots els casos, abans de la resolució de concessió.</w:t>
      </w:r>
    </w:p>
    <w:p>
      <w:pPr>
        <w:pStyle w:val="Standard"/>
        <w:shd w:val="clear" w:color="auto" w:fill="FFFFFF" w:themeFill="background1"/>
        <w:spacing w:lineRule="auto" w:line="259"/>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16</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 xml:space="preserve">Esmena de deficiències </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r>
    </w:p>
    <w:p>
      <w:pPr>
        <w:pStyle w:val="Standard"/>
        <w:numPr>
          <w:ilvl w:val="0"/>
          <w:numId w:val="8"/>
        </w:numPr>
        <w:shd w:val="clear" w:color="auto" w:fill="FFFFFF" w:themeFill="background1"/>
        <w:spacing w:lineRule="auto" w:line="259"/>
        <w:rPr>
          <w:rFonts w:ascii="Noto Sans" w:hAnsi="Noto Sans" w:cs="Noto Sans"/>
          <w:lang w:val="ca-ES"/>
        </w:rPr>
      </w:pPr>
      <w:r>
        <w:rPr>
          <w:rFonts w:cs="Noto Sans" w:ascii="Noto Sans" w:hAnsi="Noto Sans"/>
          <w:lang w:val="ca-ES"/>
        </w:rPr>
        <w:t>Si la sol·licitud no compleix els requisits prevists en aquesta convocatòria o no va acompanyada de la documentació exigida, l’òrgan instructor ha de requerir  l’entitat sol·licitant que, en un termini de deu dies hàbils comptadors des de l’endemà d’haver-se notificat el requeriment, esmeni les deficiències, amb indicació que, si no ho fa, s’entén que ha desistit de la sol·licitud, després de la resolució prèvia que s’ha de dictar d’acord amb l’article 21.1 de la Llei 39/2015.</w:t>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r>
    </w:p>
    <w:p>
      <w:pPr>
        <w:pStyle w:val="Standard"/>
        <w:numPr>
          <w:ilvl w:val="0"/>
          <w:numId w:val="8"/>
        </w:numPr>
        <w:shd w:val="clear" w:color="auto" w:fill="FFFFFF" w:themeFill="background1"/>
        <w:spacing w:lineRule="auto" w:line="259"/>
        <w:rPr>
          <w:rFonts w:ascii="Noto Sans" w:hAnsi="Noto Sans" w:cs="Noto Sans"/>
          <w:lang w:val="ca-ES"/>
        </w:rPr>
      </w:pPr>
      <w:r>
        <w:rPr>
          <w:rFonts w:cs="Noto Sans" w:ascii="Noto Sans" w:hAnsi="Noto Sans"/>
          <w:lang w:val="ca-ES"/>
        </w:rPr>
        <w:t>Les esmenes de deficiències s’han de fer  a través d</w:t>
      </w:r>
      <w:r>
        <w:rPr>
          <w:rStyle w:val="Lletraperdefectedelpargraf1"/>
          <w:rFonts w:cs="Noto Sans" w:ascii="Noto Sans" w:hAnsi="Noto Sans"/>
          <w:lang w:val="ca-ES"/>
        </w:rPr>
        <w:t>el tràmit electrònic específic  que es posa a disposició de les persones interessades en la Seu Electrònica. S’hi podrà accedir des del portal web de l’AETIB, la Seu Electrònica de la CAIB i la web invertimenturisme.caib.es.</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8"/>
        </w:numPr>
        <w:shd w:val="clear" w:color="auto" w:fill="FFFFFF" w:themeFill="background1"/>
        <w:spacing w:lineRule="auto" w:line="259"/>
        <w:rPr>
          <w:rFonts w:ascii="Noto Sans" w:hAnsi="Noto Sans" w:cs="Noto Sans"/>
          <w:lang w:val="ca-ES"/>
        </w:rPr>
      </w:pPr>
      <w:r>
        <w:rPr>
          <w:rFonts w:cs="Noto Sans" w:ascii="Noto Sans" w:hAnsi="Noto Sans"/>
          <w:lang w:val="ca-ES"/>
        </w:rPr>
        <w:t>Qualsevol documentació fora dels tràmits electrònics específics de la Seu Electrònica s’ha d’entendre com a no presentada.</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17</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Selecció de les persones beneficiàries</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9"/>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La selecció de les persones beneficiàries de les subvencions s’ha d’efectuar mitjançant el procediment de concurrència no competitiva. Les persones beneficiàries han de ser seleccionades per rigorós ordre d’entrada de les sol·licituds, d’acord amb l’article 14, i fins haver-se exhaurit el crèdit pressupostari assignat en aquesta convocatòria.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9"/>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shd w:fill="FFFFFF" w:val="clear"/>
          <w:lang w:val="ca-ES"/>
        </w:rPr>
        <w:t>Atès que l’objecte d’aquesta ajuda és el finançament d’actuacions que no requereixen la valoració comparativa amb altres propostes, es poden dictar les resolucions de concessió, una vegada que s’hagi comprovat el compliment dels requisits, encara que no hagi finalitzat el període de presentació de les sol·licituds.</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numPr>
          <w:ilvl w:val="0"/>
          <w:numId w:val="9"/>
        </w:numPr>
        <w:shd w:val="clear" w:color="auto" w:fill="FFFFFF" w:themeFill="background1"/>
        <w:rPr>
          <w:rFonts w:ascii="Noto Sans" w:hAnsi="Noto Sans" w:cs="Noto Sans"/>
          <w:lang w:val="ca-ES"/>
        </w:rPr>
      </w:pPr>
      <w:r>
        <w:rPr>
          <w:rFonts w:cs="Noto Sans" w:ascii="Noto Sans" w:hAnsi="Noto Sans"/>
          <w:lang w:val="ca-ES"/>
        </w:rPr>
        <w:t>L'anàlisi de risc de conflicte d'interès previst en l'Ordre HFP/55/2023 s'ha de fer una vegada que s'hagin analitzat les sol·licituds i abans d'emetre les propostes de resolució.</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18</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Òrgan competent i instrucció</w:t>
      </w:r>
    </w:p>
    <w:p>
      <w:pPr>
        <w:pStyle w:val="Standard"/>
        <w:shd w:val="clear" w:color="auto" w:fill="FFFFFF" w:themeFill="background1"/>
        <w:rPr>
          <w:rStyle w:val="Lletraperdefectedelpargraf1"/>
          <w:rFonts w:ascii="Noto Sans" w:hAnsi="Noto Sans" w:cs="Noto Sans"/>
          <w:lang w:val="ca-ES"/>
        </w:rPr>
      </w:pPr>
      <w:r>
        <w:rPr>
          <w:rFonts w:cs="Noto Sans" w:ascii="Noto Sans" w:hAnsi="Noto Sans"/>
          <w:lang w:val="ca-ES"/>
        </w:rPr>
      </w:r>
    </w:p>
    <w:p>
      <w:pPr>
        <w:pStyle w:val="Standard"/>
        <w:numPr>
          <w:ilvl w:val="0"/>
          <w:numId w:val="6"/>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L’inici i la resolució del procediment de les ajudes regulades en aquesta convocatòria correspon al conseller de Turisme, Cultura i Esports, com a p</w:t>
      </w:r>
      <w:r>
        <w:rPr>
          <w:rStyle w:val="Lletraperdefectedelpargraf1"/>
          <w:rFonts w:cs="Noto Sans" w:ascii="Noto Sans" w:hAnsi="Noto Sans"/>
          <w:shd w:fill="FFFFFF" w:val="clear"/>
          <w:lang w:val="ca-ES"/>
        </w:rPr>
        <w:t>resident de l’AETIB.</w:t>
      </w:r>
      <w:r>
        <w:rPr>
          <w:rStyle w:val="Lletraperdefectedelpargraf1"/>
          <w:rFonts w:cs="Noto Sans" w:ascii="Noto Sans" w:hAnsi="Noto Sans"/>
          <w:shd w:fill="FFFF00" w:val="clear"/>
          <w:lang w:val="ca-ES"/>
        </w:rPr>
        <w:t xml:space="preserve"> </w:t>
      </w:r>
    </w:p>
    <w:p>
      <w:pPr>
        <w:pStyle w:val="Standard"/>
        <w:shd w:val="clear" w:color="auto" w:fill="FFFFFF" w:themeFill="background1"/>
        <w:ind w:left="360" w:hanging="0"/>
        <w:rPr>
          <w:rFonts w:ascii="Noto Sans" w:hAnsi="Noto Sans" w:eastAsia="Noto Sans" w:cs="Noto Sans"/>
          <w:color w:val="FF0000"/>
          <w:lang w:val="ca-ES"/>
        </w:rPr>
      </w:pPr>
      <w:r>
        <w:rPr>
          <w:rFonts w:eastAsia="Noto Sans" w:cs="Noto Sans" w:ascii="Noto Sans" w:hAnsi="Noto Sans"/>
          <w:color w:val="FF0000"/>
          <w:lang w:val="ca-ES"/>
        </w:rPr>
      </w:r>
    </w:p>
    <w:p>
      <w:pPr>
        <w:pStyle w:val="Standard"/>
        <w:numPr>
          <w:ilvl w:val="0"/>
          <w:numId w:val="6"/>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L’òrgan competent per a la instrucció del procediment és la </w:t>
      </w:r>
      <w:r>
        <w:rPr>
          <w:rStyle w:val="Lletraperdefectedelpargraf1"/>
          <w:rFonts w:cs="Noto Sans" w:ascii="Noto Sans" w:hAnsi="Noto Sans"/>
          <w:shd w:fill="FFFFFF" w:val="clear"/>
          <w:lang w:val="ca-ES"/>
        </w:rPr>
        <w:t>Direcció de l’AETIB.</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6"/>
        </w:numPr>
        <w:shd w:val="clear" w:color="auto" w:fill="FFFFFF" w:themeFill="background1"/>
        <w:rPr>
          <w:rFonts w:ascii="Noto Sans" w:hAnsi="Noto Sans" w:cs="Noto Sans"/>
          <w:lang w:val="ca-ES"/>
        </w:rPr>
      </w:pPr>
      <w:r>
        <w:rPr>
          <w:rFonts w:cs="Noto Sans" w:ascii="Noto Sans" w:hAnsi="Noto Sans"/>
          <w:lang w:val="ca-ES"/>
        </w:rPr>
        <w:t>Totes les persones intervinents en el procediment de concessió de subvenció han de manifestar, de forma expressa, l'absència de conflicte d'interessos mitjançant una declaració d'absència de conflicte d'interessos (DACI). En tots els casos, es considera que han de signar la declaració d'absència d'interessos els òrgans competents per iniciar, instruir, tramitar i resoldre el procediment de concessió de subvencions i els empleats públics amb poder de decisió que participin en la redacció de les bases i de les convocatòries, així com en la instrucció del procediment.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6"/>
        </w:numPr>
        <w:shd w:val="clear" w:color="auto" w:fill="FFFFFF" w:themeFill="background1"/>
        <w:rPr>
          <w:rFonts w:ascii="Noto Sans" w:hAnsi="Noto Sans" w:cs="Noto Sans"/>
          <w:lang w:val="ca-ES"/>
        </w:rPr>
      </w:pPr>
      <w:r>
        <w:rPr>
          <w:rFonts w:cs="Noto Sans" w:ascii="Noto Sans" w:hAnsi="Noto Sans"/>
          <w:lang w:val="ca-ES"/>
        </w:rPr>
        <w:t>En el cas de conflicte d'interessos, la persona afectada ha d'indicar la sol·licitud o sol·licituds sobre les quals recau l'esmentat conflicte i s'ha d'abstenir d'intervenir en tot el procediment.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19</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Proposta de resolució i tràmit d'audiència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7"/>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La persona instructora, a la vista de l’expedient, ha de formular proposta de resolució, que s’ha de notificar a les persones interessades </w:t>
      </w:r>
      <w:r>
        <w:rPr>
          <w:rStyle w:val="Lletraperdefectedelpargraf1"/>
          <w:rFonts w:cs="Noto Sans" w:ascii="Noto Sans" w:hAnsi="Noto Sans"/>
          <w:shd w:fill="FFFFFF" w:val="clear"/>
          <w:lang w:val="ca-ES"/>
        </w:rPr>
        <w:t>individualment</w:t>
      </w:r>
      <w:r>
        <w:rPr>
          <w:rStyle w:val="Lletraperdefectedelpargraf1"/>
          <w:rFonts w:cs="Noto Sans" w:ascii="Noto Sans" w:hAnsi="Noto Sans"/>
          <w:i/>
          <w:iCs/>
          <w:lang w:val="ca-ES"/>
        </w:rPr>
        <w:t xml:space="preserve">. </w:t>
      </w:r>
      <w:r>
        <w:rPr>
          <w:rStyle w:val="Lletraperdefectedelpargraf1"/>
          <w:rFonts w:cs="Noto Sans" w:ascii="Noto Sans" w:hAnsi="Noto Sans"/>
          <w:lang w:val="ca-ES"/>
        </w:rPr>
        <w:t>Les persones interessades disposen d’un termini de deu dies hàbils a fi que puguin formular les al·legacions que considerin oportunes.</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Style w:val="Lletraperdefectedelpargraf1"/>
          <w:rFonts w:ascii="Noto Sans" w:hAnsi="Noto Sans" w:cs="Noto Sans"/>
          <w:lang w:val="ca-ES"/>
        </w:rPr>
      </w:pPr>
      <w:r>
        <w:rPr>
          <w:rStyle w:val="Lletraperdefectedelpargraf1"/>
          <w:rFonts w:cs="Noto Sans" w:ascii="Noto Sans" w:hAnsi="Noto Sans"/>
          <w:lang w:val="ca-ES"/>
        </w:rPr>
        <w:t>En el cas que en el termini concedit per al tràmit d'audiència no es formulin al·legacions a la proposta de resolució i sempre que no s'hagi renunciat a la sol·licitud presentada, s'entén que la persona sol·licitant accepta l'import de la subvenció. El resultat que es derivi del tràmit d'audiència anterior s'ha d'incorporar a l'expedient.</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Fonts w:ascii="Noto Sans" w:hAnsi="Noto Sans" w:cs="Noto Sans"/>
          <w:lang w:val="ca-ES"/>
        </w:rPr>
      </w:pPr>
      <w:r>
        <w:rPr>
          <w:rStyle w:val="Lletraperdefectedelpargraf1"/>
          <w:rFonts w:cs="Noto Sans" w:ascii="Noto Sans" w:hAnsi="Noto Sans"/>
          <w:lang w:val="ca-ES"/>
        </w:rPr>
        <w:t xml:space="preserve">No es consideren vàlides, i, per tant, s'han de tenir per no presentades les al·legacions o renúncies presentades a través d'un altre mitjà que no sigui el tràmit electrònic específic </w:t>
      </w:r>
      <w:r>
        <w:rPr>
          <w:rFonts w:cs="Noto Sans" w:ascii="Noto Sans" w:hAnsi="Noto Sans"/>
          <w:lang w:val="ca-ES"/>
        </w:rPr>
        <w:t xml:space="preserve"> que es posa a disposició de les persones interessades en la  Seu Electrònica. S’hi podrà accedir des del portal web de l’AETIB, la Seu Electrònica de la CAIB i la web invertimenturisme.caib.es.</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Style w:val="Lletraperdefectedelpargraf1"/>
          <w:rFonts w:ascii="Noto Sans" w:hAnsi="Noto Sans" w:cs="Noto Sans"/>
          <w:lang w:val="ca-ES"/>
        </w:rPr>
      </w:pPr>
      <w:r>
        <w:rPr>
          <w:rStyle w:val="Lletraperdefectedelpargraf1"/>
          <w:rFonts w:cs="Noto Sans" w:ascii="Noto Sans" w:hAnsi="Noto Sans"/>
          <w:lang w:val="ca-ES"/>
        </w:rPr>
        <w:t>La persona instructora ha d'haver verificat d'ofici que la persona sol·licitant es troba al corrent de les obligacions tributàries i amb la Seguretat Social, si la persona beneficiària no s'ha oposat a aquesta comprovació en la sol·licitud de subvenció.</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numPr>
          <w:ilvl w:val="0"/>
          <w:numId w:val="7"/>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La proposta de resolució no crea cap dret a favor de la persona beneficiària que es proposi, mentre no es dicti la resolució de concessió i aquesta es notifiqui.</w:t>
      </w:r>
    </w:p>
    <w:p>
      <w:pPr>
        <w:pStyle w:val="Standard"/>
        <w:shd w:val="clear" w:color="auto" w:fill="FFFFFF" w:themeFill="background1"/>
        <w:rPr>
          <w:rStyle w:val="Lletraperdefectedelpargraf1"/>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20</w:t>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Resolució i silenci administratiu</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5"/>
        </w:numPr>
        <w:shd w:val="clear" w:color="auto" w:fill="FFFFFF" w:themeFill="background1"/>
        <w:rPr/>
      </w:pPr>
      <w:r>
        <w:rPr>
          <w:rFonts w:cs="Noto Sans" w:ascii="Noto Sans" w:hAnsi="Noto Sans"/>
          <w:lang w:val="ca-ES"/>
        </w:rPr>
        <w:t>El president de l’AETIB, després d’estudiar la proposta de resolució i les al·legacions que s’hagin pogut formular, ha de dictar la resolució en el termini màxim de tres mesos comptats des de la finalització del termini de presentació de sol·licituds. Aquesta resolució exhaureix la via administrativa i s’ha de notificar individualment per mitjans electrònics. En el cas que no es dicti ni notifiqui una resolució expressa en aquest termini, la concessió de l’ajut s’ha d’entendre desestimada.</w:t>
      </w:r>
    </w:p>
    <w:p>
      <w:pPr>
        <w:pStyle w:val="Standard"/>
        <w:numPr>
          <w:ilvl w:val="0"/>
          <w:numId w:val="0"/>
        </w:numPr>
        <w:shd w:val="clear" w:color="auto" w:fill="FFFFFF" w:themeFill="background1"/>
        <w:ind w:left="360" w:hanging="0"/>
        <w:rPr>
          <w:rFonts w:ascii="Noto Sans" w:hAnsi="Noto Sans" w:cs="Noto Sans"/>
          <w:sz w:val="22"/>
          <w:szCs w:val="22"/>
          <w:lang w:val="ca-ES" w:eastAsia="es-ES" w:bidi="ar-SA"/>
        </w:rPr>
      </w:pPr>
      <w:r>
        <w:rPr>
          <w:rFonts w:cs="Noto Sans" w:ascii="Noto Sans" w:hAnsi="Noto Sans"/>
          <w:sz w:val="22"/>
          <w:szCs w:val="22"/>
          <w:lang w:val="ca-ES" w:eastAsia="es-ES" w:bidi="ar-SA"/>
        </w:rPr>
      </w:r>
    </w:p>
    <w:p>
      <w:pPr>
        <w:pStyle w:val="Standard"/>
        <w:numPr>
          <w:ilvl w:val="0"/>
          <w:numId w:val="5"/>
        </w:numPr>
        <w:shd w:val="clear" w:color="auto" w:fill="FFFFFF" w:themeFill="background1"/>
        <w:rPr/>
      </w:pPr>
      <w:r>
        <w:rPr>
          <w:rFonts w:cs="Noto Sans" w:ascii="Noto Sans" w:hAnsi="Noto Sans"/>
          <w:sz w:val="22"/>
          <w:szCs w:val="22"/>
          <w:lang w:val="ca-ES" w:eastAsia="es-ES" w:bidi="ar-SA"/>
        </w:rPr>
        <w:t>La resolució ha d’indicar que contra la resolució, que exhaureix la via administrativa, es pot interposar un recurs potestatiu de reposició davant el conseller de Turisme, Cultura i Esports en el termini d’un mes comptador des de l’endemà d’haver-se notificat, d’acord amb els articles 123 i següents de la Llei 39/2015 i l’article 57 de la Llei 3/2003, de 26 de març, de règim jurídic de l’Administració de la Comunitat Autònoma de les Illes Balears.</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t>També s'ha d'indicar que es pot interposar directament un recurs contenciós administratiu en el termini de dos mesos comptadors des de l'endemà d'haver-se notificat, d'acord amb l'article 46 de la Llei 29/1998, de 13 de juliol, reguladora de la jurisdicció contenciosa administrativa.</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5"/>
        </w:numPr>
        <w:shd w:val="clear" w:color="auto" w:fill="FFFFFF" w:themeFill="background1"/>
        <w:rPr>
          <w:rFonts w:ascii="Noto Sans" w:hAnsi="Noto Sans" w:cs="Noto Sans"/>
          <w:lang w:val="ca-ES"/>
        </w:rPr>
      </w:pPr>
      <w:r>
        <w:rPr>
          <w:rFonts w:cs="Noto Sans" w:ascii="Noto Sans" w:hAnsi="Noto Sans"/>
          <w:lang w:val="ca-ES"/>
        </w:rPr>
        <w:t>En la resolució de la concessió ha de constar de forma expressa la procedència dels fons i s’ha de fer esment del Ministeri d'Indústria, Comerç i Turisme, el Pla de Recuperació i el finançament de l'MRR.</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21</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Pagament</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4"/>
        </w:numPr>
        <w:shd w:val="clear" w:color="auto" w:fill="FFFFFF" w:themeFill="background1"/>
        <w:spacing w:lineRule="auto" w:line="259"/>
        <w:rPr>
          <w:rFonts w:ascii="Noto Sans" w:hAnsi="Noto Sans" w:cs="Noto Sans"/>
          <w:lang w:val="ca-ES"/>
        </w:rPr>
      </w:pPr>
      <w:r>
        <w:rPr>
          <w:rFonts w:cs="Noto Sans" w:ascii="Noto Sans" w:hAnsi="Noto Sans"/>
          <w:lang w:val="ca-ES"/>
        </w:rPr>
        <w:t>El pagament de la subvenció s'ha de fer de manera anticipada, en concepte de bestreta del 100 % de l'import de la subvenció, sense aportació de garantia, i s'ha de tramitar d'ofici amb la resolució de concessió de la subvenció.</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4"/>
        </w:numPr>
        <w:shd w:val="clear" w:color="auto" w:fill="FFFFFF" w:themeFill="background1"/>
        <w:rPr>
          <w:rFonts w:ascii="Noto Sans" w:hAnsi="Noto Sans" w:cs="Noto Sans"/>
          <w:lang w:val="ca-ES"/>
        </w:rPr>
      </w:pPr>
      <w:r>
        <w:rPr>
          <w:rFonts w:cs="Noto Sans" w:ascii="Noto Sans" w:hAnsi="Noto Sans"/>
          <w:lang w:val="ca-ES"/>
        </w:rPr>
        <w:t>La persona beneficiària d'aquesta bestreta ha de trobar-se al corrent en el compliment de les obligacions establertes en l'article 13 de la Llei 38/2003 i en l'article 10 del Text refós de la Llei de subvencions, aprovat pel Decret legislatiu 2/2005, entre les quals, trobar-se al corrent en el compliment de les seves obligacions tributàries i amb la Seguretat Social. Respecte d'això, la persona beneficiària, amb la presentació de la sol·licitud, autoritza l'òrgan instructor perquè pugui consultar directament aquesta informació amb les administracions tributàries i de la Seguretat Social. No obstant això, la persona sol·licitant pot denegar-ne expressament el consentiment i ha d'aportar, en aquest cas, els certificats que corresponguin.</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4"/>
        </w:numPr>
        <w:shd w:val="clear" w:color="auto" w:fill="FFFFFF" w:themeFill="background1"/>
        <w:spacing w:lineRule="auto" w:line="259"/>
        <w:rPr>
          <w:rFonts w:ascii="Noto Sans" w:hAnsi="Noto Sans" w:cs="Noto Sans"/>
          <w:lang w:val="ca-ES"/>
        </w:rPr>
      </w:pPr>
      <w:r>
        <w:rPr>
          <w:rFonts w:cs="Noto Sans" w:ascii="Noto Sans" w:hAnsi="Noto Sans"/>
          <w:lang w:val="ca-ES"/>
        </w:rPr>
        <w:t>D'acord amb el que s'estableix en l'article 61.3 del Reial decret llei 36/2020, les persones beneficiàries d'aquestes bestretes han d'acreditar que es troben al corrent del pagament de les obligacions de reemborsament de qualssevol altres bestretes concedides anteriorment amb càrrec als crèdits específicament consignats per a la gestió de fons europeus en els pressuposts generals de l'Estat.</w:t>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r>
    </w:p>
    <w:p>
      <w:pPr>
        <w:pStyle w:val="Standard"/>
        <w:numPr>
          <w:ilvl w:val="0"/>
          <w:numId w:val="4"/>
        </w:numPr>
        <w:shd w:val="clear" w:color="auto" w:fill="FFFFFF" w:themeFill="background1"/>
        <w:spacing w:lineRule="auto" w:line="259"/>
        <w:rPr>
          <w:rFonts w:ascii="Noto Sans" w:hAnsi="Noto Sans" w:cs="Noto Sans"/>
          <w:lang w:val="ca-ES"/>
        </w:rPr>
      </w:pPr>
      <w:r>
        <w:rPr>
          <w:rFonts w:cs="Noto Sans" w:ascii="Noto Sans" w:hAnsi="Noto Sans"/>
          <w:lang w:val="ca-ES"/>
        </w:rPr>
        <w:t>Les bestretes han de destinar-se exclusivament a cobrir les despeses del projecte finançat i han de justificar-se adequadament.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22</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Justificació de l’ajut</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10"/>
        </w:numPr>
        <w:shd w:val="clear" w:color="auto" w:fill="FFFFFF" w:themeFill="background1"/>
        <w:spacing w:lineRule="auto" w:line="259"/>
        <w:rPr>
          <w:rFonts w:ascii="Noto Sans" w:hAnsi="Noto Sans" w:cs="Noto Sans"/>
          <w:lang w:val="ca-ES"/>
        </w:rPr>
      </w:pPr>
      <w:r>
        <w:rPr>
          <w:rFonts w:cs="Noto Sans" w:ascii="Noto Sans" w:hAnsi="Noto Sans"/>
          <w:lang w:val="ca-ES"/>
        </w:rPr>
        <w:t>El termini per a la justificació de la subvenció s’inicia a partir de l’1 d’abril de 2026 i acaba el 17 d’abril de 2026.</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10"/>
        </w:numPr>
        <w:shd w:val="clear" w:color="auto" w:fill="FFFFFF" w:themeFill="background1"/>
        <w:spacing w:lineRule="auto" w:line="259"/>
        <w:rPr>
          <w:rFonts w:ascii="Noto Sans" w:hAnsi="Noto Sans" w:cs="Noto Sans"/>
          <w:lang w:val="ca-ES"/>
        </w:rPr>
      </w:pPr>
      <w:r>
        <w:rPr>
          <w:rFonts w:cs="Noto Sans" w:ascii="Noto Sans" w:hAnsi="Noto Sans"/>
          <w:lang w:val="ca-ES"/>
        </w:rPr>
        <w:t>La justificació de les despeses s'ha de dur a terme exclusivament de forma telemàtica, a través del tràmit electrònic específic que es posa a disposició de les persones interessades en la Seu Electrònica, mitjançant la presentació de la documentació prevista en la convocatòria. S’hi podrà accedir des del portal web de l’AETIB, la Seu Electrònica de la CAIB i la web invertimenturisme.caib.es.</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10"/>
        </w:numPr>
        <w:shd w:val="clear" w:color="auto" w:fill="FFFFFF" w:themeFill="background1"/>
        <w:spacing w:lineRule="auto" w:line="259"/>
        <w:rPr>
          <w:rFonts w:ascii="Noto Sans" w:hAnsi="Noto Sans" w:cs="Noto Sans"/>
          <w:lang w:val="ca-ES"/>
        </w:rPr>
      </w:pPr>
      <w:r>
        <w:rPr>
          <w:rFonts w:cs="Noto Sans" w:ascii="Noto Sans" w:hAnsi="Noto Sans"/>
          <w:lang w:val="ca-ES"/>
        </w:rPr>
        <w:t>Si l'òrgan administratiu competent per a la comprovació de la subvenció aprecia l'existència de defectes esmenables en la justificació presentada per la persona beneficiària, li ho ha de fer saber i li ha de concedir un termini de deu dies hàbils perquè els corregeixi.</w:t>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r>
    </w:p>
    <w:p>
      <w:pPr>
        <w:pStyle w:val="Standard"/>
        <w:numPr>
          <w:ilvl w:val="0"/>
          <w:numId w:val="10"/>
        </w:numPr>
        <w:shd w:val="clear" w:color="auto" w:fill="FFFFFF" w:themeFill="background1"/>
        <w:spacing w:lineRule="auto" w:line="259"/>
        <w:rPr>
          <w:rFonts w:ascii="Noto Sans" w:hAnsi="Noto Sans" w:cs="Noto Sans"/>
          <w:lang w:val="ca-ES"/>
        </w:rPr>
      </w:pPr>
      <w:r>
        <w:rPr>
          <w:rFonts w:cs="Noto Sans" w:ascii="Noto Sans" w:hAnsi="Noto Sans"/>
          <w:lang w:val="ca-ES"/>
        </w:rPr>
        <w:t>En el cas que la persona beneficiària de les ajudes no compleixi l'obligació de justificació establerta, haurà de reintegrar el 100 % de l'import de la bestreta que hagi percebut incrementat en l'interès de demora que correspongui.</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0"/>
        </w:numPr>
        <w:shd w:val="clear" w:color="auto" w:fill="FFFFFF" w:themeFill="background1"/>
        <w:rPr>
          <w:rFonts w:ascii="Noto Sans" w:hAnsi="Noto Sans" w:cs="Noto Sans"/>
          <w:lang w:val="ca-ES"/>
        </w:rPr>
      </w:pPr>
      <w:r>
        <w:rPr>
          <w:rFonts w:cs="Noto Sans" w:ascii="Noto Sans" w:hAnsi="Noto Sans"/>
          <w:lang w:val="ca-ES"/>
        </w:rPr>
        <w:t xml:space="preserve">Sense perjudici del que disposen els apartats anteriors, les persones beneficiàries han de trametre a l'AETIB qualsevol documentació addicional que se'ls requereixi per a la justificació tant de les actuacions subvencionades com del compliment de les condicions imposades a la concessió de la subvenció. </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numPr>
          <w:ilvl w:val="0"/>
          <w:numId w:val="10"/>
        </w:numPr>
        <w:shd w:val="clear" w:color="auto" w:fill="FFFFFF" w:themeFill="background1"/>
        <w:rPr>
          <w:rFonts w:ascii="Noto Sans" w:hAnsi="Noto Sans" w:cs="Noto Sans"/>
          <w:lang w:val="ca-ES"/>
        </w:rPr>
      </w:pPr>
      <w:r>
        <w:rPr>
          <w:rFonts w:cs="Noto Sans" w:ascii="Noto Sans" w:hAnsi="Noto Sans"/>
          <w:lang w:val="ca-ES"/>
        </w:rPr>
        <w:t>La justificació de les despeses consisteix en la presentació de la documentació següent: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31"/>
        </w:numPr>
        <w:shd w:val="clear" w:color="auto" w:fill="FFFFFF" w:themeFill="background1"/>
        <w:rPr>
          <w:rFonts w:ascii="Noto Sans" w:hAnsi="Noto Sans" w:cs="Noto Sans"/>
          <w:lang w:val="ca-ES"/>
        </w:rPr>
      </w:pPr>
      <w:r>
        <w:rPr>
          <w:rFonts w:cs="Noto Sans" w:ascii="Noto Sans" w:hAnsi="Noto Sans"/>
          <w:lang w:val="ca-ES"/>
        </w:rPr>
        <w:t>El model signat de la memòria justificativa  de l’actuació i del compliment de les condicions i la finalitat per a la qual es va concedir la subvenció, en la qual es descriguin de manera detallada l’actuació, el procediment duit a terme i els resultats obtinguts, amb esment dels establiments turístics implicats o les àrees del territori afectades i les funcions i la dedicació del personal que ha participat en l’actuació. Així mateix, s’han de detallar les actuacions realitzades per complir l’article 23 referent a la publicitat de les actuacions.</w:t>
      </w:r>
    </w:p>
    <w:p>
      <w:pPr>
        <w:pStyle w:val="Standard"/>
        <w:numPr>
          <w:ilvl w:val="0"/>
          <w:numId w:val="31"/>
        </w:numPr>
        <w:shd w:val="clear" w:color="auto" w:fill="FFFFFF" w:themeFill="background1"/>
        <w:rPr>
          <w:rFonts w:ascii="Noto Sans" w:hAnsi="Noto Sans" w:cs="Noto Sans"/>
          <w:lang w:val="ca-ES"/>
        </w:rPr>
      </w:pPr>
      <w:r>
        <w:rPr>
          <w:rFonts w:cs="Noto Sans" w:ascii="Noto Sans" w:hAnsi="Noto Sans"/>
          <w:lang w:val="ca-ES"/>
        </w:rPr>
        <w:t>El model signat de la memòria econòmica justificativa del cost de l’actuació realitzada, que ha de contenir:</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1r. Una relació classificada de les despeses i inversions de l'actuació, amb identificació de la persona creditora i del document, l'import i la data d'emissió i pagament.</w:t>
      </w:r>
    </w:p>
    <w:p>
      <w:pPr>
        <w:pStyle w:val="Standard"/>
        <w:shd w:val="clear" w:color="auto" w:fill="FFFFFF" w:themeFill="background1"/>
        <w:ind w:left="720" w:hanging="0"/>
        <w:rPr>
          <w:rStyle w:val="Lletraperdefectedelpargraf1"/>
          <w:rFonts w:ascii="Noto Sans" w:hAnsi="Noto Sans" w:cs="Noto Sans"/>
          <w:lang w:val="ca-ES"/>
        </w:rPr>
      </w:pPr>
      <w:r>
        <w:rPr>
          <w:rStyle w:val="Lletraperdefectedelpargraf1"/>
          <w:rFonts w:cs="Noto Sans" w:ascii="Noto Sans" w:hAnsi="Noto Sans"/>
          <w:lang w:val="ca-ES"/>
        </w:rPr>
        <w:t>2n. Les factures o documents de valor probatori equivalent en el tràfic jurídic mercantil, o amb eficàcia administrativa, justificatius de les despeses i inversions incorporats en la relació a la qual fa referència el punt anterior i la documentació acreditativa del pagament efectiu. Les factures han de concretar suficientment els conceptes inclosos i les característiques d'aquests a fi que es pugui comprovar que s'ajusten als requisits de la convocatòria i a les despeses subvencionables.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b/>
          <w:b/>
          <w:bCs/>
          <w:lang w:val="ca-ES"/>
        </w:rPr>
      </w:pPr>
      <w:r>
        <w:rPr>
          <w:rFonts w:cs="Noto Sans" w:ascii="Noto Sans" w:hAnsi="Noto Sans"/>
          <w:b/>
          <w:bCs/>
          <w:lang w:val="ca-ES"/>
        </w:rPr>
        <w:t>Article  23</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 xml:space="preserve">Publicitat </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1. Qualsevol referència a les ajudes objecte d'aquesta convocatòria en publicacions, activitats de difusió, pàgines web i en general en qualssevol mitjans de difusió ha de complir els requisits que figuren en el Manual d'imatge corporativa del PRTR i l'MRR, tot això conforme al que s'estableixi sobre aquest tema i en els termes prevists en l'article 18.4 de la Llei 38/2003; l'article 31 del Reial decret 887/2006, i l'article 9 de l'Ordre HFP/1030/2021.</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 xml:space="preserve"> </w:t>
      </w:r>
      <w:r>
        <w:rPr>
          <w:rFonts w:cs="Noto Sans" w:ascii="Noto Sans" w:hAnsi="Noto Sans"/>
          <w:lang w:val="ca-ES"/>
        </w:rPr>
        <w:t xml:space="preserve">2. Les persones receptores de finançament de la Unió Europea han d'esmentar l'origen d'aquest finançament i garantir-ne la visibilitat, en particular quan promoguin les actuacions subvencionables i els resultats d'aquestes, i han de facilitar informació coherent, efectiva i proporcionada dirigida a múltiples persones destinatàries, inclosos els mitjans de comunicació i el públic. La persona beneficiària de les ajudes ha d'informar el públic del suport obtingut dels fons europeus, per la qual cosa ha de fer una breu descripció de l'operació en el seu lloc d'Internet, en el cas que en tengui, de manera proporcionada al grau de suport prestat, amb els seus objectius i resultats, i hi ha de destacar el suport financer de la Unió Europea. </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Normal"/>
        <w:shd w:val="clear" w:color="auto" w:fill="FFFFFF" w:themeFill="background1"/>
        <w:spacing w:before="0" w:after="240"/>
        <w:rPr/>
      </w:pPr>
      <w:r>
        <w:rPr>
          <w:rFonts w:cs="Noto Sans" w:ascii="Noto Sans" w:hAnsi="Noto Sans"/>
        </w:rPr>
        <w:t xml:space="preserve">En l'enllaç següent es poden consultar les obligacions de comunicació, publicitat i difusió de les persones beneficiàries de l'MRR: </w:t>
      </w:r>
      <w:hyperlink r:id="rId2">
        <w:r>
          <w:rPr>
            <w:rStyle w:val="EnlacedeInternet"/>
            <w:rFonts w:cs="Noto Sans" w:ascii="Noto Sans" w:hAnsi="Noto Sans"/>
          </w:rPr>
          <w:t>https://www.mitma.gob.es/ministerio/proyectos-singulares/prtr/transporte/publicidad-y-difusion-de-las-ayudas-del-mecanismo-de-recuperacion-y-resiliencia</w:t>
        </w:r>
      </w:hyperlink>
      <w:r>
        <w:rPr/>
        <w:t>.</w:t>
      </w:r>
      <w:r>
        <w:rPr>
          <w:rFonts w:cs="Noto Sans" w:ascii="Noto Sans" w:hAnsi="Noto Sans"/>
        </w:rPr>
        <w:t xml:space="preserve"> Addicionalment, la persona beneficiària ha de col·locar cartells informatius i plaques en un lloc ben visible i d'accés al públic on s'informi del suport obtingut dels fons europeus. </w:t>
      </w:r>
    </w:p>
    <w:p>
      <w:pPr>
        <w:pStyle w:val="Normal"/>
        <w:shd w:val="clear" w:color="auto" w:fill="FFFFFF" w:themeFill="background1"/>
        <w:spacing w:before="0" w:after="240"/>
        <w:rPr>
          <w:rFonts w:ascii="Noto Sans" w:hAnsi="Noto Sans" w:cs="Noto Sans"/>
        </w:rPr>
      </w:pPr>
      <w:r>
        <w:rPr>
          <w:rFonts w:cs="Noto Sans" w:ascii="Noto Sans" w:hAnsi="Noto Sans"/>
        </w:rPr>
        <w:t xml:space="preserve">La resolució de concessió ha de concretar les característiques d'aquests cartells i plaques. </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t>3. Si escau, a més, ha de complir amb el que estableix la Llei 19/2013, de 9 de desembre, de transparència, accés a la informació pública i bon govern, respecte de les obligacions de publicitat de les ajudes objecte d'aquesta convocatòria.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24</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Seguiment i control</w:t>
      </w:r>
    </w:p>
    <w:p>
      <w:pPr>
        <w:pStyle w:val="Standard"/>
        <w:shd w:val="clear" w:color="auto" w:fill="FFFFFF" w:themeFill="background1"/>
        <w:rPr>
          <w:rFonts w:ascii="Noto Sans" w:hAnsi="Noto Sans" w:eastAsia="Noto Sans" w:cs="Noto Sans"/>
          <w:b/>
          <w:b/>
          <w:bCs/>
          <w:lang w:val="ca-ES"/>
        </w:rPr>
      </w:pPr>
      <w:r>
        <w:rPr>
          <w:rFonts w:eastAsia="Noto Sans" w:cs="Noto Sans" w:ascii="Noto Sans" w:hAnsi="Noto Sans"/>
          <w:b/>
          <w:bCs/>
          <w:lang w:val="ca-ES"/>
        </w:rPr>
      </w:r>
    </w:p>
    <w:p>
      <w:pPr>
        <w:pStyle w:val="Normal"/>
        <w:shd w:val="clear" w:color="auto" w:fill="FFFFFF" w:themeFill="background1"/>
        <w:rPr>
          <w:rFonts w:ascii="Noto Sans" w:hAnsi="Noto Sans" w:eastAsia="Noto Sans" w:cs="Noto Sans"/>
        </w:rPr>
      </w:pPr>
      <w:r>
        <w:rPr>
          <w:rFonts w:eastAsia="Noto Sans" w:cs="Noto Sans" w:ascii="Noto Sans" w:hAnsi="Noto Sans"/>
        </w:rPr>
        <w:t>L'òrgan atorgant, la Direcció General de Turisme del Govern de les Illes Balears, la Secretaria d'Estat de Turisme, la Intervenció General de l'Administració de l'Estat, el Tribunal de Comptes, la Intervenció General de la Comunitat Autònoma de les Illes Balears, la Sindicatura de Comptes i els òrgans estatals i europeus que tenguin encomanat el control i el seguiment dels fons de l'MRR, en particular la Comissió Europea, el Tribunal de Comptes Europeu, l'OLAF i la Fiscalia Europea, i tots aquells òrgans de control competents, inclosos els recollits en l'article 22.2. del Reglament (UE) 2021/241, de 12 de febrer de 2021, i l'article 129 del Reglament financer (Reglament UE, Euratom) 2018/1046, de 18 de juliol de 2018, poden realitzar tots aquells controls i inspeccions que considerin convenients a fi d'assegurar la bona finalitat de l'ajuda concedida.</w:t>
      </w:r>
    </w:p>
    <w:p>
      <w:pPr>
        <w:pStyle w:val="Normal"/>
        <w:shd w:val="clear" w:color="auto" w:fill="FFFFFF" w:themeFill="background1"/>
        <w:rPr>
          <w:rFonts w:ascii="Noto Sans" w:hAnsi="Noto Sans" w:eastAsia="Noto Sans" w:cs="Noto Sans"/>
        </w:rPr>
      </w:pPr>
      <w:r>
        <w:rPr>
          <w:rFonts w:eastAsia="Noto Sans" w:cs="Noto Sans" w:ascii="Noto Sans" w:hAnsi="Noto Sans"/>
        </w:rPr>
      </w:r>
    </w:p>
    <w:p>
      <w:pPr>
        <w:pStyle w:val="Normal"/>
        <w:shd w:val="clear" w:color="auto" w:fill="FFFFFF" w:themeFill="background1"/>
        <w:rPr>
          <w:rFonts w:ascii="Noto Sans" w:hAnsi="Noto Sans" w:eastAsia="Noto Sans" w:cs="Noto Sans"/>
        </w:rPr>
      </w:pPr>
      <w:r>
        <w:rPr>
          <w:rFonts w:eastAsia="Noto Sans" w:cs="Noto Sans" w:ascii="Noto Sans" w:hAnsi="Noto Sans"/>
        </w:rPr>
        <w:t>Les persones beneficiàries s'han de sotmetre a qualsevol actuació de control i inspecció, i també han de prestar col·laboració i proporcionar qualssevol altres documentació i informació que els ens abans esmentats considerin necessàries per verificar el compliment de les condicions establertes a la concessió de la subvenció. Es considera que l'oposició a la realització d'aquestes comprovacions i inspeccions pot constituir causa de reintegrament de l'ajuda, sense perjudici de la tramitació del procediment sancionador corresponent.</w:t>
      </w:r>
    </w:p>
    <w:p>
      <w:pPr>
        <w:pStyle w:val="Normal"/>
        <w:shd w:val="clear" w:color="auto" w:fill="FFFFFF" w:themeFill="background1"/>
        <w:rPr>
          <w:rFonts w:ascii="Noto Sans" w:hAnsi="Noto Sans" w:eastAsia="Noto Sans" w:cs="Noto Sans"/>
        </w:rPr>
      </w:pPr>
      <w:r>
        <w:rPr>
          <w:rFonts w:eastAsia="Noto Sans" w:cs="Noto Sans" w:ascii="Noto Sans" w:hAnsi="Noto Sans"/>
        </w:rPr>
      </w:r>
    </w:p>
    <w:p>
      <w:pPr>
        <w:pStyle w:val="Normal"/>
        <w:shd w:val="clear" w:color="auto" w:fill="FFFFFF" w:themeFill="background1"/>
        <w:rPr>
          <w:rFonts w:ascii="Noto Sans" w:hAnsi="Noto Sans" w:eastAsia="Noto Sans" w:cs="Noto Sans"/>
        </w:rPr>
      </w:pPr>
      <w:r>
        <w:rPr>
          <w:rFonts w:eastAsia="Noto Sans" w:cs="Noto Sans" w:ascii="Noto Sans" w:hAnsi="Noto Sans"/>
        </w:rPr>
        <w:t>Les persones beneficiàries han de custodiar i conservar tota la documentació original justificativa de l'aplicació dels fons rebuts per facilitar les activitats de comprovació i control, per si mateixes o mitjançant la imposició d'aquesta obligació a les terceres persones que hagin participat en l'execució de l'actuació, i han d’entendre com a tal els documents justificatius, les dades estadístiques i la resta de documentació concernent al finançament, així com els registres i documents, en format electrònic i per un període de cinc anys des que s'aboni el saldo de l'operació financera, en els termes prevists en l'article 132 del Reglament (UE, Euratom) 2018/1046 del Parlament Europeu i del Consell, de 18 de juliol.</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25</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Revocació  i criteris de graduació</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spacing w:lineRule="auto" w:line="259"/>
        <w:rPr>
          <w:rFonts w:ascii="Noto Sans" w:hAnsi="Noto Sans" w:cs="Noto Sans"/>
          <w:lang w:val="ca-ES"/>
        </w:rPr>
      </w:pPr>
      <w:r>
        <w:rPr>
          <w:rFonts w:cs="Noto Sans" w:ascii="Noto Sans" w:hAnsi="Noto Sans"/>
          <w:lang w:val="ca-ES"/>
        </w:rPr>
        <w:t xml:space="preserve">Correspon la revocació total o parcial de la subvenció si, posteriorment a la resolució de la concessió, l’entitat beneficiària incompleix totalment o parcialment les obligacions o els compromisos contrets als quals està condicionada l’eficàcia de l’acte de concessió de la subvenció.  </w:t>
      </w:r>
    </w:p>
    <w:p>
      <w:pPr>
        <w:pStyle w:val="Standard"/>
        <w:shd w:val="clear" w:color="auto" w:fill="FFFFFF" w:themeFill="background1"/>
        <w:spacing w:lineRule="auto" w:line="259"/>
        <w:rPr>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rPr>
          <w:rFonts w:ascii="Noto Sans" w:hAnsi="Noto Sans" w:cs="Noto Sans"/>
          <w:lang w:val="ca-ES"/>
        </w:rPr>
      </w:pPr>
      <w:r>
        <w:rPr>
          <w:rFonts w:cs="Noto Sans" w:ascii="Noto Sans" w:hAnsi="Noto Sans"/>
          <w:lang w:val="ca-ES"/>
        </w:rPr>
        <w:t>La revocació de la subvenció s'entén sense perjudici de l'aplicació del règim d'infraccions i sancions que s'estableixen en el títol V del Text refós de la Llei de subvencions aprovat pel Decret legislatiu 2/2005.</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rPr>
          <w:rFonts w:ascii="Noto Sans" w:hAnsi="Noto Sans" w:cs="Noto Sans"/>
          <w:lang w:val="ca-ES"/>
        </w:rPr>
      </w:pPr>
      <w:r>
        <w:rPr>
          <w:rFonts w:cs="Noto Sans" w:ascii="Noto Sans" w:hAnsi="Noto Sans"/>
          <w:lang w:val="ca-ES"/>
        </w:rPr>
        <w:t>La revocació de la subvenció està subjecta al procediment següent:</w:t>
      </w:r>
    </w:p>
    <w:p>
      <w:pPr>
        <w:pStyle w:val="ListParagraph"/>
        <w:numPr>
          <w:ilvl w:val="0"/>
          <w:numId w:val="32"/>
        </w:numPr>
        <w:shd w:val="clear" w:color="auto" w:fill="FFFFFF" w:themeFill="background1"/>
        <w:spacing w:before="240" w:after="240"/>
        <w:contextualSpacing/>
        <w:rPr>
          <w:rFonts w:ascii="Noto Sans" w:hAnsi="Noto Sans" w:cs="Noto Sans"/>
        </w:rPr>
      </w:pPr>
      <w:r>
        <w:rPr>
          <w:rFonts w:cs="Noto Sans" w:ascii="Noto Sans" w:hAnsi="Noto Sans"/>
        </w:rPr>
        <w:t xml:space="preserve">Iniciació d'ofici, mitjançant resolució </w:t>
      </w:r>
      <w:r>
        <w:rPr>
          <w:rFonts w:eastAsia="Noto Sans" w:cs="Noto Sans" w:ascii="Noto Sans" w:hAnsi="Noto Sans"/>
        </w:rPr>
        <w:t>del president de l’AETIB</w:t>
      </w:r>
      <w:r>
        <w:rPr>
          <w:rFonts w:cs="Noto Sans" w:ascii="Noto Sans" w:hAnsi="Noto Sans"/>
        </w:rPr>
        <w:t xml:space="preserve"> que ha d'especificar la causa de revocació, el grau d'incompliment i l'import que, si escau, ha de percebre finalment la persona beneficiària, així com, si és necessària, la mesura cautelar consistent en la retenció del pagament de les quantitats pendents d'abonar a la persona beneficiària, en els termes de l'article 44.5, paràgraf segon, del Text refós de la Llei de subvencions aprovat pel Decret legislatiu 2/2005.</w:t>
      </w:r>
    </w:p>
    <w:p>
      <w:pPr>
        <w:pStyle w:val="ListParagraph"/>
        <w:numPr>
          <w:ilvl w:val="0"/>
          <w:numId w:val="32"/>
        </w:numPr>
        <w:shd w:val="clear" w:color="auto" w:fill="FFFFFF" w:themeFill="background1"/>
        <w:spacing w:before="240" w:after="240"/>
        <w:contextualSpacing/>
        <w:rPr>
          <w:rFonts w:ascii="Noto Sans" w:hAnsi="Noto Sans" w:cs="Noto Sans"/>
        </w:rPr>
      </w:pPr>
      <w:r>
        <w:rPr>
          <w:rFonts w:cs="Noto Sans" w:ascii="Noto Sans" w:hAnsi="Noto Sans"/>
        </w:rPr>
        <w:t>Notificació de la resolució d'inici a la persona interessada, a fi que presenti les al·legacions i documents que consideri adequats en el termini de deu dies hàbils.</w:t>
      </w:r>
    </w:p>
    <w:p>
      <w:pPr>
        <w:pStyle w:val="ListParagraph"/>
        <w:numPr>
          <w:ilvl w:val="0"/>
          <w:numId w:val="32"/>
        </w:numPr>
        <w:shd w:val="clear" w:color="auto" w:fill="FFFFFF" w:themeFill="background1"/>
        <w:spacing w:before="240" w:after="240"/>
        <w:contextualSpacing/>
        <w:rPr>
          <w:rFonts w:ascii="Noto Sans" w:hAnsi="Noto Sans" w:cs="Noto Sans"/>
        </w:rPr>
      </w:pPr>
      <w:r>
        <w:rPr>
          <w:rFonts w:cs="Noto Sans" w:ascii="Noto Sans" w:hAnsi="Noto Sans"/>
        </w:rPr>
        <w:t>Anàlisi de les al·legacions i informes addicionals, i obertura, si escau, del tràmit de prova.</w:t>
      </w:r>
    </w:p>
    <w:p>
      <w:pPr>
        <w:pStyle w:val="ListParagraph"/>
        <w:numPr>
          <w:ilvl w:val="0"/>
          <w:numId w:val="32"/>
        </w:numPr>
        <w:shd w:val="clear" w:color="auto" w:fill="FFFFFF" w:themeFill="background1"/>
        <w:spacing w:before="240" w:after="240"/>
        <w:contextualSpacing/>
        <w:rPr>
          <w:rFonts w:ascii="Noto Sans" w:hAnsi="Noto Sans" w:cs="Noto Sans"/>
        </w:rPr>
      </w:pPr>
      <w:r>
        <w:rPr>
          <w:rFonts w:cs="Noto Sans" w:ascii="Noto Sans" w:hAnsi="Noto Sans"/>
        </w:rPr>
        <w:t>Tràmit d'audiència si se sol·liciten informes addicionals o es practica prova, amb notificació a la persona interessada. Aquest tràmit pot no executar-se en el cas que les persones interessades manifestin la seva decisió de no efectuar al·legacions ni aportar nous documents, o no figurin en el procediment ni siguin tinguts en compte altres fets, al·legacions o proves que els ja declarats per la persona interessada.</w:t>
      </w:r>
    </w:p>
    <w:p>
      <w:pPr>
        <w:pStyle w:val="ListParagraph"/>
        <w:numPr>
          <w:ilvl w:val="0"/>
          <w:numId w:val="32"/>
        </w:numPr>
        <w:shd w:val="clear" w:color="auto" w:fill="FFFFFF" w:themeFill="background1"/>
        <w:spacing w:before="240" w:after="240"/>
        <w:contextualSpacing/>
        <w:rPr>
          <w:rFonts w:ascii="Noto Sans" w:hAnsi="Noto Sans" w:cs="Noto Sans"/>
        </w:rPr>
      </w:pPr>
      <w:r>
        <w:rPr>
          <w:rFonts w:cs="Noto Sans" w:ascii="Noto Sans" w:hAnsi="Noto Sans"/>
        </w:rPr>
        <w:t>Estudi d'al·legacions o d'informació addicional si l'entitat interessada les formula durant el tràmit d'audiència.</w:t>
      </w:r>
    </w:p>
    <w:p>
      <w:pPr>
        <w:pStyle w:val="ListParagraph"/>
        <w:numPr>
          <w:ilvl w:val="0"/>
          <w:numId w:val="32"/>
        </w:numPr>
        <w:shd w:val="clear" w:color="auto" w:fill="FFFFFF" w:themeFill="background1"/>
        <w:spacing w:before="240" w:after="240"/>
        <w:contextualSpacing/>
        <w:rPr>
          <w:rFonts w:ascii="Noto Sans" w:hAnsi="Noto Sans" w:eastAsia="Noto Sans" w:cs="Noto Sans"/>
        </w:rPr>
      </w:pPr>
      <w:r>
        <w:rPr>
          <w:rFonts w:cs="Noto Sans" w:ascii="Noto Sans" w:hAnsi="Noto Sans"/>
        </w:rPr>
        <w:t xml:space="preserve">Proposta de resolució  </w:t>
      </w:r>
      <w:r>
        <w:rPr>
          <w:rFonts w:eastAsia="Noto Sans" w:cs="Noto Sans" w:ascii="Noto Sans" w:hAnsi="Noto Sans"/>
        </w:rPr>
        <w:t>del director de l’AETIB.</w:t>
      </w:r>
    </w:p>
    <w:p>
      <w:pPr>
        <w:pStyle w:val="ListParagraph"/>
        <w:numPr>
          <w:ilvl w:val="0"/>
          <w:numId w:val="32"/>
        </w:numPr>
        <w:shd w:val="clear" w:color="auto" w:fill="FFFFFF" w:themeFill="background1"/>
        <w:spacing w:before="240" w:after="240"/>
        <w:contextualSpacing/>
        <w:rPr>
          <w:rFonts w:ascii="Noto Sans" w:hAnsi="Noto Sans" w:cs="Noto Sans"/>
        </w:rPr>
      </w:pPr>
      <w:r>
        <w:rPr>
          <w:rFonts w:cs="Noto Sans" w:ascii="Noto Sans" w:hAnsi="Noto Sans"/>
        </w:rPr>
        <w:t xml:space="preserve">Resolució del </w:t>
      </w:r>
      <w:r>
        <w:rPr>
          <w:rFonts w:eastAsia="Noto Sans" w:cs="Noto Sans" w:ascii="Noto Sans" w:hAnsi="Noto Sans"/>
        </w:rPr>
        <w:t>President de l’AETIB</w:t>
      </w:r>
      <w:r>
        <w:rPr>
          <w:rFonts w:cs="Noto Sans" w:ascii="Noto Sans" w:hAnsi="Noto Sans"/>
        </w:rPr>
        <w:t xml:space="preserve">, amb notificació a la persona interessada. </w:t>
      </w:r>
    </w:p>
    <w:p>
      <w:pPr>
        <w:pStyle w:val="Standard"/>
        <w:numPr>
          <w:ilvl w:val="0"/>
          <w:numId w:val="3"/>
        </w:numPr>
        <w:shd w:val="clear" w:color="auto" w:fill="FFFFFF" w:themeFill="background1"/>
        <w:spacing w:lineRule="auto" w:line="259"/>
        <w:rPr>
          <w:rFonts w:ascii="Noto Sans" w:hAnsi="Noto Sans" w:cs="Noto Sans"/>
          <w:lang w:val="ca-ES"/>
        </w:rPr>
      </w:pPr>
      <w:r>
        <w:rPr>
          <w:rFonts w:cs="Noto Sans" w:ascii="Noto Sans" w:hAnsi="Noto Sans"/>
          <w:lang w:val="ca-ES"/>
        </w:rPr>
        <w:t xml:space="preserve">A l'efecte de revocació, s'han de tenir en compte el principi general de la proporcionalitat i la resta de criteris de graduació següents: </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33"/>
        </w:numPr>
        <w:shd w:val="clear" w:color="auto" w:fill="FFFFFF" w:themeFill="background1"/>
        <w:spacing w:lineRule="auto" w:line="259"/>
        <w:rPr>
          <w:rFonts w:ascii="Noto Sans" w:hAnsi="Noto Sans" w:cs="Noto Sans"/>
          <w:lang w:val="ca-ES"/>
        </w:rPr>
      </w:pPr>
      <w:r>
        <w:rPr>
          <w:rFonts w:cs="Noto Sans" w:ascii="Noto Sans" w:hAnsi="Noto Sans"/>
          <w:lang w:val="ca-ES"/>
        </w:rPr>
        <w:t>En el cas d'execució parcial del projecte objecte de subvenció, el grau de divisibilitat de l'activitat i de la finalitat pública perseguida en cada cas.</w:t>
      </w:r>
    </w:p>
    <w:p>
      <w:pPr>
        <w:pStyle w:val="Standard"/>
        <w:numPr>
          <w:ilvl w:val="0"/>
          <w:numId w:val="33"/>
        </w:numPr>
        <w:shd w:val="clear" w:color="auto" w:fill="FFFFFF" w:themeFill="background1"/>
        <w:spacing w:lineRule="auto" w:line="259"/>
        <w:rPr>
          <w:rFonts w:ascii="Noto Sans" w:hAnsi="Noto Sans" w:cs="Noto Sans"/>
          <w:lang w:val="ca-ES"/>
        </w:rPr>
      </w:pPr>
      <w:r>
        <w:rPr>
          <w:rFonts w:cs="Noto Sans" w:ascii="Noto Sans" w:hAnsi="Noto Sans"/>
          <w:lang w:val="ca-ES"/>
        </w:rPr>
        <w:t>En el cas d'alteració de les condicions d'execució, el grau d'incidència en la satisfacció de la finalitat essencial de la subvenció. En particular, quan la subvenció s'hagi concedit per finançar despeses o inversions de naturalesa diferent, s'ha d'acceptar la compensació d'unes partides amb unes altres, tret que la resolució de concessió estableixi una altra cosa o que afecti l'execució de la finalitat essencial de la subvenció.</w:t>
      </w:r>
    </w:p>
    <w:p>
      <w:pPr>
        <w:pStyle w:val="Standard"/>
        <w:numPr>
          <w:ilvl w:val="0"/>
          <w:numId w:val="33"/>
        </w:numPr>
        <w:shd w:val="clear" w:color="auto" w:fill="FFFFFF" w:themeFill="background1"/>
        <w:spacing w:lineRule="auto" w:line="259"/>
        <w:rPr>
          <w:rFonts w:ascii="Noto Sans" w:hAnsi="Noto Sans" w:cs="Noto Sans"/>
          <w:lang w:val="ca-ES"/>
        </w:rPr>
      </w:pPr>
      <w:r>
        <w:rPr>
          <w:rFonts w:cs="Noto Sans" w:ascii="Noto Sans" w:hAnsi="Noto Sans"/>
          <w:lang w:val="ca-ES"/>
        </w:rPr>
        <w:t>En el cas d'incompliment de les obligacions de difusió publicitària a què es pugui referir la convocatòria, s'han d'aplicar les regles especials següents:</w:t>
      </w:r>
    </w:p>
    <w:p>
      <w:pPr>
        <w:pStyle w:val="Standard"/>
        <w:shd w:val="clear" w:color="auto" w:fill="FFFFFF" w:themeFill="background1"/>
        <w:spacing w:lineRule="auto" w:line="259"/>
        <w:ind w:left="720" w:hanging="0"/>
        <w:rPr>
          <w:rFonts w:ascii="Noto Sans" w:hAnsi="Noto Sans" w:cs="Noto Sans"/>
          <w:lang w:val="ca-ES"/>
        </w:rPr>
      </w:pPr>
      <w:r>
        <w:rPr>
          <w:rFonts w:cs="Noto Sans" w:ascii="Noto Sans" w:hAnsi="Noto Sans"/>
          <w:lang w:val="ca-ES"/>
        </w:rPr>
      </w:r>
    </w:p>
    <w:p>
      <w:pPr>
        <w:pStyle w:val="Standard"/>
        <w:shd w:val="clear" w:color="auto" w:fill="FFFFFF" w:themeFill="background1"/>
        <w:spacing w:lineRule="auto" w:line="259"/>
        <w:ind w:left="720" w:hanging="0"/>
        <w:rPr>
          <w:rFonts w:ascii="Noto Sans" w:hAnsi="Noto Sans" w:cs="Noto Sans"/>
          <w:lang w:val="ca-ES"/>
        </w:rPr>
      </w:pPr>
      <w:r>
        <w:rPr>
          <w:rFonts w:cs="Noto Sans" w:ascii="Noto Sans" w:hAnsi="Noto Sans"/>
          <w:lang w:val="ca-ES"/>
        </w:rPr>
        <w:t xml:space="preserve">1r. Si encara és possible complir els termes prevists inicialment, l'òrgan atorgant ha de requerir la persona o l'entitat beneficiària que adopti les mesures de difusió corresponents en un termini de deu dies hàbils com a màxim i advertir-la expressament de l'obligació de reintegrar la subvenció si no les adopta. </w:t>
      </w:r>
    </w:p>
    <w:p>
      <w:pPr>
        <w:pStyle w:val="Standard"/>
        <w:shd w:val="clear" w:color="auto" w:fill="FFFFFF" w:themeFill="background1"/>
        <w:ind w:left="720" w:hanging="0"/>
        <w:rPr>
          <w:rFonts w:ascii="Noto Sans" w:hAnsi="Noto Sans" w:cs="Noto Sans"/>
          <w:lang w:val="ca-ES"/>
        </w:rPr>
      </w:pPr>
      <w:r>
        <w:rPr>
          <w:rFonts w:cs="Noto Sans" w:ascii="Noto Sans" w:hAnsi="Noto Sans"/>
          <w:lang w:val="ca-ES"/>
        </w:rPr>
        <w:t>2n. Si no és possible complir els termes prevists perquè les activitats ja s'han duit a terme, l'òrgan atorgant pot establir mesures alternatives, sempre que aquestes permetin la difusió del finançament públic rebut amb el mateix abast amb què es preveia inicialment. En el requeriment que es dirigeixi a aquest efecte a la persona o l'entitat beneficiària s'ha de fixar un termini de deu dies hàbils com a màxim perquè s'adoptin les mesures i advertir-la expressament de l'obligació de reintegrar la subvenció si no les adopta.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26</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Reintegrament de l’ajut</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rPr>
          <w:rFonts w:ascii="Noto Sans" w:hAnsi="Noto Sans" w:cs="Noto Sans"/>
          <w:lang w:val="ca-ES"/>
        </w:rPr>
      </w:pPr>
      <w:r>
        <w:rPr>
          <w:rFonts w:cs="Noto Sans" w:ascii="Noto Sans" w:hAnsi="Noto Sans"/>
          <w:lang w:val="ca-ES"/>
        </w:rPr>
        <w:t>Les causes i l'import del reintegrament, total o parcial, dels fons transferits a la persona beneficiària i també el procediment per exigir-lo es regeixen per l'article 44 del Text refós de la Llei de subvencions aprovat pel Decret legislatiu 2/2005 i l'article 37 de la Llei 38/2003, tenint en compte les regles establertes en aquest apartat.</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rPr>
          <w:rFonts w:ascii="Noto Sans" w:hAnsi="Noto Sans" w:cs="Noto Sans"/>
          <w:lang w:val="ca-ES"/>
        </w:rPr>
      </w:pPr>
      <w:r>
        <w:rPr>
          <w:rFonts w:cs="Noto Sans" w:ascii="Noto Sans" w:hAnsi="Noto Sans"/>
          <w:lang w:val="ca-ES"/>
        </w:rPr>
        <w:t>Són causes específiques de reintegrament dels fons transferits a les persones beneficiàries l'incompliment del principi DNSH i l'incompliment de l'absència de conflictes d'interessos de les persones beneficiàries.</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rPr>
          <w:rStyle w:val="Lletraperdefectedelpargraf1"/>
          <w:rFonts w:ascii="Noto Sans" w:hAnsi="Noto Sans" w:cs="Noto Sans"/>
          <w:lang w:val="ca-ES"/>
        </w:rPr>
      </w:pPr>
      <w:r>
        <w:rPr>
          <w:rStyle w:val="Lletraperdefectedelpargraf1"/>
          <w:rFonts w:cs="Noto Sans" w:ascii="Noto Sans" w:hAnsi="Noto Sans"/>
          <w:lang w:val="ca-ES"/>
        </w:rPr>
        <w:t xml:space="preserve">En el cas que s'incorri en la incompatibilitat </w:t>
      </w:r>
      <w:r>
        <w:rPr>
          <w:rStyle w:val="Lletraperdefectedelpargraf1"/>
          <w:rFonts w:cs="Noto Sans" w:ascii="Noto Sans" w:hAnsi="Noto Sans"/>
          <w:shd w:fill="FFFFFF" w:val="clear"/>
          <w:lang w:val="ca-ES"/>
        </w:rPr>
        <w:t>de subvencions,</w:t>
      </w:r>
      <w:r>
        <w:rPr>
          <w:rStyle w:val="Lletraperdefectedelpargraf1"/>
          <w:rFonts w:cs="Noto Sans" w:ascii="Noto Sans" w:hAnsi="Noto Sans"/>
          <w:lang w:val="ca-ES"/>
        </w:rPr>
        <w:t xml:space="preserve"> s'ha de reintegrar l'import total de la subvenció atorgada.</w:t>
      </w:r>
    </w:p>
    <w:p>
      <w:pPr>
        <w:pStyle w:val="Standard"/>
        <w:shd w:val="clear" w:color="auto" w:fill="FFFFFF" w:themeFill="background1"/>
        <w:ind w:left="360" w:hanging="0"/>
        <w:rPr>
          <w:rStyle w:val="Lletraperdefectedelpargraf1"/>
          <w:rFonts w:ascii="Noto Sans" w:hAnsi="Noto Sans" w:cs="Noto Sans"/>
          <w:lang w:val="ca-ES"/>
        </w:rPr>
      </w:pPr>
      <w:r>
        <w:rPr>
          <w:rFonts w:cs="Noto Sans" w:ascii="Noto Sans" w:hAnsi="Noto Sans"/>
          <w:lang w:val="ca-ES"/>
        </w:rPr>
      </w:r>
    </w:p>
    <w:p>
      <w:pPr>
        <w:pStyle w:val="Standard"/>
        <w:numPr>
          <w:ilvl w:val="0"/>
          <w:numId w:val="3"/>
        </w:numPr>
        <w:shd w:val="clear" w:color="auto" w:fill="FFFFFF" w:themeFill="background1"/>
        <w:rPr>
          <w:rFonts w:ascii="Noto Sans" w:hAnsi="Noto Sans" w:cs="Noto Sans"/>
          <w:lang w:val="ca-ES"/>
        </w:rPr>
      </w:pPr>
      <w:r>
        <w:rPr>
          <w:rFonts w:cs="Noto Sans" w:ascii="Noto Sans" w:hAnsi="Noto Sans"/>
          <w:lang w:val="ca-ES"/>
        </w:rPr>
        <w:t>En el cas que la persona beneficiària vulgui dur a terme la devolució voluntària de part o de la totalitat de la subvenció percebuda, ha de comunicar-ho a l’AETIB perquè li faci arribar la documentació necessària per fer-la efectiva.</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27</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Infraccions i sancions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2"/>
        </w:numPr>
        <w:shd w:val="clear" w:color="auto" w:fill="FFFFFF" w:themeFill="background1"/>
        <w:rPr>
          <w:rFonts w:ascii="Noto Sans" w:hAnsi="Noto Sans" w:cs="Noto Sans"/>
          <w:lang w:val="ca-ES"/>
        </w:rPr>
      </w:pPr>
      <w:r>
        <w:rPr>
          <w:rFonts w:cs="Noto Sans" w:ascii="Noto Sans" w:hAnsi="Noto Sans"/>
          <w:lang w:val="ca-ES"/>
        </w:rPr>
        <w:t>El règim d'infraccions i sancions administratives en matèria de subvencions a què es refereix aquesta convocatòria és el previst en el títol V del Tex refós de la Llei de subvencions aprovat pel Decret legislatiu 2/2005.</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2"/>
        </w:numPr>
        <w:shd w:val="clear" w:color="auto" w:fill="FFFFFF" w:themeFill="background1"/>
        <w:rPr>
          <w:rFonts w:ascii="Noto Sans" w:hAnsi="Noto Sans" w:cs="Noto Sans"/>
          <w:lang w:val="ca-ES"/>
        </w:rPr>
      </w:pPr>
      <w:r>
        <w:rPr>
          <w:rFonts w:cs="Noto Sans" w:ascii="Noto Sans" w:hAnsi="Noto Sans"/>
          <w:lang w:val="ca-ES"/>
        </w:rPr>
        <w:t>El procediment sancionador és l'establert en la Llei 39/2015 amb les especificitats establertes en el Reglament del procediment sancionador de l'Administració de la Comunitat Autònoma de les Illes Balears que cal seguir en l'exercici de la potestat sancionadora, aprovat pel Decret 1/2024, de 5 de gener.</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ListParagraph"/>
        <w:numPr>
          <w:ilvl w:val="0"/>
          <w:numId w:val="2"/>
        </w:numPr>
        <w:shd w:val="clear" w:color="auto" w:fill="FFFFFF" w:themeFill="background1"/>
        <w:rPr>
          <w:rFonts w:ascii="Noto Sans" w:hAnsi="Noto Sans" w:cs="Noto Sans"/>
        </w:rPr>
      </w:pPr>
      <w:r>
        <w:rPr>
          <w:rFonts w:cs="Noto Sans" w:ascii="Noto Sans" w:hAnsi="Noto Sans"/>
        </w:rPr>
        <w:t>Els òrgans competents per a la imposició de les sancions són els que estableix l'article 62.2 del Text refós de la Llei de subvencions aprovat pel Decret legislatiu 2/2005.</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Article 28</w:t>
      </w:r>
    </w:p>
    <w:p>
      <w:pPr>
        <w:pStyle w:val="Standard"/>
        <w:shd w:val="clear" w:color="auto" w:fill="FFFFFF" w:themeFill="background1"/>
        <w:rPr>
          <w:rFonts w:ascii="Noto Sans" w:hAnsi="Noto Sans" w:cs="Noto Sans"/>
          <w:b/>
          <w:b/>
          <w:bCs/>
          <w:lang w:val="ca-ES"/>
        </w:rPr>
      </w:pPr>
      <w:r>
        <w:rPr>
          <w:rFonts w:cs="Noto Sans" w:ascii="Noto Sans" w:hAnsi="Noto Sans"/>
          <w:b/>
          <w:bCs/>
          <w:lang w:val="ca-ES"/>
        </w:rPr>
        <w:t>Normativa aplicable</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rPr>
          <w:rFonts w:ascii="Noto Sans" w:hAnsi="Noto Sans" w:cs="Noto Sans"/>
          <w:lang w:val="ca-ES"/>
        </w:rPr>
      </w:pPr>
      <w:r>
        <w:rPr>
          <w:rFonts w:cs="Noto Sans" w:ascii="Noto Sans" w:hAnsi="Noto Sans"/>
          <w:lang w:val="ca-ES"/>
        </w:rPr>
        <w:t>L’Ordre del conseller de Turisme de 20 de juny de 2005 per la qual s’estableixen les bases reguladores de les subvencions en matèria de turisme.</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rPr>
          <w:rFonts w:ascii="Noto Sans" w:hAnsi="Noto Sans" w:cs="Noto Sans"/>
          <w:lang w:val="ca-ES"/>
        </w:rPr>
      </w:pPr>
      <w:r>
        <w:rPr>
          <w:rFonts w:cs="Noto Sans" w:ascii="Noto Sans" w:hAnsi="Noto Sans"/>
          <w:lang w:val="ca-ES"/>
        </w:rPr>
        <w:t>El Decret legislatiu 2/2005, de 28 de desembre, pel qual s’aprova el text refós de la Llei de subvencions en l’àmbit de les Illes Balears, així com els preceptes que resultin d’aplicació, prevists en la Llei 38/2003, de 17 de novembre, general de subvencions, i el Reial decret 887/2006, de 21 de juliol, pel qual s’aprova el Reglament de la Llei 38/2003, de 17 de novembre, general de subvencions.</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rPr>
          <w:rFonts w:ascii="Noto Sans" w:hAnsi="Noto Sans" w:cs="Noto Sans"/>
          <w:lang w:val="ca-ES"/>
        </w:rPr>
      </w:pPr>
      <w:r>
        <w:rPr>
          <w:rFonts w:cs="Noto Sans" w:ascii="Noto Sans" w:hAnsi="Noto Sans"/>
          <w:lang w:val="ca-ES"/>
        </w:rPr>
        <w:t>El Reial decret llei 36/2020, de 30 de desembre, pel qual s'aproven mesures urgents per a la modernització de l'Administració pública i per a l'execució del PRTR, i el Reglament (UE) 2021/241 del Parlament Europeu i del Consell, de 12 de febrer de 2021, pel qual s'estableix el mecanisme de recuperació i resiliència (MRR).</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rPr>
          <w:rFonts w:ascii="Noto Sans" w:hAnsi="Noto Sans" w:cs="Noto Sans"/>
          <w:lang w:val="ca-ES"/>
        </w:rPr>
      </w:pPr>
      <w:r>
        <w:rPr>
          <w:rFonts w:cs="Noto Sans" w:ascii="Noto Sans" w:hAnsi="Noto Sans"/>
          <w:lang w:val="ca-ES"/>
        </w:rPr>
        <w:t>L’Ordre HFP/1030/2021, de 29 de setembre, per la qual es configura el sistema de gestió del PRTR; l'Ordre HFP/1031/2021, de 29 de setembre, per la qual s'estableixen el procediment i el format de la informació que han de proporcionar les entitats del sector públic estatal, autonòmic i local per al seguiment del compliment de fites i objectius, i d'execució pressupostària i comptable de les mesures dels components del PRTR, i altra normativa tant europea com nacional que sigui aplicable a la gestió, el seguiment, la verificació, la publicitat i el control en el marc del PRTR, i l'Ordre HFP/55/2023, de 24 de gener, relativa a l'anàlisi sistemàtica del risc de conflicte d'interès en els procediments que executen el PRTR. En aquest sentit, cal esmentar que la convocatòria s'ajusta als principis transversals de l'MRR i als principis de gestió prevists en l'article 2 de l'esmentada Ordre HFP 1030/2021.</w:t>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rPr>
          <w:rFonts w:ascii="Noto Sans" w:hAnsi="Noto Sans" w:cs="Noto Sans"/>
          <w:lang w:val="ca-ES"/>
        </w:rPr>
      </w:pPr>
      <w:r>
        <w:rPr>
          <w:rFonts w:cs="Noto Sans" w:ascii="Noto Sans" w:hAnsi="Noto Sans"/>
          <w:lang w:val="ca-ES"/>
        </w:rPr>
        <w:t>En aplicació del principi DNSH, d'acord amb el que preveuen el PRTR i el Reglament (UE) 2021/241 del Parlament Europeu i del Consell, de 12 de febrer, s'ha de respectar la normativa mediambiental aplicable, inclòs el Reglament (UE) 2020/852 del Parlament Europeu i del Consell, de 18 de juny, relatiu a l'establiment d'un marc per facilitar les inversions sostenibles i pel qual es modifica el Reglament (UE) 2019/2088, així com la Guia tècnica de la Comissió Europea (2021/C 58/01) sobre l'aplicació d'aquest principi DNSH. En tots els casos, s'han de respectar els procediments d'avaluació ambiental, quan siguin aplicables, conforme a la legislació vigent, així com altres avaluacions de repercussions que puguin resultar d'aplicació en virtut de la legislació mediambiental.</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spacing w:lineRule="auto" w:line="259"/>
        <w:rPr>
          <w:rFonts w:ascii="Noto Sans" w:hAnsi="Noto Sans" w:cs="Noto Sans"/>
          <w:i/>
          <w:i/>
          <w:iCs/>
          <w:lang w:val="ca-ES"/>
        </w:rPr>
      </w:pPr>
      <w:r>
        <w:rPr>
          <w:rFonts w:cs="Noto Sans" w:ascii="Noto Sans" w:hAnsi="Noto Sans"/>
          <w:lang w:val="ca-ES"/>
        </w:rPr>
        <w:t xml:space="preserve">En l’àmbit europeu, resulten d’aplicació el Reglament (UE) 2021/241 del Parlament Europeu i del Consell, de 12 de febrer de 2021, pel qual s’estableix el mecanisme de recuperació i resiliència (MRR); el Reglament (UE) 2023/2831 de la Comissió, de 13 de desembre de 2023, relatiu a l'aplicació dels articles 107 i 108 del TFUE a les ajudes </w:t>
      </w:r>
      <w:r>
        <w:rPr>
          <w:rFonts w:cs="Noto Sans" w:ascii="Noto Sans" w:hAnsi="Noto Sans"/>
          <w:i/>
          <w:iCs/>
          <w:lang w:val="ca-ES"/>
        </w:rPr>
        <w:t xml:space="preserve">de minimis, </w:t>
      </w:r>
      <w:r>
        <w:rPr>
          <w:rFonts w:cs="Noto Sans" w:ascii="Noto Sans" w:hAnsi="Noto Sans"/>
          <w:lang w:val="ca-ES"/>
        </w:rPr>
        <w:t xml:space="preserve">i el Reglament (UE) 2023/2832, de 13 de desembre, relatiu a l’aplicació dels articles 107 i 108 del TFUE a les ajudes </w:t>
      </w:r>
      <w:r>
        <w:rPr>
          <w:rStyle w:val="Lletraperdefectedelpargraf1"/>
          <w:rFonts w:cs="Noto Sans" w:ascii="Noto Sans" w:hAnsi="Noto Sans"/>
          <w:i/>
          <w:iCs/>
          <w:lang w:val="ca-ES"/>
        </w:rPr>
        <w:t>de</w:t>
      </w:r>
      <w:r>
        <w:rPr>
          <w:rStyle w:val="Lletraperdefectedelpargraf1"/>
          <w:rFonts w:cs="Noto Sans" w:ascii="Noto Sans" w:hAnsi="Noto Sans"/>
          <w:lang w:val="ca-ES"/>
        </w:rPr>
        <w:t xml:space="preserve"> </w:t>
      </w:r>
      <w:r>
        <w:rPr>
          <w:rStyle w:val="Lletraperdefectedelpargraf1"/>
          <w:rFonts w:cs="Noto Sans" w:ascii="Noto Sans" w:hAnsi="Noto Sans"/>
          <w:i/>
          <w:iCs/>
          <w:lang w:val="ca-ES"/>
        </w:rPr>
        <w:t xml:space="preserve">minimis </w:t>
      </w:r>
      <w:r>
        <w:rPr>
          <w:rStyle w:val="Lletraperdefectedelpargraf1"/>
          <w:rFonts w:cs="Noto Sans" w:ascii="Noto Sans" w:hAnsi="Noto Sans"/>
          <w:lang w:val="ca-ES"/>
        </w:rPr>
        <w:t xml:space="preserve">concedides a empreses que presten serveis d’interès econòmic general. </w:t>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spacing w:lineRule="auto" w:line="259"/>
        <w:rPr>
          <w:rFonts w:ascii="Noto Sans" w:hAnsi="Noto Sans" w:cs="Noto Sans"/>
          <w:lang w:val="ca-ES"/>
        </w:rPr>
      </w:pPr>
      <w:r>
        <w:rPr>
          <w:rFonts w:cs="Noto Sans" w:ascii="Noto Sans" w:hAnsi="Noto Sans"/>
          <w:lang w:val="ca-ES"/>
        </w:rPr>
        <w:t>La Resolució de 19 de desembre de 2022 de la Secretaria d'Estat de Turisme per la qual es publica l'Acord de la Conferència Sectorial de Turisme de 14 de desembre de 2022 pel qual es fixen els criteris de distribució, i el repartiment resultant per a les comunitats autònomes, del crèdit destinat al finançament d'actuacions d'inversió d'entitats locals, en el marc del component 14, inversió 1, del Pla de Recuperació, Transformació i Resiliència (BOE núm. 310, de 27 de desembre de 2022).</w:t>
      </w:r>
    </w:p>
    <w:p>
      <w:pPr>
        <w:pStyle w:val="Standard"/>
        <w:shd w:val="clear" w:color="auto" w:fill="FFFFFF" w:themeFill="background1"/>
        <w:spacing w:lineRule="auto" w:line="259"/>
        <w:ind w:left="360" w:hanging="0"/>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spacing w:lineRule="auto" w:line="259"/>
        <w:rPr>
          <w:rFonts w:ascii="Noto Sans" w:hAnsi="Noto Sans" w:cs="Noto Sans"/>
          <w:lang w:val="ca-ES"/>
        </w:rPr>
      </w:pPr>
      <w:r>
        <w:rPr>
          <w:rFonts w:cs="Noto Sans" w:ascii="Noto Sans" w:hAnsi="Noto Sans"/>
          <w:lang w:val="ca-ES"/>
        </w:rPr>
        <w:t>La Resolució de 29 de desembre de 2023 de la Secretaria d'Estat de Turisme per la qual es publica l'Acord de la Conferència Sectorial de Turisme de 14 de desembre de 2022, modificat per l’Acord de 29 de desembre de 2023 pel qual es fixen els criteris de distribució, així com el repartiment resultant per a les comunitats autònomes, del crèdit destinat al finançament d'actuacions d'inversió d'entitats locals en el marc del component 14, inversió 1, del Pla de Recuperació, Transformació i Resiliència (BOE núm. 26, de 30 de gener de 2024).</w:t>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numPr>
          <w:ilvl w:val="0"/>
          <w:numId w:val="1"/>
        </w:numPr>
        <w:shd w:val="clear" w:color="auto" w:fill="FFFFFF" w:themeFill="background1"/>
        <w:spacing w:lineRule="auto" w:line="259"/>
        <w:rPr>
          <w:rFonts w:ascii="Noto Sans" w:hAnsi="Noto Sans" w:eastAsia="Noto Sans" w:cs="Noto Sans"/>
          <w:lang w:val="ca-ES"/>
        </w:rPr>
      </w:pPr>
      <w:r>
        <w:rPr>
          <w:rFonts w:eastAsia="Noto Sans" w:cs="Noto Sans" w:ascii="Noto Sans" w:hAnsi="Noto Sans"/>
          <w:color w:val="FF0000"/>
          <w:lang w:val="ca-ES"/>
        </w:rPr>
        <w:t xml:space="preserve"> </w:t>
      </w:r>
      <w:r>
        <w:rPr>
          <w:rFonts w:eastAsia="Noto Sans" w:cs="Noto Sans" w:ascii="Noto Sans" w:hAnsi="Noto Sans"/>
          <w:lang w:val="ca-ES"/>
        </w:rPr>
        <w:t>El Decret 18/2018, de 22 de juny, modificat pel Decret 4/2022, de 28 de febrer, pel qual es reorganitza, reestructura i regula l’Agència d’Estratègia Turística de les Illes Balears (BOIB núm. 77, de 23 de juny de 2018).</w:t>
      </w:r>
    </w:p>
    <w:p>
      <w:pPr>
        <w:pStyle w:val="Standard"/>
        <w:shd w:val="clear" w:color="auto" w:fill="FFFFFF" w:themeFill="background1"/>
        <w:spacing w:lineRule="auto" w:line="259"/>
        <w:ind w:left="360" w:hanging="360"/>
        <w:rPr>
          <w:rFonts w:ascii="Noto Sans" w:hAnsi="Noto Sans" w:eastAsia="Noto Sans" w:cs="Noto Sans"/>
          <w:lang w:val="ca-ES"/>
        </w:rPr>
      </w:pPr>
      <w:r>
        <w:rPr>
          <w:rFonts w:eastAsia="Noto Sans" w:cs="Noto Sans" w:ascii="Noto Sans" w:hAnsi="Noto Sans"/>
          <w:lang w:val="ca-ES"/>
        </w:rPr>
      </w:r>
    </w:p>
    <w:p>
      <w:pPr>
        <w:pStyle w:val="Standard"/>
        <w:shd w:val="clear" w:color="auto" w:fill="FFFFFF" w:themeFill="background1"/>
        <w:spacing w:lineRule="auto" w:line="259"/>
        <w:ind w:left="360" w:hanging="360"/>
        <w:rPr>
          <w:rFonts w:ascii="Noto Sans" w:hAnsi="Noto Sans" w:eastAsia="Noto Sans" w:cs="Noto Sans"/>
          <w:lang w:val="ca-ES"/>
        </w:rPr>
      </w:pPr>
      <w:r>
        <w:rPr>
          <w:rFonts w:eastAsia="Noto Sans" w:cs="Noto Sans" w:ascii="Noto Sans" w:hAnsi="Noto Sans"/>
          <w:lang w:val="ca-ES"/>
        </w:rPr>
      </w:r>
    </w:p>
    <w:p>
      <w:pPr>
        <w:pStyle w:val="Standard"/>
        <w:shd w:val="clear" w:color="auto" w:fill="FFFFFF" w:themeFill="background1"/>
        <w:spacing w:lineRule="auto" w:line="259"/>
        <w:ind w:left="360" w:hanging="360"/>
        <w:rPr>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ind w:left="360" w:hanging="0"/>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rFonts w:ascii="Noto Sans" w:hAnsi="Noto Sans" w:cs="Noto Sans"/>
          <w:lang w:val="ca-ES"/>
        </w:rPr>
      </w:pPr>
      <w:r>
        <w:rPr>
          <w:rFonts w:cs="Noto Sans" w:ascii="Noto Sans" w:hAnsi="Noto Sans"/>
          <w:lang w:val="ca-ES"/>
        </w:rPr>
      </w:r>
    </w:p>
    <w:p>
      <w:pPr>
        <w:pStyle w:val="Standard"/>
        <w:shd w:val="clear" w:color="auto" w:fill="FFFFFF" w:themeFill="background1"/>
        <w:rPr/>
      </w:pPr>
      <w:r>
        <w:rPr/>
      </w:r>
    </w:p>
    <w:sectPr>
      <w:headerReference w:type="default" r:id="rId3"/>
      <w:headerReference w:type="first" r:id="rId4"/>
      <w:footerReference w:type="default" r:id="rId5"/>
      <w:footerReference w:type="first" r:id="rId6"/>
      <w:type w:val="nextPage"/>
      <w:pgSz w:w="11906" w:h="16838"/>
      <w:pgMar w:left="1134" w:right="1134" w:header="720" w:top="1134" w:footer="720" w:bottom="1134"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0"/>
    <w:family w:val="roman"/>
    <w:pitch w:val="variable"/>
  </w:font>
  <w:font w:name="Liberation Sans">
    <w:altName w:val="Arial"/>
    <w:charset w:val="00"/>
    <w:family w:val="roman"/>
    <w:pitch w:val="variable"/>
  </w:font>
  <w:font w:name="Symbo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rPr/>
    </w:pPr>
    <w:r>
      <w:rPr/>
    </w:r>
  </w:p>
  <w:p>
    <w:pPr>
      <w:pStyle w:val="Normal"/>
      <w:rPr>
        <w:rFonts w:ascii="Noto Sans" w:hAnsi="Noto Sans" w:eastAsia="Noto Sans" w:cs="Noto Sans"/>
        <w:sz w:val="20"/>
        <w:szCs w:val="20"/>
      </w:rPr>
    </w:pPr>
    <w:r>
      <w:rPr>
        <w:rFonts w:eastAsia="Noto Sans" w:cs="Noto Sans" w:ascii="Noto Sans" w:hAnsi="Noto Sans"/>
        <w:sz w:val="20"/>
        <w:szCs w:val="20"/>
      </w:rPr>
      <w:t>C/ de Rita Levi, 4</w:t>
    </w:r>
  </w:p>
  <w:p>
    <w:pPr>
      <w:pStyle w:val="Normal"/>
      <w:rPr>
        <w:rFonts w:ascii="Noto Sans" w:hAnsi="Noto Sans" w:eastAsia="Noto Sans" w:cs="Noto Sans"/>
        <w:sz w:val="20"/>
        <w:szCs w:val="20"/>
      </w:rPr>
    </w:pPr>
    <w:r>
      <w:rPr>
        <w:rFonts w:eastAsia="Noto Sans" w:cs="Noto Sans" w:ascii="Noto Sans" w:hAnsi="Noto Sans"/>
        <w:sz w:val="20"/>
        <w:szCs w:val="20"/>
      </w:rPr>
      <w:t>Parc Bit 07121 Palma</w:t>
    </w:r>
  </w:p>
  <w:p>
    <w:pPr>
      <w:pStyle w:val="Normal"/>
      <w:rPr>
        <w:rFonts w:ascii="Noto Sans" w:hAnsi="Noto Sans" w:eastAsia="Noto Sans" w:cs="Noto Sans"/>
        <w:sz w:val="20"/>
        <w:szCs w:val="20"/>
      </w:rPr>
    </w:pPr>
    <w:r>
      <w:rPr>
        <w:rFonts w:eastAsia="Noto Sans" w:cs="Noto Sans" w:ascii="Noto Sans" w:hAnsi="Noto Sans"/>
        <w:sz w:val="20"/>
        <w:szCs w:val="20"/>
      </w:rPr>
      <w:t>Tel. 0034 971 17 66 99</w:t>
    </w:r>
  </w:p>
  <w:p>
    <w:pPr>
      <w:pStyle w:val="Normal"/>
      <w:rPr>
        <w:rFonts w:ascii="Noto Sans" w:hAnsi="Noto Sans" w:eastAsia="Noto Sans" w:cs="Noto Sans"/>
        <w:sz w:val="20"/>
        <w:szCs w:val="20"/>
      </w:rPr>
    </w:pPr>
    <w:r>
      <w:rPr>
        <w:rFonts w:eastAsia="Noto Sans" w:cs="Noto Sans" w:ascii="Noto Sans" w:hAnsi="Noto Sans"/>
        <w:sz w:val="20"/>
        <w:szCs w:val="20"/>
      </w:rPr>
      <w:t>mrrturisme.caib.es</w:t>
    </w:r>
  </w:p>
  <w:p>
    <w:pPr>
      <w:pStyle w:val="Normal"/>
      <w:rPr/>
    </w:pPr>
    <w:r>
      <w:rPr/>
    </w:r>
  </w:p>
  <w:tbl>
    <w:tblPr>
      <w:tblW w:w="9630" w:type="dxa"/>
      <w:jc w:val="left"/>
      <w:tblInd w:w="0" w:type="dxa"/>
      <w:tblBorders/>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shd w:fill="auto" w:val="clear"/>
        </w:tcPr>
        <w:p>
          <w:pPr>
            <w:pStyle w:val="Cabecera"/>
            <w:ind w:left="-115" w:hanging="0"/>
            <w:rPr/>
          </w:pPr>
          <w:r>
            <w:rPr/>
          </w:r>
        </w:p>
      </w:tc>
      <w:tc>
        <w:tcPr>
          <w:tcW w:w="3210" w:type="dxa"/>
          <w:tcBorders/>
          <w:shd w:fill="auto" w:val="clear"/>
        </w:tcPr>
        <w:p>
          <w:pPr>
            <w:pStyle w:val="Cabecera"/>
            <w:jc w:val="center"/>
            <w:rPr/>
          </w:pPr>
          <w:r>
            <w:rPr/>
          </w:r>
        </w:p>
      </w:tc>
      <w:tc>
        <w:tcPr>
          <w:tcW w:w="3210" w:type="dxa"/>
          <w:tcBorders/>
          <w:shd w:fill="auto" w:val="clear"/>
        </w:tcPr>
        <w:p>
          <w:pPr>
            <w:pStyle w:val="Cabecera"/>
            <w:ind w:right="-115" w:hanging="0"/>
            <w:jc w:val="right"/>
            <w:rPr/>
          </w:pPr>
          <w:r>
            <w:rPr/>
            <w:fldChar w:fldCharType="begin"/>
          </w:r>
          <w:r>
            <w:rPr/>
            <w:instrText> PAGE </w:instrText>
          </w:r>
          <w:r>
            <w:rPr/>
            <w:fldChar w:fldCharType="separate"/>
          </w:r>
          <w:r>
            <w:rPr/>
            <w:t>44</w:t>
          </w:r>
          <w:r>
            <w:rPr/>
            <w:fldChar w:fldCharType="end"/>
          </w:r>
        </w:p>
      </w:tc>
    </w:tr>
  </w:tbl>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rPr/>
    </w:pPr>
    <w:r>
      <w:rPr/>
    </w:r>
  </w:p>
  <w:tbl>
    <w:tblPr>
      <w:tblW w:w="9630" w:type="dxa"/>
      <w:jc w:val="left"/>
      <w:tblInd w:w="0" w:type="dxa"/>
      <w:tblBorders/>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shd w:fill="auto" w:val="clear"/>
        </w:tcPr>
        <w:p>
          <w:pPr>
            <w:pStyle w:val="Normal"/>
            <w:rPr>
              <w:rFonts w:ascii="Noto Sans" w:hAnsi="Noto Sans" w:eastAsia="Noto Sans" w:cs="Noto Sans"/>
              <w:sz w:val="20"/>
              <w:szCs w:val="20"/>
            </w:rPr>
          </w:pPr>
          <w:r>
            <w:rPr>
              <w:rFonts w:eastAsia="Noto Sans" w:cs="Noto Sans" w:ascii="Noto Sans" w:hAnsi="Noto Sans"/>
              <w:sz w:val="20"/>
              <w:szCs w:val="20"/>
            </w:rPr>
            <w:t>C/ de Rita Levi, 4</w:t>
          </w:r>
        </w:p>
        <w:p>
          <w:pPr>
            <w:pStyle w:val="Normal"/>
            <w:rPr>
              <w:rFonts w:ascii="Noto Sans" w:hAnsi="Noto Sans" w:eastAsia="Noto Sans" w:cs="Noto Sans"/>
              <w:sz w:val="20"/>
              <w:szCs w:val="20"/>
            </w:rPr>
          </w:pPr>
          <w:r>
            <w:rPr>
              <w:rFonts w:eastAsia="Noto Sans" w:cs="Noto Sans" w:ascii="Noto Sans" w:hAnsi="Noto Sans"/>
              <w:sz w:val="20"/>
              <w:szCs w:val="20"/>
            </w:rPr>
            <w:t>Parc Bit 07121 Palma</w:t>
          </w:r>
        </w:p>
        <w:p>
          <w:pPr>
            <w:pStyle w:val="Normal"/>
            <w:rPr>
              <w:rFonts w:ascii="Noto Sans" w:hAnsi="Noto Sans" w:eastAsia="Noto Sans" w:cs="Noto Sans"/>
              <w:sz w:val="20"/>
              <w:szCs w:val="20"/>
            </w:rPr>
          </w:pPr>
          <w:r>
            <w:rPr>
              <w:rFonts w:eastAsia="Noto Sans" w:cs="Noto Sans" w:ascii="Noto Sans" w:hAnsi="Noto Sans"/>
              <w:sz w:val="20"/>
              <w:szCs w:val="20"/>
            </w:rPr>
            <w:t>Tel. 0034 971 17 66 99</w:t>
          </w:r>
        </w:p>
        <w:p>
          <w:pPr>
            <w:pStyle w:val="Normal"/>
            <w:rPr>
              <w:rFonts w:ascii="Noto Sans" w:hAnsi="Noto Sans" w:eastAsia="Noto Sans" w:cs="Noto Sans"/>
              <w:sz w:val="20"/>
              <w:szCs w:val="20"/>
            </w:rPr>
          </w:pPr>
          <w:r>
            <w:rPr>
              <w:rFonts w:eastAsia="Noto Sans" w:cs="Noto Sans" w:ascii="Noto Sans" w:hAnsi="Noto Sans"/>
              <w:sz w:val="20"/>
              <w:szCs w:val="20"/>
            </w:rPr>
            <w:t>mrrturisme.caib.es</w:t>
          </w:r>
        </w:p>
        <w:p>
          <w:pPr>
            <w:pStyle w:val="Normal"/>
            <w:rPr/>
          </w:pPr>
          <w:r>
            <w:rPr/>
          </w:r>
        </w:p>
        <w:p>
          <w:pPr>
            <w:pStyle w:val="Normal"/>
            <w:ind w:left="-115" w:hanging="0"/>
            <w:rPr/>
          </w:pPr>
          <w:r>
            <w:rPr/>
          </w:r>
        </w:p>
      </w:tc>
      <w:tc>
        <w:tcPr>
          <w:tcW w:w="3210" w:type="dxa"/>
          <w:tcBorders/>
          <w:shd w:fill="auto" w:val="clear"/>
        </w:tcPr>
        <w:p>
          <w:pPr>
            <w:pStyle w:val="Cabecera"/>
            <w:jc w:val="center"/>
            <w:rPr/>
          </w:pPr>
          <w:r>
            <w:rPr/>
          </w:r>
        </w:p>
      </w:tc>
      <w:tc>
        <w:tcPr>
          <w:tcW w:w="3210" w:type="dxa"/>
          <w:tcBorders/>
          <w:shd w:fill="auto" w:val="clear"/>
        </w:tcPr>
        <w:p>
          <w:pPr>
            <w:pStyle w:val="Cabecera"/>
            <w:ind w:right="-115" w:hanging="0"/>
            <w:jc w:val="right"/>
            <w:rPr/>
          </w:pPr>
          <w:r>
            <w:rPr/>
          </w:r>
        </w:p>
      </w:tc>
    </w:tr>
  </w:tbl>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inline distT="0" distB="0" distL="0" distR="0">
          <wp:extent cx="552450" cy="800100"/>
          <wp:effectExtent l="0" t="0" r="0" b="0"/>
          <wp:docPr id="1" name="Imagen 1233783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233783268" descr=""/>
                  <pic:cNvPicPr>
                    <a:picLocks noChangeAspect="1" noChangeArrowheads="1"/>
                  </pic:cNvPicPr>
                </pic:nvPicPr>
                <pic:blipFill>
                  <a:blip r:embed="rId1"/>
                  <a:stretch>
                    <a:fillRect/>
                  </a:stretch>
                </pic:blipFill>
                <pic:spPr bwMode="auto">
                  <a:xfrm>
                    <a:off x="0" y="0"/>
                    <a:ext cx="552450" cy="80010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inline distT="0" distB="0" distL="0" distR="0">
          <wp:extent cx="6124575" cy="876300"/>
          <wp:effectExtent l="0" t="0" r="0" b="0"/>
          <wp:docPr id="2" name="Imagen 183045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83045260" descr=""/>
                  <pic:cNvPicPr>
                    <a:picLocks noChangeAspect="1" noChangeArrowheads="1"/>
                  </pic:cNvPicPr>
                </pic:nvPicPr>
                <pic:blipFill>
                  <a:blip r:embed="rId1"/>
                  <a:stretch>
                    <a:fillRect/>
                  </a:stretch>
                </pic:blipFill>
                <pic:spPr bwMode="auto">
                  <a:xfrm>
                    <a:off x="0" y="0"/>
                    <a:ext cx="6124575" cy="8763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lvl w:ilvl="0">
      <w:start w:val="1"/>
      <w:numFmt w:val="lowerLetter"/>
      <w:lvlText w:val="%1)"/>
      <w:lvlJc w:val="left"/>
      <w:pPr>
        <w:ind w:left="720" w:hanging="360"/>
      </w:pPr>
      <w:rPr>
        <w:i/>
        <w:iCs/>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lvl w:ilvl="0">
      <w:start w:val="1"/>
      <w:numFmt w:val="lowerLetter"/>
      <w:lvlText w:val="%1)"/>
      <w:lvlJc w:val="left"/>
      <w:pPr>
        <w:ind w:left="720" w:hanging="360"/>
      </w:pPr>
      <w:rPr>
        <w:i/>
        <w:iCs/>
        <w:rFonts w:ascii="Noto Sans" w:hAnsi="Noto Sans" w:eastAsia="NSimSun" w:cs="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bullet"/>
      <w:lvlText w:val=""/>
      <w:lvlJc w:val="left"/>
      <w:pPr>
        <w:ind w:left="2160" w:hanging="360"/>
      </w:pPr>
      <w:rPr>
        <w:rFonts w:ascii="Symbol" w:hAnsi="Symbol" w:cs="Symbol" w:hint="default"/>
        <w:rFonts w:cs="Symbol"/>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Fonts w:cs="Wingdings"/>
      </w:rPr>
    </w:lvl>
    <w:lvl w:ilvl="3">
      <w:start w:val="1"/>
      <w:numFmt w:val="bullet"/>
      <w:lvlText w:val=""/>
      <w:lvlJc w:val="left"/>
      <w:pPr>
        <w:ind w:left="4320" w:hanging="360"/>
      </w:pPr>
      <w:rPr>
        <w:rFonts w:ascii="Symbol" w:hAnsi="Symbol" w:cs="Symbol" w:hint="default"/>
        <w:rFonts w:cs="Symbol"/>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Fonts w:cs="Wingdings"/>
      </w:rPr>
    </w:lvl>
    <w:lvl w:ilvl="6">
      <w:start w:val="1"/>
      <w:numFmt w:val="bullet"/>
      <w:lvlText w:val=""/>
      <w:lvlJc w:val="left"/>
      <w:pPr>
        <w:ind w:left="6480" w:hanging="360"/>
      </w:pPr>
      <w:rPr>
        <w:rFonts w:ascii="Symbol" w:hAnsi="Symbol" w:cs="Symbol" w:hint="default"/>
        <w:rFonts w:cs="Symbol"/>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Fonts w:cs="Wingdings"/>
      </w:rPr>
    </w:lvl>
  </w:abstractNum>
  <w:abstractNum w:abstractNumId="26">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lowerLetter"/>
      <w:lvlText w:val="%1)"/>
      <w:lvlJc w:val="left"/>
      <w:pPr>
        <w:ind w:left="1080" w:hanging="360"/>
      </w:pPr>
      <w:rPr>
        <w:i/>
        <w:rFonts w:ascii="Noto Sans" w:hAnsi="Noto San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lvl w:ilvl="0">
      <w:start w:val="1"/>
      <w:numFmt w:val="lowerLetter"/>
      <w:lvlText w:val="%1)"/>
      <w:lvlJc w:val="left"/>
      <w:pPr>
        <w:ind w:left="1080" w:hanging="360"/>
      </w:pPr>
      <w:rPr>
        <w:i/>
        <w:iCs/>
        <w:rFonts w:ascii="Noto Sans" w:hAnsi="Noto San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lvl w:ilvl="0">
      <w:start w:val="1"/>
      <w:numFmt w:val="lowerLetter"/>
      <w:lvlText w:val="%1)"/>
      <w:lvlJc w:val="left"/>
      <w:pPr>
        <w:ind w:left="720" w:hanging="360"/>
      </w:pPr>
      <w:rPr>
        <w:i/>
        <w:iCs/>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lvl w:ilvl="0">
      <w:start w:val="1"/>
      <w:numFmt w:val="lowerLetter"/>
      <w:lvlText w:val="%1)"/>
      <w:lvlJc w:val="left"/>
      <w:pPr>
        <w:ind w:left="720" w:hanging="360"/>
      </w:pPr>
      <w:rPr>
        <w:i/>
        <w:rFonts w:ascii="Noto Sans" w:hAnsi="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w="http://schemas.openxmlformats.org/wordprocessingml/2006/main">
  <w:zoom w:percent="14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ca-E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lang w:val="ca-ES" w:eastAsia="ja-JP"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textAlignment w:val="baseline"/>
    </w:pPr>
    <w:rPr>
      <w:rFonts w:ascii="Liberation Serif" w:hAnsi="Liberation Serif" w:eastAsia="NSimSun" w:cs="Lucida Sans"/>
      <w:color w:val="auto"/>
      <w:kern w:val="2"/>
      <w:sz w:val="24"/>
      <w:szCs w:val="24"/>
      <w:lang w:val="ca-ES" w:eastAsia="zh-CN" w:bidi="hi-IN"/>
    </w:rPr>
  </w:style>
  <w:style w:type="character" w:styleId="DefaultParagraphFont" w:default="1">
    <w:name w:val="Default Paragraph Font"/>
    <w:uiPriority w:val="1"/>
    <w:semiHidden/>
    <w:unhideWhenUsed/>
    <w:qFormat/>
    <w:rPr/>
  </w:style>
  <w:style w:type="character" w:styleId="Lletraperdefectedelpargraf1" w:customStyle="1">
    <w:name w:val="Lletra per defecte del paràgraf1"/>
    <w:qFormat/>
    <w:rPr/>
  </w:style>
  <w:style w:type="character" w:styleId="EnlacedeInternet">
    <w:name w:val="Enlace de Internet"/>
    <w:basedOn w:val="DefaultParagraphFont"/>
    <w:uiPriority w:val="99"/>
    <w:unhideWhenUsed/>
    <w:rsid w:val="032af68f"/>
    <w:rPr>
      <w:color w:val="0563C1"/>
      <w:u w:val="single"/>
    </w:rPr>
  </w:style>
  <w:style w:type="character" w:styleId="UnresolvedMention">
    <w:name w:val="Unresolved Mention"/>
    <w:basedOn w:val="DefaultParagraphFont"/>
    <w:uiPriority w:val="99"/>
    <w:semiHidden/>
    <w:unhideWhenUsed/>
    <w:qFormat/>
    <w:rsid w:val="00831269"/>
    <w:rPr>
      <w:color w:val="605E5C"/>
      <w:shd w:fill="E1DFDD" w:val="clear"/>
    </w:rPr>
  </w:style>
  <w:style w:type="character" w:styleId="Annotationreference">
    <w:name w:val="annotation reference"/>
    <w:basedOn w:val="DefaultParagraphFont"/>
    <w:uiPriority w:val="99"/>
    <w:semiHidden/>
    <w:unhideWhenUsed/>
    <w:qFormat/>
    <w:rsid w:val="00df0c5c"/>
    <w:rPr>
      <w:sz w:val="16"/>
      <w:szCs w:val="16"/>
    </w:rPr>
  </w:style>
  <w:style w:type="character" w:styleId="TextocomentarioCar" w:customStyle="1">
    <w:name w:val="Texto comentario Car"/>
    <w:basedOn w:val="DefaultParagraphFont"/>
    <w:link w:val="Textocomentario"/>
    <w:uiPriority w:val="99"/>
    <w:semiHidden/>
    <w:qFormat/>
    <w:rsid w:val="00df0c5c"/>
    <w:rPr>
      <w:rFonts w:cs="Mangal"/>
      <w:kern w:val="2"/>
      <w:szCs w:val="18"/>
      <w:lang w:eastAsia="zh-CN" w:bidi="hi-IN"/>
    </w:rPr>
  </w:style>
  <w:style w:type="character" w:styleId="AsuntodelcomentarioCar" w:customStyle="1">
    <w:name w:val="Asunto del comentario Car"/>
    <w:basedOn w:val="TextocomentarioCar"/>
    <w:link w:val="Asuntodelcomentario"/>
    <w:uiPriority w:val="99"/>
    <w:semiHidden/>
    <w:qFormat/>
    <w:rsid w:val="00df0c5c"/>
    <w:rPr>
      <w:rFonts w:cs="Mangal"/>
      <w:b/>
      <w:bCs/>
      <w:kern w:val="2"/>
      <w:szCs w:val="18"/>
      <w:lang w:eastAsia="zh-CN" w:bidi="hi-IN"/>
    </w:rPr>
  </w:style>
  <w:style w:type="character" w:styleId="ListLabel1">
    <w:name w:val="ListLabel 1"/>
    <w:qFormat/>
    <w:rPr>
      <w:rFonts w:ascii="Noto Sans" w:hAnsi="Noto Sans"/>
      <w:i/>
      <w:iCs/>
    </w:rPr>
  </w:style>
  <w:style w:type="character" w:styleId="ListLabel2">
    <w:name w:val="ListLabel 2"/>
    <w:qFormat/>
    <w:rPr>
      <w:rFonts w:ascii="Noto Sans" w:hAnsi="Noto Sans" w:eastAsia="NSimSun" w:cs="Noto Sans"/>
      <w:i/>
      <w:iCs/>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i/>
      <w:iCs/>
    </w:rPr>
  </w:style>
  <w:style w:type="character" w:styleId="ListLabel7">
    <w:name w:val="ListLabel 7"/>
    <w:qFormat/>
    <w:rPr>
      <w:rFonts w:ascii="Noto Sans" w:hAnsi="Noto Sans"/>
      <w:i/>
    </w:rPr>
  </w:style>
  <w:style w:type="character" w:styleId="ListLabel8">
    <w:name w:val="ListLabel 8"/>
    <w:qFormat/>
    <w:rPr>
      <w:rFonts w:ascii="Noto Sans" w:hAnsi="Noto Sans"/>
      <w:i/>
    </w:rPr>
  </w:style>
  <w:style w:type="character" w:styleId="ListLabel9">
    <w:name w:val="ListLabel 9"/>
    <w:qFormat/>
    <w:rPr>
      <w:rFonts w:ascii="Noto Sans" w:hAnsi="Noto Sans"/>
      <w:i/>
      <w:iCs/>
    </w:rPr>
  </w:style>
  <w:style w:type="character" w:styleId="ListLabel10">
    <w:name w:val="ListLabel 10"/>
    <w:qFormat/>
    <w:rPr>
      <w:rFonts w:ascii="Noto Sans" w:hAnsi="Noto Sans"/>
      <w:i/>
      <w:iCs/>
    </w:rPr>
  </w:style>
  <w:style w:type="character" w:styleId="ListLabel11">
    <w:name w:val="ListLabel 11"/>
    <w:qFormat/>
    <w:rPr>
      <w:rFonts w:ascii="Noto Sans" w:hAnsi="Noto Sans"/>
      <w:i/>
    </w:rPr>
  </w:style>
  <w:style w:type="character" w:styleId="ListLabel12">
    <w:name w:val="ListLabel 12"/>
    <w:qFormat/>
    <w:rPr>
      <w:rFonts w:ascii="Noto Sans" w:hAnsi="Noto Sans"/>
      <w:i/>
    </w:rPr>
  </w:style>
  <w:style w:type="character" w:styleId="ListLabel13">
    <w:name w:val="ListLabel 13"/>
    <w:qFormat/>
    <w:rPr>
      <w:rFonts w:ascii="Noto Sans" w:hAnsi="Noto Sans"/>
      <w:i/>
    </w:rPr>
  </w:style>
  <w:style w:type="character" w:styleId="ListLabel14">
    <w:name w:val="ListLabel 14"/>
    <w:qFormat/>
    <w:rPr>
      <w:rFonts w:ascii="Noto Sans" w:hAnsi="Noto Sans"/>
      <w:i/>
    </w:rPr>
  </w:style>
  <w:style w:type="character" w:styleId="ListLabel15">
    <w:name w:val="ListLabel 15"/>
    <w:qFormat/>
    <w:rPr>
      <w:rFonts w:ascii="Noto Sans" w:hAnsi="Noto Sans" w:cs="Noto Sans"/>
    </w:rPr>
  </w:style>
  <w:style w:type="character" w:styleId="ListLabel16">
    <w:name w:val="ListLabel 16"/>
    <w:qFormat/>
    <w:rPr>
      <w:rFonts w:ascii="Noto Sans" w:hAnsi="Noto Sans"/>
      <w:i/>
      <w:iCs/>
    </w:rPr>
  </w:style>
  <w:style w:type="character" w:styleId="ListLabel17">
    <w:name w:val="ListLabel 17"/>
    <w:qFormat/>
    <w:rPr>
      <w:rFonts w:ascii="Noto Sans" w:hAnsi="Noto Sans" w:eastAsia="NSimSun" w:cs="Noto Sans"/>
      <w:i/>
      <w:iCs/>
    </w:rPr>
  </w:style>
  <w:style w:type="character" w:styleId="ListLabel18">
    <w:name w:val="ListLabel 18"/>
    <w:qFormat/>
    <w:rPr>
      <w:rFonts w:ascii="Noto Sans" w:hAnsi="Noto Sans" w:cs="Symbol"/>
    </w:rPr>
  </w:style>
  <w:style w:type="character" w:styleId="ListLabel19">
    <w:name w:val="ListLabel 19"/>
    <w:qFormat/>
    <w:rPr>
      <w:rFonts w:cs="Courier New"/>
    </w:rPr>
  </w:style>
  <w:style w:type="character" w:styleId="ListLabel20">
    <w:name w:val="ListLabel 20"/>
    <w:qFormat/>
    <w:rPr>
      <w:rFonts w:cs="Wingdings"/>
    </w:rPr>
  </w:style>
  <w:style w:type="character" w:styleId="ListLabel21">
    <w:name w:val="ListLabel 21"/>
    <w:qFormat/>
    <w:rPr>
      <w:rFonts w:cs="Symbol"/>
    </w:rPr>
  </w:style>
  <w:style w:type="character" w:styleId="ListLabel22">
    <w:name w:val="ListLabel 22"/>
    <w:qFormat/>
    <w:rPr>
      <w:rFonts w:cs="Courier New"/>
    </w:rPr>
  </w:style>
  <w:style w:type="character" w:styleId="ListLabel23">
    <w:name w:val="ListLabel 23"/>
    <w:qFormat/>
    <w:rPr>
      <w:rFonts w:cs="Wingdings"/>
    </w:rPr>
  </w:style>
  <w:style w:type="character" w:styleId="ListLabel24">
    <w:name w:val="ListLabel 24"/>
    <w:qFormat/>
    <w:rPr>
      <w:rFonts w:cs="Symbol"/>
    </w:rPr>
  </w:style>
  <w:style w:type="character" w:styleId="ListLabel25">
    <w:name w:val="ListLabel 25"/>
    <w:qFormat/>
    <w:rPr>
      <w:rFonts w:cs="Courier New"/>
    </w:rPr>
  </w:style>
  <w:style w:type="character" w:styleId="ListLabel26">
    <w:name w:val="ListLabel 26"/>
    <w:qFormat/>
    <w:rPr>
      <w:rFonts w:cs="Wingdings"/>
    </w:rPr>
  </w:style>
  <w:style w:type="character" w:styleId="ListLabel27">
    <w:name w:val="ListLabel 27"/>
    <w:qFormat/>
    <w:rPr>
      <w:rFonts w:ascii="Noto Sans" w:hAnsi="Noto Sans"/>
      <w:i/>
    </w:rPr>
  </w:style>
  <w:style w:type="character" w:styleId="ListLabel28">
    <w:name w:val="ListLabel 28"/>
    <w:qFormat/>
    <w:rPr>
      <w:rFonts w:ascii="Noto Sans" w:hAnsi="Noto Sans"/>
      <w:i/>
    </w:rPr>
  </w:style>
  <w:style w:type="character" w:styleId="ListLabel29">
    <w:name w:val="ListLabel 29"/>
    <w:qFormat/>
    <w:rPr>
      <w:rFonts w:ascii="Noto Sans" w:hAnsi="Noto Sans"/>
      <w:i/>
      <w:iCs/>
    </w:rPr>
  </w:style>
  <w:style w:type="character" w:styleId="ListLabel30">
    <w:name w:val="ListLabel 30"/>
    <w:qFormat/>
    <w:rPr>
      <w:rFonts w:ascii="Noto Sans" w:hAnsi="Noto Sans"/>
      <w:i/>
      <w:iCs/>
    </w:rPr>
  </w:style>
  <w:style w:type="character" w:styleId="ListLabel31">
    <w:name w:val="ListLabel 31"/>
    <w:qFormat/>
    <w:rPr>
      <w:rFonts w:ascii="Noto Sans" w:hAnsi="Noto Sans"/>
      <w:i/>
    </w:rPr>
  </w:style>
  <w:style w:type="character" w:styleId="ListLabel32">
    <w:name w:val="ListLabel 32"/>
    <w:qFormat/>
    <w:rPr>
      <w:rFonts w:ascii="Noto Sans" w:hAnsi="Noto Sans"/>
      <w:i/>
    </w:rPr>
  </w:style>
  <w:style w:type="character" w:styleId="ListLabel33">
    <w:name w:val="ListLabel 33"/>
    <w:qFormat/>
    <w:rPr>
      <w:rFonts w:ascii="Noto Sans" w:hAnsi="Noto Sans"/>
      <w:i/>
    </w:rPr>
  </w:style>
  <w:style w:type="character" w:styleId="ListLabel34">
    <w:name w:val="ListLabel 34"/>
    <w:qFormat/>
    <w:rPr>
      <w:rFonts w:ascii="Noto Sans" w:hAnsi="Noto Sans"/>
      <w:i/>
    </w:rPr>
  </w:style>
  <w:style w:type="character" w:styleId="ListLabel35">
    <w:name w:val="ListLabel 35"/>
    <w:qFormat/>
    <w:rPr>
      <w:rFonts w:ascii="Noto Sans" w:hAnsi="Noto Sans" w:cs="Noto Sans"/>
    </w:rPr>
  </w:style>
  <w:style w:type="paragraph" w:styleId="Ttulo" w:customStyle="1">
    <w:name w:val="Título"/>
    <w:next w:val="Textbody"/>
    <w:qFormat/>
    <w:pPr>
      <w:keepNext w:val="true"/>
      <w:widowControl w:val="false"/>
      <w:spacing w:before="240" w:after="120"/>
    </w:pPr>
    <w:rPr>
      <w:rFonts w:ascii="Liberation Sans" w:hAnsi="Liberation Sans" w:eastAsia="Microsoft YaHei" w:cs="Lucida Sans"/>
      <w:color w:val="auto"/>
      <w:kern w:val="0"/>
      <w:sz w:val="28"/>
      <w:szCs w:val="28"/>
      <w:lang w:val="ca-ES" w:eastAsia="ja-JP" w:bidi="ar-SA"/>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qFormat/>
    <w:pPr>
      <w:widowControl w:val="false"/>
      <w:suppressLineNumbers/>
    </w:pPr>
    <w:rPr>
      <w:rFonts w:ascii="Liberation Serif" w:hAnsi="Liberation Serif" w:eastAsia="NSimSun" w:cs="Lucida Sans"/>
      <w:color w:val="auto"/>
      <w:kern w:val="0"/>
      <w:sz w:val="24"/>
      <w:szCs w:val="20"/>
      <w:lang w:val="ca-ES" w:eastAsia="ja-JP" w:bidi="ar-SA"/>
    </w:rPr>
  </w:style>
  <w:style w:type="paragraph" w:styleId="Standard" w:customStyle="1">
    <w:name w:val="Standard"/>
    <w:qFormat/>
    <w:pPr>
      <w:widowControl/>
      <w:suppressAutoHyphens w:val="true"/>
      <w:bidi w:val="0"/>
      <w:jc w:val="left"/>
      <w:textAlignment w:val="baseline"/>
    </w:pPr>
    <w:rPr>
      <w:rFonts w:ascii="Liberation Serif" w:hAnsi="Liberation Serif" w:eastAsia="NSimSun" w:cs="Lucida Sans"/>
      <w:color w:val="auto"/>
      <w:kern w:val="2"/>
      <w:sz w:val="24"/>
      <w:szCs w:val="24"/>
      <w:lang w:val="es-ES" w:eastAsia="zh-CN" w:bidi="hi-IN"/>
    </w:rPr>
  </w:style>
  <w:style w:type="paragraph" w:styleId="Textbody" w:customStyle="1">
    <w:name w:val="Text body"/>
    <w:basedOn w:val="Standard"/>
    <w:qFormat/>
    <w:pPr>
      <w:spacing w:lineRule="auto" w:line="276" w:before="0" w:after="140"/>
    </w:pPr>
    <w:rPr/>
  </w:style>
  <w:style w:type="paragraph" w:styleId="Llista1" w:customStyle="1">
    <w:name w:val="Llista1"/>
    <w:basedOn w:val="Textbody"/>
    <w:qFormat/>
    <w:pPr/>
    <w:rPr/>
  </w:style>
  <w:style w:type="paragraph" w:styleId="Llegenda1" w:customStyle="1">
    <w:name w:val="Llegenda1"/>
    <w:basedOn w:val="Standard"/>
    <w:qFormat/>
    <w:pPr>
      <w:suppressLineNumbers/>
      <w:spacing w:before="120" w:after="120"/>
    </w:pPr>
    <w:rPr>
      <w:i/>
      <w:iCs/>
    </w:rPr>
  </w:style>
  <w:style w:type="paragraph" w:styleId="ListParagraph">
    <w:name w:val="List Paragraph"/>
    <w:basedOn w:val="Normal"/>
    <w:uiPriority w:val="34"/>
    <w:qFormat/>
    <w:rsid w:val="032af68f"/>
    <w:pPr>
      <w:spacing w:before="0" w:after="0"/>
      <w:ind w:left="720" w:hanging="0"/>
      <w:contextualSpacing/>
    </w:pPr>
    <w:rPr/>
  </w:style>
  <w:style w:type="paragraph" w:styleId="Cabecera">
    <w:name w:val="Header"/>
    <w:basedOn w:val="Normal"/>
    <w:uiPriority w:val="99"/>
    <w:unhideWhenUsed/>
    <w:rsid w:val="32fdf73b"/>
    <w:pPr>
      <w:tabs>
        <w:tab w:val="clear" w:pos="720"/>
        <w:tab w:val="center" w:pos="4680" w:leader="none"/>
        <w:tab w:val="right" w:pos="9360" w:leader="none"/>
      </w:tabs>
    </w:pPr>
    <w:rPr/>
  </w:style>
  <w:style w:type="paragraph" w:styleId="Piedepgina">
    <w:name w:val="Footer"/>
    <w:basedOn w:val="Normal"/>
    <w:uiPriority w:val="99"/>
    <w:unhideWhenUsed/>
    <w:rsid w:val="32fdf73b"/>
    <w:pPr>
      <w:tabs>
        <w:tab w:val="clear" w:pos="720"/>
        <w:tab w:val="center" w:pos="4680" w:leader="none"/>
        <w:tab w:val="right" w:pos="9360" w:leader="none"/>
      </w:tabs>
    </w:pPr>
    <w:rPr/>
  </w:style>
  <w:style w:type="paragraph" w:styleId="Annotationtext">
    <w:name w:val="annotation text"/>
    <w:basedOn w:val="Normal"/>
    <w:link w:val="TextocomentarioCar"/>
    <w:uiPriority w:val="99"/>
    <w:semiHidden/>
    <w:unhideWhenUsed/>
    <w:qFormat/>
    <w:rsid w:val="00df0c5c"/>
    <w:pPr/>
    <w:rPr>
      <w:rFonts w:cs="Mangal"/>
      <w:sz w:val="20"/>
      <w:szCs w:val="18"/>
    </w:rPr>
  </w:style>
  <w:style w:type="paragraph" w:styleId="Annotationsubject">
    <w:name w:val="annotation subject"/>
    <w:basedOn w:val="Annotationtext"/>
    <w:next w:val="Annotationtext"/>
    <w:link w:val="AsuntodelcomentarioCar"/>
    <w:uiPriority w:val="99"/>
    <w:semiHidden/>
    <w:unhideWhenUsed/>
    <w:qFormat/>
    <w:rsid w:val="00df0c5c"/>
    <w:pPr/>
    <w:rPr>
      <w:b/>
      <w:bCs/>
    </w:rPr>
  </w:style>
  <w:style w:type="paragraph" w:styleId="Western">
    <w:name w:val="western"/>
    <w:basedOn w:val="Normal"/>
    <w:qFormat/>
    <w:pPr>
      <w:spacing w:lineRule="auto" w:line="276" w:before="280" w:after="142"/>
    </w:pPr>
    <w:rPr>
      <w:rFonts w:eastAsia="Times New Roman"/>
      <w:sz w:val="24"/>
      <w:szCs w:val="24"/>
      <w:lang w:val="es-E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mitma.gob.es/ministerio/proyectos-singulares/prtr/transporte/publicidad-y-difusion-de-las-ayudas-del-mecanismo-de-recuperacion-y-resiliencia"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60A23-E3D6-4E0A-9C59-47C5DDABB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Application>LibreOffice/6.1.5.2$Windows_x86 LibreOffice_project/90f8dcf33c87b3705e78202e3df5142b201bd805</Application>
  <Pages>44</Pages>
  <Words>13138</Words>
  <Characters>71204</Characters>
  <CharactersWithSpaces>83926</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2025-05-14T11:27:00Z</dcterms:created>
  <dc:creator>Felix Schmidle Leibold</dc:creator>
  <dc:description/>
  <dc:language>ca-ES</dc:language>
  <cp:lastModifiedBy/>
  <cp:lastPrinted>2025-05-09T07:43:00Z</cp:lastPrinted>
  <dcterms:modified xsi:type="dcterms:W3CDTF">2025-05-19T14:06:24Z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